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jc w:val="right"/>
        <w:rPr>
          <w:rFonts w:ascii="华文中宋" w:hAnsi="华文中宋" w:eastAsia="华文中宋"/>
          <w:b/>
          <w:color w:val="FF0000"/>
          <w:sz w:val="30"/>
          <w:szCs w:val="30"/>
        </w:rPr>
      </w:pPr>
      <w:r>
        <w:rPr>
          <w:rFonts w:hint="eastAsia" w:ascii="华文中宋" w:hAnsi="华文中宋" w:eastAsia="华文中宋"/>
          <w:b/>
          <w:sz w:val="30"/>
          <w:szCs w:val="30"/>
        </w:rPr>
        <w:t>招标编号：scxs20190801号</w:t>
      </w:r>
    </w:p>
    <w:p>
      <w:pPr>
        <w:rPr>
          <w:rFonts w:ascii="华文中宋" w:hAnsi="华文中宋" w:eastAsia="华文中宋"/>
          <w:b/>
          <w:sz w:val="52"/>
          <w:szCs w:val="52"/>
        </w:rPr>
      </w:pPr>
    </w:p>
    <w:p>
      <w:pPr>
        <w:tabs>
          <w:tab w:val="left" w:pos="2505"/>
          <w:tab w:val="center" w:pos="4204"/>
        </w:tabs>
        <w:jc w:val="center"/>
        <w:rPr>
          <w:rFonts w:ascii="华文中宋" w:hAnsi="华文中宋" w:eastAsia="华文中宋"/>
          <w:b/>
          <w:sz w:val="44"/>
          <w:szCs w:val="52"/>
        </w:rPr>
      </w:pPr>
      <w:r>
        <w:rPr>
          <w:rFonts w:hint="eastAsia" w:ascii="华文中宋" w:hAnsi="华文中宋" w:eastAsia="华文中宋"/>
          <w:b/>
          <w:sz w:val="44"/>
          <w:szCs w:val="52"/>
        </w:rPr>
        <w:t>快递包裹部关于2019年快递包裹业务揽收非核心环节业务外包项目公开招标</w:t>
      </w:r>
    </w:p>
    <w:p>
      <w:pPr>
        <w:rPr>
          <w:rFonts w:ascii="华文中宋" w:hAnsi="华文中宋" w:eastAsia="华文中宋"/>
          <w:b/>
          <w:sz w:val="48"/>
          <w:szCs w:val="52"/>
        </w:rPr>
      </w:pPr>
    </w:p>
    <w:p>
      <w:pPr>
        <w:tabs>
          <w:tab w:val="left" w:pos="2505"/>
          <w:tab w:val="center" w:pos="4204"/>
        </w:tabs>
        <w:jc w:val="center"/>
        <w:rPr>
          <w:rFonts w:ascii="华文中宋" w:hAnsi="华文中宋" w:eastAsia="华文中宋"/>
          <w:b/>
          <w:sz w:val="48"/>
          <w:szCs w:val="52"/>
        </w:rPr>
      </w:pPr>
      <w:r>
        <w:rPr>
          <w:rFonts w:hint="eastAsia" w:ascii="华文中宋" w:hAnsi="华文中宋" w:eastAsia="华文中宋"/>
          <w:b/>
          <w:sz w:val="48"/>
          <w:szCs w:val="52"/>
        </w:rPr>
        <w:t>招</w:t>
      </w:r>
    </w:p>
    <w:p>
      <w:pPr>
        <w:jc w:val="center"/>
        <w:rPr>
          <w:rFonts w:ascii="华文中宋" w:hAnsi="华文中宋" w:eastAsia="华文中宋"/>
          <w:b/>
          <w:sz w:val="48"/>
          <w:szCs w:val="52"/>
        </w:rPr>
      </w:pPr>
      <w:r>
        <w:rPr>
          <w:rFonts w:hint="eastAsia" w:ascii="华文中宋" w:hAnsi="华文中宋" w:eastAsia="华文中宋"/>
          <w:b/>
          <w:sz w:val="48"/>
          <w:szCs w:val="52"/>
        </w:rPr>
        <w:t>标</w:t>
      </w:r>
    </w:p>
    <w:p>
      <w:pPr>
        <w:jc w:val="center"/>
        <w:rPr>
          <w:rFonts w:ascii="华文中宋" w:hAnsi="华文中宋" w:eastAsia="华文中宋"/>
          <w:b/>
          <w:sz w:val="48"/>
          <w:szCs w:val="52"/>
        </w:rPr>
      </w:pPr>
      <w:r>
        <w:rPr>
          <w:rFonts w:hint="eastAsia" w:ascii="华文中宋" w:hAnsi="华文中宋" w:eastAsia="华文中宋"/>
          <w:b/>
          <w:sz w:val="48"/>
          <w:szCs w:val="52"/>
        </w:rPr>
        <w:t>文</w:t>
      </w:r>
    </w:p>
    <w:p>
      <w:pPr>
        <w:jc w:val="center"/>
        <w:rPr>
          <w:rFonts w:ascii="华文中宋" w:hAnsi="华文中宋" w:eastAsia="华文中宋"/>
          <w:b/>
          <w:sz w:val="48"/>
          <w:szCs w:val="52"/>
        </w:rPr>
      </w:pPr>
      <w:r>
        <w:rPr>
          <w:rFonts w:hint="eastAsia" w:ascii="华文中宋" w:hAnsi="华文中宋" w:eastAsia="华文中宋"/>
          <w:b/>
          <w:sz w:val="48"/>
          <w:szCs w:val="52"/>
        </w:rPr>
        <w:t>件</w:t>
      </w:r>
    </w:p>
    <w:p>
      <w:pPr>
        <w:spacing w:line="360" w:lineRule="auto"/>
        <w:rPr>
          <w:rFonts w:hint="eastAsia" w:ascii="华文中宋" w:hAnsi="华文中宋" w:eastAsia="华文中宋"/>
          <w:b/>
          <w:sz w:val="28"/>
          <w:szCs w:val="32"/>
        </w:rPr>
      </w:pPr>
    </w:p>
    <w:p>
      <w:pPr>
        <w:pStyle w:val="2"/>
      </w:pPr>
    </w:p>
    <w:p>
      <w:pPr>
        <w:spacing w:line="360" w:lineRule="auto"/>
        <w:rPr>
          <w:rFonts w:ascii="华文中宋" w:hAnsi="华文中宋" w:eastAsia="华文中宋"/>
          <w:b/>
          <w:sz w:val="28"/>
          <w:szCs w:val="32"/>
        </w:rPr>
      </w:pPr>
    </w:p>
    <w:p>
      <w:pPr>
        <w:spacing w:line="240" w:lineRule="auto"/>
        <w:jc w:val="center"/>
        <w:rPr>
          <w:rFonts w:ascii="华文中宋" w:hAnsi="华文中宋" w:eastAsia="华文中宋" w:cs="宋体"/>
          <w:b/>
          <w:sz w:val="28"/>
          <w:szCs w:val="32"/>
        </w:rPr>
      </w:pPr>
      <w:r>
        <w:rPr>
          <w:rFonts w:hint="eastAsia" w:ascii="华文中宋" w:hAnsi="华文中宋" w:eastAsia="华文中宋" w:cs="宋体"/>
          <w:b/>
          <w:sz w:val="28"/>
          <w:szCs w:val="32"/>
        </w:rPr>
        <w:t>中国邮政集团公司成都市分公司</w:t>
      </w:r>
    </w:p>
    <w:p>
      <w:pPr>
        <w:spacing w:line="240" w:lineRule="auto"/>
        <w:jc w:val="center"/>
        <w:rPr>
          <w:rFonts w:ascii="华文中宋" w:hAnsi="华文中宋" w:eastAsia="华文中宋" w:cs="宋体"/>
          <w:b/>
          <w:sz w:val="28"/>
          <w:szCs w:val="32"/>
        </w:rPr>
      </w:pPr>
      <w:r>
        <w:rPr>
          <w:rFonts w:hint="eastAsia" w:ascii="华文中宋" w:hAnsi="华文中宋" w:eastAsia="华文中宋" w:cs="宋体"/>
          <w:b/>
          <w:sz w:val="28"/>
          <w:szCs w:val="32"/>
        </w:rPr>
        <w:t>四川鑫森建设工程咨询有限公司</w:t>
      </w:r>
    </w:p>
    <w:p>
      <w:pPr>
        <w:spacing w:line="240" w:lineRule="auto"/>
        <w:jc w:val="center"/>
        <w:rPr>
          <w:rFonts w:ascii="华文中宋" w:hAnsi="华文中宋" w:eastAsia="华文中宋" w:cs="宋体"/>
          <w:b/>
          <w:sz w:val="28"/>
          <w:szCs w:val="32"/>
        </w:rPr>
      </w:pPr>
      <w:r>
        <w:rPr>
          <w:rFonts w:hint="eastAsia" w:ascii="华文中宋" w:hAnsi="华文中宋" w:eastAsia="华文中宋" w:cs="宋体"/>
          <w:b/>
          <w:sz w:val="28"/>
          <w:szCs w:val="32"/>
        </w:rPr>
        <w:t>共同编制</w:t>
      </w:r>
    </w:p>
    <w:p>
      <w:pPr>
        <w:spacing w:line="240" w:lineRule="auto"/>
        <w:jc w:val="center"/>
        <w:rPr>
          <w:rFonts w:ascii="华文中宋" w:hAnsi="华文中宋" w:eastAsia="华文中宋"/>
          <w:sz w:val="24"/>
        </w:rPr>
        <w:sectPr>
          <w:footerReference r:id="rId5" w:type="first"/>
          <w:headerReference r:id="rId3" w:type="even"/>
          <w:footerReference r:id="rId4" w:type="even"/>
          <w:pgSz w:w="11907" w:h="16840"/>
          <w:pgMar w:top="1418" w:right="1514" w:bottom="1418" w:left="1985" w:header="851" w:footer="992" w:gutter="0"/>
          <w:pgNumType w:start="0"/>
          <w:cols w:space="720" w:num="1"/>
          <w:titlePg/>
          <w:docGrid w:linePitch="312" w:charSpace="0"/>
        </w:sectPr>
      </w:pPr>
      <w:bookmarkStart w:id="0" w:name="PO_年份小写_1"/>
      <w:r>
        <w:rPr>
          <w:rFonts w:hint="eastAsia" w:ascii="华文中宋" w:hAnsi="华文中宋" w:eastAsia="华文中宋" w:cs="宋体"/>
          <w:b/>
          <w:sz w:val="32"/>
          <w:szCs w:val="32"/>
          <w:lang w:val="zh-CN"/>
        </w:rPr>
        <w:t>二</w:t>
      </w:r>
      <w:r>
        <w:rPr>
          <w:rFonts w:ascii="华文中宋" w:hAnsi="华文中宋" w:eastAsia="华文中宋" w:cs="宋体"/>
          <w:b/>
          <w:sz w:val="32"/>
          <w:szCs w:val="32"/>
          <w:lang w:val="zh-CN"/>
        </w:rPr>
        <w:t>O一</w:t>
      </w:r>
      <w:bookmarkEnd w:id="0"/>
      <w:r>
        <w:rPr>
          <w:rFonts w:hint="eastAsia" w:ascii="华文中宋" w:hAnsi="华文中宋" w:eastAsia="华文中宋" w:cs="宋体"/>
          <w:b/>
          <w:sz w:val="32"/>
          <w:szCs w:val="32"/>
          <w:lang w:val="zh-CN"/>
        </w:rPr>
        <w:t>九年八月</w:t>
      </w:r>
      <w:bookmarkStart w:id="244" w:name="_GoBack"/>
      <w:bookmarkEnd w:id="244"/>
    </w:p>
    <w:p>
      <w:pPr>
        <w:jc w:val="center"/>
        <w:rPr>
          <w:rFonts w:ascii="华文中宋" w:hAnsi="华文中宋" w:eastAsia="华文中宋"/>
          <w:b/>
          <w:bCs/>
          <w:sz w:val="36"/>
          <w:szCs w:val="36"/>
        </w:rPr>
      </w:pPr>
      <w:bookmarkStart w:id="1" w:name="_Hlt101843627"/>
      <w:bookmarkEnd w:id="1"/>
      <w:bookmarkStart w:id="2" w:name="_Hlt101233737"/>
      <w:bookmarkEnd w:id="2"/>
      <w:r>
        <w:rPr>
          <w:rFonts w:hint="eastAsia" w:ascii="华文中宋" w:hAnsi="华文中宋" w:eastAsia="华文中宋"/>
          <w:b/>
          <w:bCs/>
          <w:sz w:val="36"/>
          <w:szCs w:val="36"/>
        </w:rPr>
        <w:t>目    录</w:t>
      </w:r>
    </w:p>
    <w:p>
      <w:pPr>
        <w:jc w:val="center"/>
        <w:rPr>
          <w:b/>
          <w:bCs/>
          <w:sz w:val="36"/>
          <w:szCs w:val="36"/>
        </w:rPr>
      </w:pPr>
    </w:p>
    <w:p>
      <w:pPr>
        <w:pStyle w:val="27"/>
        <w:tabs>
          <w:tab w:val="right" w:leader="middleDot" w:pos="8949"/>
        </w:tabs>
        <w:spacing w:line="480" w:lineRule="auto"/>
        <w:rPr>
          <w:rFonts w:asciiTheme="minorHAnsi" w:hAnsiTheme="minorHAnsi" w:eastAsiaTheme="minorEastAsia" w:cstheme="minorBidi"/>
          <w:b/>
          <w:sz w:val="24"/>
        </w:rPr>
      </w:pPr>
      <w:r>
        <w:rPr>
          <w:rFonts w:hint="eastAsia" w:ascii="宋体" w:hAnsi="宋体" w:cs="宋体"/>
          <w:b/>
          <w:sz w:val="24"/>
        </w:rPr>
        <w:fldChar w:fldCharType="begin"/>
      </w:r>
      <w:r>
        <w:rPr>
          <w:rFonts w:hint="eastAsia" w:ascii="宋体" w:hAnsi="宋体" w:cs="宋体"/>
          <w:b/>
          <w:sz w:val="24"/>
        </w:rPr>
        <w:instrText xml:space="preserve">TOC \o "1-1" \h \u </w:instrText>
      </w:r>
      <w:r>
        <w:rPr>
          <w:rFonts w:hint="eastAsia" w:ascii="宋体" w:hAnsi="宋体" w:cs="宋体"/>
          <w:b/>
          <w:sz w:val="24"/>
        </w:rPr>
        <w:fldChar w:fldCharType="separate"/>
      </w:r>
      <w:r>
        <w:fldChar w:fldCharType="begin"/>
      </w:r>
      <w:r>
        <w:instrText xml:space="preserve"> HYPERLINK \l "_Toc513065346" </w:instrText>
      </w:r>
      <w:r>
        <w:fldChar w:fldCharType="separate"/>
      </w:r>
      <w:r>
        <w:rPr>
          <w:rStyle w:val="44"/>
          <w:rFonts w:hint="eastAsia" w:ascii="华文中宋" w:hAnsi="华文中宋" w:eastAsia="华文中宋"/>
          <w:b/>
          <w:color w:val="auto"/>
          <w:sz w:val="24"/>
        </w:rPr>
        <w:t>第一章</w:t>
      </w:r>
      <w:r>
        <w:rPr>
          <w:rStyle w:val="44"/>
          <w:rFonts w:ascii="华文中宋" w:hAnsi="华文中宋" w:eastAsia="华文中宋"/>
          <w:b/>
          <w:color w:val="auto"/>
          <w:sz w:val="24"/>
        </w:rPr>
        <w:t xml:space="preserve">  </w:t>
      </w:r>
      <w:r>
        <w:rPr>
          <w:rStyle w:val="44"/>
          <w:rFonts w:hint="eastAsia" w:ascii="华文中宋" w:hAnsi="华文中宋" w:eastAsia="华文中宋"/>
          <w:b/>
          <w:color w:val="auto"/>
          <w:sz w:val="24"/>
        </w:rPr>
        <w:t>投标邀请</w:t>
      </w:r>
      <w:r>
        <w:rPr>
          <w:b/>
          <w:sz w:val="24"/>
        </w:rPr>
        <w:tab/>
      </w:r>
      <w:r>
        <w:rPr>
          <w:b/>
          <w:sz w:val="24"/>
        </w:rPr>
        <w:fldChar w:fldCharType="begin"/>
      </w:r>
      <w:r>
        <w:rPr>
          <w:b/>
          <w:sz w:val="24"/>
        </w:rPr>
        <w:instrText xml:space="preserve"> PAGEREF _Toc513065346 \h </w:instrText>
      </w:r>
      <w:r>
        <w:rPr>
          <w:b/>
          <w:sz w:val="24"/>
        </w:rPr>
        <w:fldChar w:fldCharType="separate"/>
      </w:r>
      <w:r>
        <w:rPr>
          <w:b/>
          <w:sz w:val="24"/>
        </w:rPr>
        <w:t>2</w:t>
      </w:r>
      <w:r>
        <w:rPr>
          <w:b/>
          <w:sz w:val="24"/>
        </w:rPr>
        <w:fldChar w:fldCharType="end"/>
      </w:r>
      <w:r>
        <w:rPr>
          <w:b/>
          <w:sz w:val="24"/>
        </w:rPr>
        <w:fldChar w:fldCharType="end"/>
      </w:r>
    </w:p>
    <w:p>
      <w:pPr>
        <w:pStyle w:val="27"/>
        <w:tabs>
          <w:tab w:val="right" w:leader="middleDot" w:pos="8949"/>
        </w:tabs>
        <w:spacing w:line="480" w:lineRule="auto"/>
        <w:rPr>
          <w:rFonts w:asciiTheme="minorHAnsi" w:hAnsiTheme="minorHAnsi" w:eastAsiaTheme="minorEastAsia" w:cstheme="minorBidi"/>
          <w:b/>
          <w:sz w:val="24"/>
        </w:rPr>
      </w:pPr>
      <w:r>
        <w:fldChar w:fldCharType="begin"/>
      </w:r>
      <w:r>
        <w:instrText xml:space="preserve"> HYPERLINK \l "_Toc513065347" </w:instrText>
      </w:r>
      <w:r>
        <w:fldChar w:fldCharType="separate"/>
      </w:r>
      <w:r>
        <w:rPr>
          <w:rStyle w:val="44"/>
          <w:rFonts w:hint="eastAsia" w:ascii="华文中宋" w:hAnsi="华文中宋" w:eastAsia="华文中宋"/>
          <w:b/>
          <w:color w:val="auto"/>
          <w:sz w:val="24"/>
        </w:rPr>
        <w:t>第二章</w:t>
      </w:r>
      <w:r>
        <w:rPr>
          <w:rStyle w:val="44"/>
          <w:rFonts w:ascii="华文中宋" w:hAnsi="华文中宋" w:eastAsia="华文中宋"/>
          <w:b/>
          <w:color w:val="auto"/>
          <w:sz w:val="24"/>
        </w:rPr>
        <w:t xml:space="preserve">  </w:t>
      </w:r>
      <w:r>
        <w:rPr>
          <w:rStyle w:val="44"/>
          <w:rFonts w:hint="eastAsia" w:ascii="华文中宋" w:hAnsi="华文中宋" w:eastAsia="华文中宋"/>
          <w:b/>
          <w:color w:val="auto"/>
          <w:sz w:val="24"/>
        </w:rPr>
        <w:t>投标人须知</w:t>
      </w:r>
      <w:r>
        <w:rPr>
          <w:b/>
          <w:sz w:val="24"/>
        </w:rPr>
        <w:tab/>
      </w:r>
      <w:r>
        <w:rPr>
          <w:b/>
          <w:sz w:val="24"/>
        </w:rPr>
        <w:fldChar w:fldCharType="begin"/>
      </w:r>
      <w:r>
        <w:rPr>
          <w:b/>
          <w:sz w:val="24"/>
        </w:rPr>
        <w:instrText xml:space="preserve"> PAGEREF _Toc513065347 \h </w:instrText>
      </w:r>
      <w:r>
        <w:rPr>
          <w:b/>
          <w:sz w:val="24"/>
        </w:rPr>
        <w:fldChar w:fldCharType="separate"/>
      </w:r>
      <w:r>
        <w:rPr>
          <w:b/>
          <w:sz w:val="24"/>
        </w:rPr>
        <w:t>5</w:t>
      </w:r>
      <w:r>
        <w:rPr>
          <w:b/>
          <w:sz w:val="24"/>
        </w:rPr>
        <w:fldChar w:fldCharType="end"/>
      </w:r>
      <w:r>
        <w:rPr>
          <w:b/>
          <w:sz w:val="24"/>
        </w:rPr>
        <w:fldChar w:fldCharType="end"/>
      </w:r>
    </w:p>
    <w:p>
      <w:pPr>
        <w:pStyle w:val="27"/>
        <w:tabs>
          <w:tab w:val="right" w:leader="middleDot" w:pos="8949"/>
        </w:tabs>
        <w:spacing w:line="480" w:lineRule="auto"/>
        <w:rPr>
          <w:rFonts w:asciiTheme="minorHAnsi" w:hAnsiTheme="minorHAnsi" w:cstheme="minorBidi"/>
          <w:b/>
          <w:sz w:val="24"/>
        </w:rPr>
      </w:pPr>
      <w:r>
        <w:fldChar w:fldCharType="begin"/>
      </w:r>
      <w:r>
        <w:instrText xml:space="preserve"> HYPERLINK \l "_Toc513065348" </w:instrText>
      </w:r>
      <w:r>
        <w:fldChar w:fldCharType="separate"/>
      </w:r>
      <w:r>
        <w:rPr>
          <w:rStyle w:val="44"/>
          <w:rFonts w:hint="eastAsia" w:ascii="华文中宋" w:hAnsi="华文中宋" w:eastAsia="华文中宋"/>
          <w:b/>
          <w:color w:val="auto"/>
          <w:sz w:val="24"/>
        </w:rPr>
        <w:t>第三章</w:t>
      </w:r>
      <w:r>
        <w:rPr>
          <w:rStyle w:val="44"/>
          <w:rFonts w:ascii="华文中宋" w:hAnsi="华文中宋" w:eastAsia="华文中宋"/>
          <w:b/>
          <w:color w:val="auto"/>
          <w:sz w:val="24"/>
        </w:rPr>
        <w:t xml:space="preserve">  </w:t>
      </w:r>
      <w:r>
        <w:rPr>
          <w:rStyle w:val="44"/>
          <w:rFonts w:hint="eastAsia" w:ascii="华文中宋" w:hAnsi="华文中宋" w:eastAsia="华文中宋"/>
          <w:b/>
          <w:color w:val="auto"/>
          <w:sz w:val="24"/>
        </w:rPr>
        <w:t>投标文件格式</w:t>
      </w:r>
      <w:r>
        <w:rPr>
          <w:b/>
          <w:sz w:val="24"/>
        </w:rPr>
        <w:tab/>
      </w:r>
      <w:r>
        <w:rPr>
          <w:rFonts w:hint="eastAsia"/>
          <w:b/>
          <w:sz w:val="24"/>
        </w:rPr>
        <w:t>2</w:t>
      </w:r>
      <w:r>
        <w:rPr>
          <w:rFonts w:hint="eastAsia"/>
          <w:b/>
          <w:sz w:val="24"/>
        </w:rPr>
        <w:fldChar w:fldCharType="end"/>
      </w:r>
      <w:r>
        <w:rPr>
          <w:rFonts w:hint="eastAsia"/>
          <w:b/>
          <w:sz w:val="24"/>
        </w:rPr>
        <w:t>4</w:t>
      </w:r>
    </w:p>
    <w:p>
      <w:pPr>
        <w:pStyle w:val="27"/>
        <w:tabs>
          <w:tab w:val="right" w:leader="middleDot" w:pos="8949"/>
        </w:tabs>
        <w:spacing w:line="480" w:lineRule="auto"/>
        <w:rPr>
          <w:rFonts w:asciiTheme="minorHAnsi" w:hAnsiTheme="minorHAnsi" w:cstheme="minorBidi"/>
          <w:b/>
          <w:sz w:val="24"/>
        </w:rPr>
      </w:pPr>
      <w:r>
        <w:fldChar w:fldCharType="begin"/>
      </w:r>
      <w:r>
        <w:instrText xml:space="preserve"> HYPERLINK \l "_Toc513065349" </w:instrText>
      </w:r>
      <w:r>
        <w:fldChar w:fldCharType="separate"/>
      </w:r>
      <w:r>
        <w:rPr>
          <w:rStyle w:val="44"/>
          <w:rFonts w:hint="eastAsia" w:ascii="华文中宋" w:hAnsi="华文中宋" w:eastAsia="华文中宋"/>
          <w:b/>
          <w:color w:val="auto"/>
          <w:sz w:val="24"/>
        </w:rPr>
        <w:t>第四章</w:t>
      </w:r>
      <w:r>
        <w:rPr>
          <w:rStyle w:val="44"/>
          <w:rFonts w:ascii="华文中宋" w:hAnsi="华文中宋" w:eastAsia="华文中宋"/>
          <w:b/>
          <w:color w:val="auto"/>
          <w:sz w:val="24"/>
        </w:rPr>
        <w:t xml:space="preserve">  </w:t>
      </w:r>
      <w:r>
        <w:rPr>
          <w:rStyle w:val="44"/>
          <w:rFonts w:hint="eastAsia" w:ascii="华文中宋" w:hAnsi="华文中宋" w:eastAsia="华文中宋"/>
          <w:b/>
          <w:color w:val="auto"/>
          <w:sz w:val="24"/>
        </w:rPr>
        <w:t>投标人和投标产品的资格、资质性及其他类似效力要求</w:t>
      </w:r>
      <w:r>
        <w:rPr>
          <w:b/>
          <w:sz w:val="24"/>
        </w:rPr>
        <w:tab/>
      </w:r>
      <w:r>
        <w:rPr>
          <w:rFonts w:hint="eastAsia"/>
          <w:b/>
          <w:sz w:val="24"/>
        </w:rPr>
        <w:t>4</w:t>
      </w:r>
      <w:r>
        <w:rPr>
          <w:rFonts w:hint="eastAsia"/>
          <w:b/>
          <w:sz w:val="24"/>
        </w:rPr>
        <w:fldChar w:fldCharType="end"/>
      </w:r>
      <w:r>
        <w:rPr>
          <w:rFonts w:hint="eastAsia"/>
          <w:b/>
          <w:sz w:val="24"/>
        </w:rPr>
        <w:t>1</w:t>
      </w:r>
    </w:p>
    <w:p>
      <w:pPr>
        <w:pStyle w:val="27"/>
        <w:tabs>
          <w:tab w:val="right" w:leader="middleDot" w:pos="8949"/>
        </w:tabs>
        <w:spacing w:line="480" w:lineRule="auto"/>
        <w:rPr>
          <w:rFonts w:asciiTheme="minorHAnsi" w:hAnsiTheme="minorHAnsi" w:cstheme="minorBidi"/>
          <w:b/>
          <w:sz w:val="24"/>
        </w:rPr>
      </w:pPr>
      <w:r>
        <w:fldChar w:fldCharType="begin"/>
      </w:r>
      <w:r>
        <w:instrText xml:space="preserve"> HYPERLINK \l "_Toc513065350" </w:instrText>
      </w:r>
      <w:r>
        <w:fldChar w:fldCharType="separate"/>
      </w:r>
      <w:r>
        <w:rPr>
          <w:rStyle w:val="44"/>
          <w:rFonts w:hint="eastAsia" w:ascii="华文中宋" w:hAnsi="华文中宋" w:eastAsia="华文中宋"/>
          <w:b/>
          <w:color w:val="auto"/>
          <w:sz w:val="24"/>
        </w:rPr>
        <w:t>第五章</w:t>
      </w:r>
      <w:r>
        <w:rPr>
          <w:rStyle w:val="44"/>
          <w:rFonts w:ascii="华文中宋" w:hAnsi="华文中宋" w:eastAsia="华文中宋"/>
          <w:b/>
          <w:color w:val="auto"/>
          <w:sz w:val="24"/>
        </w:rPr>
        <w:t xml:space="preserve">  </w:t>
      </w:r>
      <w:r>
        <w:rPr>
          <w:rStyle w:val="44"/>
          <w:rFonts w:hint="eastAsia" w:ascii="华文中宋" w:hAnsi="华文中宋" w:eastAsia="华文中宋"/>
          <w:b/>
          <w:color w:val="auto"/>
          <w:sz w:val="24"/>
        </w:rPr>
        <w:t>招标项目及要求</w:t>
      </w:r>
      <w:r>
        <w:rPr>
          <w:b/>
          <w:sz w:val="24"/>
        </w:rPr>
        <w:tab/>
      </w:r>
      <w:r>
        <w:rPr>
          <w:rFonts w:hint="eastAsia"/>
          <w:b/>
          <w:sz w:val="24"/>
        </w:rPr>
        <w:t>4</w:t>
      </w:r>
      <w:r>
        <w:rPr>
          <w:rFonts w:hint="eastAsia"/>
          <w:b/>
          <w:sz w:val="24"/>
        </w:rPr>
        <w:fldChar w:fldCharType="end"/>
      </w:r>
      <w:r>
        <w:rPr>
          <w:rFonts w:hint="eastAsia"/>
          <w:b/>
          <w:sz w:val="24"/>
        </w:rPr>
        <w:t>2</w:t>
      </w:r>
    </w:p>
    <w:p>
      <w:pPr>
        <w:pStyle w:val="27"/>
        <w:tabs>
          <w:tab w:val="right" w:leader="middleDot" w:pos="8949"/>
        </w:tabs>
        <w:spacing w:line="480" w:lineRule="auto"/>
        <w:rPr>
          <w:rFonts w:asciiTheme="minorHAnsi" w:hAnsiTheme="minorHAnsi" w:cstheme="minorBidi"/>
          <w:b/>
          <w:sz w:val="24"/>
        </w:rPr>
      </w:pPr>
      <w:r>
        <w:fldChar w:fldCharType="begin"/>
      </w:r>
      <w:r>
        <w:instrText xml:space="preserve"> HYPERLINK \l "_Toc513065352" </w:instrText>
      </w:r>
      <w:r>
        <w:fldChar w:fldCharType="separate"/>
      </w:r>
      <w:r>
        <w:rPr>
          <w:rStyle w:val="44"/>
          <w:rFonts w:hint="eastAsia" w:ascii="华文中宋" w:hAnsi="华文中宋" w:eastAsia="华文中宋"/>
          <w:b/>
          <w:color w:val="auto"/>
          <w:sz w:val="24"/>
        </w:rPr>
        <w:t>第六章</w:t>
      </w:r>
      <w:r>
        <w:rPr>
          <w:rStyle w:val="44"/>
          <w:rFonts w:ascii="华文中宋" w:hAnsi="华文中宋" w:eastAsia="华文中宋"/>
          <w:b/>
          <w:color w:val="auto"/>
          <w:sz w:val="24"/>
        </w:rPr>
        <w:t xml:space="preserve">  </w:t>
      </w:r>
      <w:r>
        <w:rPr>
          <w:rStyle w:val="44"/>
          <w:rFonts w:hint="eastAsia" w:ascii="华文中宋" w:hAnsi="华文中宋" w:eastAsia="华文中宋"/>
          <w:b/>
          <w:color w:val="auto"/>
          <w:sz w:val="24"/>
        </w:rPr>
        <w:t>评标办法</w:t>
      </w:r>
      <w:r>
        <w:rPr>
          <w:b/>
          <w:sz w:val="24"/>
        </w:rPr>
        <w:tab/>
      </w:r>
      <w:r>
        <w:rPr>
          <w:rFonts w:hint="eastAsia"/>
          <w:b/>
          <w:sz w:val="24"/>
        </w:rPr>
        <w:t>4</w:t>
      </w:r>
      <w:r>
        <w:rPr>
          <w:rFonts w:hint="eastAsia"/>
          <w:b/>
          <w:sz w:val="24"/>
        </w:rPr>
        <w:fldChar w:fldCharType="end"/>
      </w:r>
      <w:r>
        <w:rPr>
          <w:rFonts w:hint="eastAsia"/>
          <w:b/>
          <w:sz w:val="24"/>
        </w:rPr>
        <w:t>6</w:t>
      </w:r>
    </w:p>
    <w:p>
      <w:pPr>
        <w:pStyle w:val="27"/>
        <w:tabs>
          <w:tab w:val="right" w:leader="middleDot" w:pos="8949"/>
        </w:tabs>
        <w:spacing w:line="480" w:lineRule="auto"/>
        <w:rPr>
          <w:rFonts w:asciiTheme="minorHAnsi" w:hAnsiTheme="minorHAnsi" w:cstheme="minorBidi"/>
          <w:b/>
          <w:sz w:val="24"/>
        </w:rPr>
      </w:pPr>
      <w:r>
        <w:fldChar w:fldCharType="begin"/>
      </w:r>
      <w:r>
        <w:instrText xml:space="preserve"> HYPERLINK \l "_Toc513065353" </w:instrText>
      </w:r>
      <w:r>
        <w:fldChar w:fldCharType="separate"/>
      </w:r>
      <w:r>
        <w:rPr>
          <w:rStyle w:val="44"/>
          <w:rFonts w:hint="eastAsia" w:ascii="华文中宋" w:hAnsi="华文中宋" w:eastAsia="华文中宋"/>
          <w:b/>
          <w:color w:val="auto"/>
          <w:sz w:val="24"/>
        </w:rPr>
        <w:t>第七章</w:t>
      </w:r>
      <w:r>
        <w:rPr>
          <w:rStyle w:val="44"/>
          <w:rFonts w:ascii="华文中宋" w:hAnsi="华文中宋" w:eastAsia="华文中宋"/>
          <w:b/>
          <w:color w:val="auto"/>
          <w:sz w:val="24"/>
        </w:rPr>
        <w:t xml:space="preserve">  </w:t>
      </w:r>
      <w:r>
        <w:rPr>
          <w:rStyle w:val="44"/>
          <w:rFonts w:hint="eastAsia" w:ascii="华文中宋" w:hAnsi="华文中宋" w:eastAsia="华文中宋"/>
          <w:b/>
          <w:color w:val="auto"/>
          <w:sz w:val="24"/>
        </w:rPr>
        <w:t>政府采购合同</w:t>
      </w:r>
      <w:r>
        <w:rPr>
          <w:b/>
          <w:sz w:val="24"/>
        </w:rPr>
        <w:tab/>
      </w:r>
      <w:r>
        <w:rPr>
          <w:rFonts w:hint="eastAsia"/>
          <w:b/>
          <w:sz w:val="24"/>
        </w:rPr>
        <w:t>5</w:t>
      </w:r>
      <w:r>
        <w:rPr>
          <w:rFonts w:hint="eastAsia"/>
          <w:b/>
          <w:sz w:val="24"/>
        </w:rPr>
        <w:fldChar w:fldCharType="end"/>
      </w:r>
      <w:r>
        <w:rPr>
          <w:rFonts w:hint="eastAsia"/>
          <w:b/>
          <w:sz w:val="24"/>
        </w:rPr>
        <w:t>7</w:t>
      </w:r>
    </w:p>
    <w:p>
      <w:pPr>
        <w:spacing w:line="480" w:lineRule="auto"/>
        <w:rPr>
          <w:sz w:val="28"/>
          <w:szCs w:val="28"/>
        </w:rPr>
        <w:sectPr>
          <w:footerReference r:id="rId6" w:type="default"/>
          <w:pgSz w:w="11907" w:h="16840"/>
          <w:pgMar w:top="1440" w:right="1474" w:bottom="1440" w:left="1474" w:header="851" w:footer="992" w:gutter="0"/>
          <w:pgNumType w:start="1"/>
          <w:cols w:space="720" w:num="1"/>
          <w:docGrid w:linePitch="312" w:charSpace="0"/>
        </w:sectPr>
      </w:pPr>
      <w:r>
        <w:rPr>
          <w:rFonts w:hint="eastAsia" w:ascii="宋体" w:hAnsi="宋体" w:cs="宋体"/>
          <w:b/>
          <w:sz w:val="24"/>
        </w:rPr>
        <w:fldChar w:fldCharType="end"/>
      </w:r>
      <w:bookmarkStart w:id="3" w:name="_Toc24584"/>
    </w:p>
    <w:p>
      <w:pPr>
        <w:pStyle w:val="3"/>
        <w:spacing w:line="240" w:lineRule="atLeast"/>
        <w:jc w:val="center"/>
        <w:rPr>
          <w:rFonts w:ascii="华文中宋" w:hAnsi="华文中宋" w:eastAsia="华文中宋"/>
          <w:sz w:val="36"/>
          <w:szCs w:val="36"/>
        </w:rPr>
      </w:pPr>
      <w:bookmarkStart w:id="4" w:name="_Toc513065346"/>
      <w:r>
        <w:rPr>
          <w:rFonts w:hint="eastAsia" w:ascii="华文中宋" w:hAnsi="华文中宋" w:eastAsia="华文中宋"/>
          <w:sz w:val="36"/>
          <w:szCs w:val="36"/>
        </w:rPr>
        <w:t>第一章  投标邀请</w:t>
      </w:r>
      <w:bookmarkEnd w:id="3"/>
      <w:bookmarkEnd w:id="4"/>
    </w:p>
    <w:p>
      <w:pPr>
        <w:tabs>
          <w:tab w:val="left" w:pos="7665"/>
        </w:tabs>
        <w:spacing w:line="400" w:lineRule="exact"/>
        <w:ind w:firstLine="600" w:firstLineChars="250"/>
        <w:rPr>
          <w:rFonts w:ascii="宋体" w:hAnsi="宋体" w:cs="宋体"/>
          <w:sz w:val="24"/>
        </w:rPr>
      </w:pPr>
      <w:r>
        <w:rPr>
          <w:rFonts w:hint="eastAsia" w:ascii="宋体" w:hAnsi="宋体" w:cs="宋体"/>
          <w:sz w:val="24"/>
          <w:u w:val="single"/>
          <w:lang w:val="zh-CN"/>
        </w:rPr>
        <w:t>四川鑫森建设工程咨询有限公司</w:t>
      </w:r>
      <w:r>
        <w:rPr>
          <w:rFonts w:hint="eastAsia" w:ascii="宋体" w:hAnsi="宋体" w:cs="宋体"/>
          <w:sz w:val="24"/>
        </w:rPr>
        <w:t>受</w:t>
      </w:r>
      <w:r>
        <w:rPr>
          <w:rFonts w:hint="eastAsia" w:ascii="宋体" w:hAnsi="宋体" w:cs="宋体"/>
          <w:sz w:val="24"/>
          <w:u w:val="single"/>
        </w:rPr>
        <w:t>中国邮政集团公司成都市分公司</w:t>
      </w:r>
      <w:r>
        <w:rPr>
          <w:rFonts w:hint="eastAsia" w:ascii="宋体" w:hAnsi="宋体" w:cs="宋体"/>
          <w:sz w:val="24"/>
        </w:rPr>
        <w:t>委托，拟对</w:t>
      </w:r>
      <w:bookmarkStart w:id="5" w:name="PO_默认文件内容_4"/>
      <w:r>
        <w:rPr>
          <w:rFonts w:hint="eastAsia" w:ascii="宋体" w:hAnsi="宋体" w:cs="宋体"/>
          <w:sz w:val="24"/>
          <w:u w:val="single"/>
        </w:rPr>
        <w:t>快递包裹部关于2019年快递包裹业务揽收非核心环节业务外包项目</w:t>
      </w:r>
      <w:r>
        <w:rPr>
          <w:rFonts w:hint="eastAsia" w:ascii="宋体" w:hAnsi="宋体" w:cs="宋体"/>
          <w:sz w:val="24"/>
        </w:rPr>
        <w:t>进行国内公开招标，兹邀请符合本次招标要求的供应商参加投标。</w:t>
      </w:r>
      <w:bookmarkEnd w:id="5"/>
    </w:p>
    <w:p>
      <w:pPr>
        <w:numPr>
          <w:ilvl w:val="0"/>
          <w:numId w:val="1"/>
        </w:numPr>
        <w:spacing w:line="360" w:lineRule="auto"/>
        <w:ind w:right="31" w:rightChars="15" w:firstLine="482" w:firstLineChars="200"/>
        <w:rPr>
          <w:rFonts w:ascii="宋体"/>
          <w:b/>
          <w:sz w:val="24"/>
        </w:rPr>
      </w:pPr>
      <w:r>
        <w:rPr>
          <w:rFonts w:hint="eastAsia" w:ascii="宋体"/>
          <w:b/>
          <w:sz w:val="24"/>
        </w:rPr>
        <w:t>招标编号：scxs20190801号</w:t>
      </w:r>
    </w:p>
    <w:p>
      <w:pPr>
        <w:spacing w:line="360" w:lineRule="auto"/>
        <w:ind w:right="31" w:rightChars="15" w:firstLine="482" w:firstLineChars="200"/>
        <w:rPr>
          <w:rFonts w:ascii="宋体"/>
          <w:b/>
          <w:sz w:val="24"/>
          <w:szCs w:val="32"/>
        </w:rPr>
      </w:pPr>
      <w:r>
        <w:rPr>
          <w:rFonts w:hint="eastAsia" w:ascii="宋体"/>
          <w:b/>
          <w:bCs/>
          <w:sz w:val="24"/>
        </w:rPr>
        <w:t>二、</w:t>
      </w:r>
      <w:r>
        <w:rPr>
          <w:rFonts w:hint="eastAsia" w:ascii="宋体"/>
          <w:b/>
          <w:sz w:val="24"/>
        </w:rPr>
        <w:t>招标项目：快递包裹部关于2019年快递包裹业务揽收非核心环节业务外包项目。</w:t>
      </w:r>
    </w:p>
    <w:p>
      <w:pPr>
        <w:spacing w:line="360" w:lineRule="auto"/>
        <w:ind w:right="31" w:rightChars="15" w:firstLine="482" w:firstLineChars="200"/>
        <w:rPr>
          <w:rFonts w:ascii="宋体"/>
          <w:b/>
          <w:bCs/>
          <w:sz w:val="24"/>
        </w:rPr>
      </w:pPr>
      <w:r>
        <w:rPr>
          <w:rFonts w:hint="eastAsia" w:ascii="宋体"/>
          <w:b/>
          <w:sz w:val="24"/>
          <w:szCs w:val="28"/>
        </w:rPr>
        <w:t>三、资金来源：</w:t>
      </w:r>
      <w:bookmarkStart w:id="6" w:name="PO_资金性质_1"/>
      <w:r>
        <w:rPr>
          <w:rFonts w:hint="eastAsia" w:ascii="宋体"/>
          <w:b/>
          <w:sz w:val="24"/>
          <w:szCs w:val="28"/>
        </w:rPr>
        <w:t>自筹</w:t>
      </w:r>
      <w:r>
        <w:rPr>
          <w:rFonts w:hint="eastAsia" w:ascii="宋体" w:hAnsi="宋体"/>
          <w:sz w:val="24"/>
        </w:rPr>
        <w:t>资金</w:t>
      </w:r>
      <w:bookmarkEnd w:id="6"/>
    </w:p>
    <w:p>
      <w:pPr>
        <w:spacing w:line="360" w:lineRule="auto"/>
        <w:ind w:firstLine="482" w:firstLineChars="200"/>
        <w:rPr>
          <w:rFonts w:ascii="宋体"/>
          <w:b/>
          <w:sz w:val="24"/>
        </w:rPr>
      </w:pPr>
      <w:r>
        <w:rPr>
          <w:rFonts w:hint="eastAsia" w:ascii="宋体"/>
          <w:b/>
          <w:sz w:val="24"/>
        </w:rPr>
        <w:t>四</w:t>
      </w:r>
      <w:r>
        <w:rPr>
          <w:rFonts w:hint="eastAsia" w:ascii="宋体"/>
          <w:b/>
          <w:bCs/>
          <w:sz w:val="24"/>
        </w:rPr>
        <w:t>、</w:t>
      </w:r>
      <w:r>
        <w:rPr>
          <w:rFonts w:hint="eastAsia" w:ascii="宋体"/>
          <w:b/>
          <w:sz w:val="24"/>
        </w:rPr>
        <w:t>招标项目简介：</w:t>
      </w:r>
      <w:r>
        <w:rPr>
          <w:rFonts w:hint="eastAsia" w:ascii="宋体"/>
          <w:bCs/>
          <w:sz w:val="24"/>
          <w:szCs w:val="32"/>
        </w:rPr>
        <w:t>2016年以来，成都公司通过揽收非核心环节业务外包，在解决人力配置不足，降低人工成本的同时，不断提升客户用邮体验，较好满足快递包裹业务规模不断扩大的需求。拟继续对揽收非核心环节实现业务外包.</w:t>
      </w:r>
      <w:r>
        <w:rPr>
          <w:rFonts w:ascii="宋体"/>
          <w:bCs/>
          <w:sz w:val="24"/>
          <w:szCs w:val="32"/>
        </w:rPr>
        <w:t xml:space="preserve"> </w:t>
      </w:r>
    </w:p>
    <w:p>
      <w:pPr>
        <w:spacing w:afterLines="50" w:line="420" w:lineRule="exact"/>
        <w:ind w:firstLine="464" w:firstLineChars="200"/>
        <w:rPr>
          <w:rFonts w:ascii="宋体"/>
          <w:bCs/>
          <w:sz w:val="24"/>
          <w:szCs w:val="32"/>
        </w:rPr>
      </w:pPr>
      <w:bookmarkStart w:id="7" w:name="PO_默认文件内容_3"/>
      <w:r>
        <w:rPr>
          <w:rFonts w:hint="eastAsia" w:hAnsi="宋体"/>
          <w:spacing w:val="-4"/>
          <w:sz w:val="24"/>
        </w:rPr>
        <w:t>采购</w:t>
      </w:r>
      <w:r>
        <w:rPr>
          <w:rFonts w:hint="eastAsia" w:ascii="宋体"/>
          <w:bCs/>
          <w:sz w:val="24"/>
          <w:szCs w:val="32"/>
        </w:rPr>
        <w:t>内容如下：</w:t>
      </w:r>
    </w:p>
    <w:p>
      <w:pPr>
        <w:spacing w:afterLines="50" w:line="420" w:lineRule="exact"/>
        <w:ind w:firstLine="480" w:firstLineChars="200"/>
        <w:rPr>
          <w:rFonts w:hAnsi="宋体"/>
          <w:sz w:val="24"/>
          <w:szCs w:val="28"/>
        </w:rPr>
      </w:pPr>
      <w:r>
        <w:rPr>
          <w:rFonts w:hint="eastAsia" w:hAnsi="宋体"/>
          <w:sz w:val="24"/>
          <w:szCs w:val="28"/>
        </w:rPr>
        <w:t>（具体详见招标文件第六章）。</w:t>
      </w:r>
      <w:bookmarkEnd w:id="7"/>
    </w:p>
    <w:p>
      <w:pPr>
        <w:spacing w:afterLines="50" w:line="420" w:lineRule="exact"/>
        <w:ind w:firstLine="482" w:firstLineChars="200"/>
        <w:rPr>
          <w:rFonts w:ascii="宋体"/>
          <w:b/>
          <w:bCs/>
          <w:sz w:val="24"/>
        </w:rPr>
      </w:pPr>
      <w:r>
        <w:rPr>
          <w:rFonts w:hint="eastAsia" w:ascii="宋体"/>
          <w:b/>
          <w:bCs/>
          <w:sz w:val="24"/>
        </w:rPr>
        <w:t>五、供应商参加本次采购活动，应当在提交投标文件前具备下列条件：</w:t>
      </w:r>
    </w:p>
    <w:p>
      <w:pPr>
        <w:pStyle w:val="58"/>
        <w:spacing w:line="420" w:lineRule="exact"/>
        <w:ind w:firstLine="600" w:firstLineChars="250"/>
        <w:rPr>
          <w:rFonts w:ascii="宋体" w:hAnsi="宋体" w:cs="宋体"/>
          <w:sz w:val="24"/>
        </w:rPr>
      </w:pPr>
      <w:bookmarkStart w:id="8" w:name="PO_供应商资格条件_1"/>
      <w:r>
        <w:rPr>
          <w:rFonts w:hint="eastAsia" w:ascii="宋体" w:hAnsi="宋体" w:cs="宋体"/>
          <w:sz w:val="24"/>
        </w:rPr>
        <w:t>1、具有独立承担民事责任的能力；</w:t>
      </w:r>
    </w:p>
    <w:p>
      <w:pPr>
        <w:tabs>
          <w:tab w:val="left" w:pos="7665"/>
        </w:tabs>
        <w:spacing w:line="400" w:lineRule="exact"/>
        <w:ind w:firstLine="600" w:firstLineChars="250"/>
        <w:rPr>
          <w:rFonts w:ascii="宋体" w:hAnsi="宋体" w:cs="宋体"/>
          <w:sz w:val="24"/>
        </w:rPr>
      </w:pPr>
      <w:r>
        <w:rPr>
          <w:rFonts w:hint="eastAsia" w:ascii="宋体" w:hAnsi="宋体" w:cs="宋体"/>
          <w:sz w:val="24"/>
        </w:rPr>
        <w:t>2、具有良好的商业信誉和健全的财务会计制度；</w:t>
      </w:r>
    </w:p>
    <w:p>
      <w:pPr>
        <w:tabs>
          <w:tab w:val="left" w:pos="7665"/>
        </w:tabs>
        <w:spacing w:line="400" w:lineRule="exact"/>
        <w:ind w:firstLine="600" w:firstLineChars="250"/>
        <w:rPr>
          <w:rFonts w:ascii="宋体" w:hAnsi="宋体" w:cs="宋体"/>
          <w:sz w:val="24"/>
        </w:rPr>
      </w:pPr>
      <w:r>
        <w:rPr>
          <w:rFonts w:hint="eastAsia" w:ascii="宋体" w:hAnsi="宋体" w:cs="宋体"/>
          <w:sz w:val="24"/>
        </w:rPr>
        <w:t>3、具有履行合同所必须的设备和专业技术能力；</w:t>
      </w:r>
    </w:p>
    <w:p>
      <w:pPr>
        <w:tabs>
          <w:tab w:val="left" w:pos="7665"/>
        </w:tabs>
        <w:spacing w:line="400" w:lineRule="exact"/>
        <w:ind w:firstLine="600" w:firstLineChars="250"/>
        <w:rPr>
          <w:rFonts w:ascii="宋体" w:hAnsi="宋体" w:cs="宋体"/>
          <w:sz w:val="24"/>
        </w:rPr>
      </w:pPr>
      <w:r>
        <w:rPr>
          <w:rFonts w:hint="eastAsia" w:ascii="宋体" w:hAnsi="宋体" w:cs="宋体"/>
          <w:sz w:val="24"/>
        </w:rPr>
        <w:t>4、具有依法缴纳税收和社会保障资金的良好记录；</w:t>
      </w:r>
    </w:p>
    <w:p>
      <w:pPr>
        <w:tabs>
          <w:tab w:val="left" w:pos="7665"/>
        </w:tabs>
        <w:spacing w:line="400" w:lineRule="exact"/>
        <w:ind w:firstLine="600" w:firstLineChars="250"/>
        <w:rPr>
          <w:rFonts w:ascii="宋体" w:hAnsi="宋体" w:cs="宋体"/>
          <w:sz w:val="24"/>
        </w:rPr>
      </w:pPr>
      <w:r>
        <w:rPr>
          <w:rFonts w:hint="eastAsia" w:ascii="宋体" w:hAnsi="宋体" w:cs="宋体"/>
          <w:sz w:val="24"/>
        </w:rPr>
        <w:t>5、参加本次采购活动前三年内，在经营活动中没有重大违法记录；</w:t>
      </w:r>
    </w:p>
    <w:p>
      <w:pPr>
        <w:pStyle w:val="58"/>
        <w:spacing w:line="420" w:lineRule="exact"/>
        <w:ind w:firstLine="600" w:firstLineChars="250"/>
        <w:rPr>
          <w:rFonts w:ascii="宋体" w:hAnsi="宋体" w:cs="宋体"/>
          <w:sz w:val="24"/>
        </w:rPr>
      </w:pPr>
      <w:r>
        <w:rPr>
          <w:rFonts w:hint="eastAsia" w:ascii="宋体" w:hAnsi="宋体" w:cs="宋体"/>
          <w:sz w:val="24"/>
        </w:rPr>
        <w:t>6、供应商和投标产品还符合法律、行政法规规定的其他强制性条件；</w:t>
      </w:r>
    </w:p>
    <w:p>
      <w:pPr>
        <w:pStyle w:val="58"/>
        <w:spacing w:line="420" w:lineRule="exact"/>
        <w:ind w:firstLine="600" w:firstLineChars="250"/>
        <w:rPr>
          <w:rFonts w:ascii="宋体" w:hAnsi="宋体" w:cs="宋体"/>
          <w:sz w:val="24"/>
        </w:rPr>
      </w:pPr>
      <w:r>
        <w:rPr>
          <w:rFonts w:ascii="宋体" w:hAnsi="宋体" w:cs="宋体"/>
          <w:sz w:val="24"/>
        </w:rPr>
        <w:t>7</w:t>
      </w:r>
      <w:r>
        <w:rPr>
          <w:rFonts w:hint="eastAsia" w:ascii="宋体" w:hAnsi="宋体" w:cs="宋体"/>
          <w:sz w:val="24"/>
        </w:rPr>
        <w:t>、本项目不接受联合体投标。</w:t>
      </w:r>
    </w:p>
    <w:p>
      <w:pPr>
        <w:pStyle w:val="58"/>
        <w:spacing w:line="420" w:lineRule="exact"/>
        <w:ind w:firstLine="600" w:firstLineChars="250"/>
        <w:rPr>
          <w:rFonts w:ascii="宋体" w:hAnsi="宋体" w:cs="宋体"/>
          <w:sz w:val="24"/>
        </w:rPr>
      </w:pPr>
      <w:r>
        <w:rPr>
          <w:rFonts w:hint="eastAsia" w:ascii="宋体" w:hAnsi="宋体" w:cs="宋体"/>
          <w:sz w:val="24"/>
        </w:rPr>
        <w:t>（具体详见招标文件第四章）。</w:t>
      </w:r>
    </w:p>
    <w:bookmarkEnd w:id="8"/>
    <w:p>
      <w:pPr>
        <w:spacing w:line="440" w:lineRule="exact"/>
        <w:ind w:firstLine="482" w:firstLineChars="200"/>
        <w:rPr>
          <w:rFonts w:ascii="宋体" w:hAnsi="宋体"/>
          <w:b/>
          <w:sz w:val="24"/>
        </w:rPr>
      </w:pPr>
      <w:r>
        <w:rPr>
          <w:rFonts w:hint="eastAsia" w:ascii="宋体" w:hAnsi="宋体"/>
          <w:b/>
          <w:sz w:val="24"/>
        </w:rPr>
        <w:t>六、禁止参加本次采购活动的供应商</w:t>
      </w:r>
    </w:p>
    <w:p>
      <w:pPr>
        <w:wordWrap w:val="0"/>
        <w:spacing w:line="440" w:lineRule="exact"/>
        <w:ind w:firstLine="480" w:firstLineChars="200"/>
        <w:jc w:val="left"/>
        <w:rPr>
          <w:rFonts w:ascii="宋体" w:hAnsi="宋体"/>
          <w:sz w:val="24"/>
        </w:rPr>
      </w:pPr>
      <w:bookmarkStart w:id="9" w:name="PO_默认文件内容_7"/>
      <w:r>
        <w:rPr>
          <w:rFonts w:hint="eastAsia" w:ascii="宋体" w:hAnsi="宋体"/>
          <w:sz w:val="24"/>
        </w:rPr>
        <w:t>根据《关于在政府采购活动中查询及使用信用记录有关问题的通知》（财库〔2016〕125号）的要求，采购人/采购代理机构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w:t>
      </w:r>
    </w:p>
    <w:bookmarkEnd w:id="9"/>
    <w:p>
      <w:pPr>
        <w:spacing w:after="50" w:line="420" w:lineRule="exact"/>
        <w:ind w:firstLine="482" w:firstLineChars="200"/>
        <w:rPr>
          <w:rFonts w:ascii="宋体"/>
          <w:b/>
          <w:sz w:val="24"/>
        </w:rPr>
      </w:pPr>
      <w:r>
        <w:rPr>
          <w:rFonts w:hint="eastAsia" w:ascii="宋体"/>
          <w:b/>
          <w:sz w:val="24"/>
        </w:rPr>
        <w:t>七、招标文件获取时间、地点：</w:t>
      </w:r>
    </w:p>
    <w:p>
      <w:pPr>
        <w:spacing w:after="50" w:line="420" w:lineRule="exact"/>
        <w:ind w:firstLine="482" w:firstLineChars="200"/>
        <w:rPr>
          <w:rFonts w:ascii="宋体"/>
          <w:sz w:val="24"/>
        </w:rPr>
      </w:pPr>
      <w:r>
        <w:rPr>
          <w:rFonts w:hint="eastAsia" w:ascii="宋体"/>
          <w:b/>
          <w:bCs/>
          <w:sz w:val="24"/>
        </w:rPr>
        <w:t>招标文件自</w:t>
      </w:r>
      <w:r>
        <w:rPr>
          <w:rFonts w:hint="eastAsia" w:hAnsi="宋体"/>
          <w:b/>
          <w:bCs/>
          <w:sz w:val="24"/>
          <w:u w:val="single"/>
        </w:rPr>
        <w:t>2019年8月</w:t>
      </w:r>
      <w:r>
        <w:rPr>
          <w:rFonts w:hint="eastAsia" w:hAnsi="宋体"/>
          <w:b/>
          <w:bCs/>
          <w:sz w:val="24"/>
          <w:u w:val="single"/>
          <w:lang w:val="en-US" w:eastAsia="zh-CN"/>
        </w:rPr>
        <w:t>6</w:t>
      </w:r>
      <w:r>
        <w:rPr>
          <w:rFonts w:hint="eastAsia" w:hAnsi="宋体"/>
          <w:b/>
          <w:bCs/>
          <w:sz w:val="24"/>
          <w:u w:val="single"/>
        </w:rPr>
        <w:t xml:space="preserve"> 日</w:t>
      </w:r>
      <w:r>
        <w:rPr>
          <w:rFonts w:hAnsi="宋体"/>
          <w:b/>
          <w:bCs/>
          <w:sz w:val="24"/>
          <w:u w:val="single"/>
        </w:rPr>
        <w:t>至</w:t>
      </w:r>
      <w:r>
        <w:rPr>
          <w:rFonts w:hint="eastAsia" w:hAnsi="宋体"/>
          <w:b/>
          <w:bCs/>
          <w:sz w:val="24"/>
          <w:u w:val="single"/>
        </w:rPr>
        <w:t>2019年8月</w:t>
      </w:r>
      <w:r>
        <w:rPr>
          <w:rFonts w:hint="eastAsia" w:hAnsi="宋体"/>
          <w:b/>
          <w:bCs/>
          <w:sz w:val="24"/>
          <w:u w:val="single"/>
          <w:lang w:val="en-US" w:eastAsia="zh-CN"/>
        </w:rPr>
        <w:t>12</w:t>
      </w:r>
      <w:r>
        <w:rPr>
          <w:rFonts w:hint="eastAsia" w:hAnsi="宋体"/>
          <w:b/>
          <w:bCs/>
          <w:sz w:val="24"/>
          <w:u w:val="single"/>
        </w:rPr>
        <w:t>日</w:t>
      </w:r>
      <w:r>
        <w:rPr>
          <w:rFonts w:hint="eastAsia" w:hAnsi="宋体"/>
          <w:b/>
          <w:bCs/>
          <w:sz w:val="24"/>
        </w:rPr>
        <w:t>每天</w:t>
      </w:r>
      <w:r>
        <w:rPr>
          <w:rFonts w:hint="eastAsia" w:hAnsi="宋体"/>
          <w:sz w:val="24"/>
        </w:rPr>
        <w:t>09:30-16:30</w:t>
      </w:r>
      <w:r>
        <w:rPr>
          <w:rFonts w:hint="eastAsia" w:ascii="宋体"/>
          <w:sz w:val="24"/>
          <w:szCs w:val="28"/>
        </w:rPr>
        <w:t>（北京时间，法定节假日除外）</w:t>
      </w:r>
      <w:r>
        <w:rPr>
          <w:rFonts w:hint="eastAsia" w:ascii="宋体"/>
          <w:sz w:val="24"/>
          <w:szCs w:val="28"/>
          <w:lang w:val="zh-CN"/>
        </w:rPr>
        <w:t>在</w:t>
      </w:r>
      <w:r>
        <w:rPr>
          <w:rFonts w:hint="eastAsia" w:ascii="宋体"/>
          <w:sz w:val="24"/>
          <w:szCs w:val="28"/>
        </w:rPr>
        <w:t>四川鑫森建设工程咨询有限公司（成都市高新区天府三街新希望国际A-1407室）</w:t>
      </w:r>
      <w:r>
        <w:rPr>
          <w:rFonts w:hint="eastAsia" w:ascii="宋体"/>
          <w:sz w:val="24"/>
          <w:szCs w:val="28"/>
          <w:lang w:val="zh-CN"/>
        </w:rPr>
        <w:t>购买</w:t>
      </w:r>
      <w:r>
        <w:rPr>
          <w:rFonts w:hint="eastAsia" w:ascii="宋体"/>
          <w:sz w:val="24"/>
        </w:rPr>
        <w:t>，招标文件售价：人民币150元/份。（招标文件售后不退, 投标资格不能转让）。</w:t>
      </w:r>
      <w:r>
        <w:rPr>
          <w:rFonts w:hint="eastAsia" w:ascii="宋体"/>
          <w:sz w:val="24"/>
        </w:rPr>
        <w:br w:type="textWrapping"/>
      </w:r>
      <w:r>
        <w:rPr>
          <w:rFonts w:hint="eastAsia" w:ascii="宋体"/>
          <w:sz w:val="24"/>
        </w:rPr>
        <w:t xml:space="preserve">    </w:t>
      </w:r>
      <w:r>
        <w:rPr>
          <w:rFonts w:hAnsi="宋体"/>
          <w:sz w:val="24"/>
          <w:lang w:val="zh-CN"/>
        </w:rPr>
        <w:t>购买</w:t>
      </w:r>
      <w:r>
        <w:rPr>
          <w:rFonts w:hint="eastAsia" w:hAnsi="宋体"/>
          <w:sz w:val="24"/>
          <w:lang w:val="zh-CN"/>
        </w:rPr>
        <w:t>招标</w:t>
      </w:r>
      <w:r>
        <w:rPr>
          <w:rFonts w:hAnsi="宋体"/>
          <w:sz w:val="24"/>
          <w:lang w:val="zh-CN"/>
        </w:rPr>
        <w:t>文件必须携带以下资料：</w:t>
      </w:r>
      <w:r>
        <w:rPr>
          <w:rFonts w:hint="eastAsia" w:hAnsi="宋体"/>
          <w:sz w:val="24"/>
          <w:lang w:val="zh-CN"/>
        </w:rPr>
        <w:t>供应商为法人或者其他组织的，需提供单位介绍信或</w:t>
      </w:r>
      <w:r>
        <w:rPr>
          <w:rFonts w:hAnsi="宋体"/>
          <w:sz w:val="24"/>
          <w:lang w:val="zh-CN"/>
        </w:rPr>
        <w:t>法人授权书</w:t>
      </w:r>
      <w:r>
        <w:rPr>
          <w:rFonts w:hint="eastAsia" w:hAnsi="宋体"/>
          <w:sz w:val="24"/>
          <w:lang w:val="zh-CN"/>
        </w:rPr>
        <w:t>、授权</w:t>
      </w:r>
      <w:r>
        <w:rPr>
          <w:rFonts w:hAnsi="宋体"/>
          <w:sz w:val="24"/>
          <w:lang w:val="zh-CN"/>
        </w:rPr>
        <w:t>代表</w:t>
      </w:r>
      <w:r>
        <w:rPr>
          <w:rFonts w:hint="eastAsia" w:hAnsi="宋体"/>
          <w:sz w:val="24"/>
          <w:lang w:val="zh-CN"/>
        </w:rPr>
        <w:t>身份证</w:t>
      </w:r>
      <w:r>
        <w:rPr>
          <w:rFonts w:hint="eastAsia" w:hAnsi="宋体"/>
          <w:b/>
          <w:sz w:val="24"/>
          <w:lang w:val="zh-CN"/>
        </w:rPr>
        <w:t>（验原件，留加盖公司公章的复印件）</w:t>
      </w:r>
      <w:r>
        <w:rPr>
          <w:rFonts w:hint="eastAsia" w:hAnsi="宋体"/>
          <w:sz w:val="24"/>
          <w:lang w:val="zh-CN"/>
        </w:rPr>
        <w:t>；供应商为自然人的，需提供本人身份证明</w:t>
      </w:r>
      <w:r>
        <w:rPr>
          <w:rFonts w:hint="eastAsia" w:hAnsi="宋体"/>
          <w:b/>
          <w:sz w:val="24"/>
          <w:lang w:val="zh-CN"/>
        </w:rPr>
        <w:t>（验原件，留本人签字的复印件）</w:t>
      </w:r>
      <w:r>
        <w:rPr>
          <w:rFonts w:hint="eastAsia" w:hAnsi="宋体"/>
          <w:sz w:val="24"/>
          <w:lang w:val="zh-CN"/>
        </w:rPr>
        <w:t>。现场缴纳招标文件款，未在规定时间内领取招标文件，并登记备案的供应商均无资格参加该项目的公开招标。</w:t>
      </w:r>
    </w:p>
    <w:p>
      <w:pPr>
        <w:spacing w:afterLines="50" w:line="420" w:lineRule="exact"/>
        <w:ind w:firstLine="482" w:firstLineChars="200"/>
        <w:rPr>
          <w:rFonts w:ascii="宋体"/>
          <w:b/>
          <w:sz w:val="24"/>
        </w:rPr>
      </w:pPr>
      <w:r>
        <w:rPr>
          <w:rFonts w:hint="eastAsia" w:ascii="宋体"/>
          <w:b/>
          <w:sz w:val="24"/>
          <w:szCs w:val="28"/>
        </w:rPr>
        <w:t>八、</w:t>
      </w:r>
      <w:r>
        <w:rPr>
          <w:rFonts w:hint="eastAsia" w:ascii="宋体"/>
          <w:b/>
          <w:sz w:val="24"/>
        </w:rPr>
        <w:t>投标截止时间和开标时间：</w:t>
      </w:r>
      <w:r>
        <w:rPr>
          <w:rFonts w:hint="eastAsia" w:ascii="宋体"/>
          <w:b/>
          <w:bCs/>
          <w:sz w:val="24"/>
          <w:u w:val="single"/>
        </w:rPr>
        <w:t>2019年8月 26 日10:00</w:t>
      </w:r>
      <w:r>
        <w:rPr>
          <w:rFonts w:hint="eastAsia" w:ascii="宋体"/>
          <w:sz w:val="24"/>
        </w:rPr>
        <w:t>（</w:t>
      </w:r>
      <w:r>
        <w:rPr>
          <w:rFonts w:hint="eastAsia" w:ascii="宋体"/>
          <w:sz w:val="24"/>
          <w:szCs w:val="28"/>
        </w:rPr>
        <w:t>北京时间）。</w:t>
      </w:r>
    </w:p>
    <w:p>
      <w:pPr>
        <w:pStyle w:val="17"/>
        <w:spacing w:afterLines="50" w:line="420" w:lineRule="exact"/>
        <w:ind w:firstLine="480"/>
        <w:rPr>
          <w:sz w:val="24"/>
          <w:szCs w:val="28"/>
        </w:rPr>
      </w:pPr>
      <w:bookmarkStart w:id="10" w:name="PO_默认文件内容_12"/>
      <w:r>
        <w:rPr>
          <w:rFonts w:hint="eastAsia"/>
          <w:sz w:val="24"/>
          <w:szCs w:val="28"/>
        </w:rPr>
        <w:t>投标文件必须在投标截止时间前送达开标地点。逾期送达或没有密封的投标文件不予接收。本次招标不接受邮寄的投标文件。</w:t>
      </w:r>
      <w:bookmarkEnd w:id="10"/>
      <w:r>
        <w:rPr>
          <w:rFonts w:hint="eastAsia"/>
          <w:sz w:val="24"/>
          <w:szCs w:val="28"/>
        </w:rPr>
        <w:t>（文件接收时间：2019年8月26日09:30- 2019年8月26 日10:00）</w:t>
      </w:r>
    </w:p>
    <w:p>
      <w:pPr>
        <w:spacing w:after="50" w:line="420" w:lineRule="exact"/>
        <w:ind w:firstLine="489" w:firstLineChars="203"/>
        <w:rPr>
          <w:rFonts w:ascii="宋体"/>
          <w:color w:val="0000FF"/>
          <w:sz w:val="24"/>
          <w:szCs w:val="28"/>
        </w:rPr>
      </w:pPr>
      <w:r>
        <w:rPr>
          <w:rFonts w:hint="eastAsia" w:ascii="宋体"/>
          <w:b/>
          <w:sz w:val="24"/>
          <w:szCs w:val="28"/>
        </w:rPr>
        <w:t>九、</w:t>
      </w:r>
      <w:r>
        <w:rPr>
          <w:rFonts w:hint="eastAsia" w:ascii="宋体"/>
          <w:sz w:val="24"/>
          <w:szCs w:val="28"/>
        </w:rPr>
        <w:t>开标地点：中国邮政集团公司成都市分公司19楼会议室</w:t>
      </w:r>
      <w:r>
        <w:rPr>
          <w:rFonts w:hint="eastAsia" w:hAnsi="宋体"/>
          <w:b/>
          <w:bCs/>
          <w:sz w:val="24"/>
          <w:szCs w:val="28"/>
        </w:rPr>
        <w:t>（暑袜北一街25号锦城绿洲1904）</w:t>
      </w:r>
      <w:r>
        <w:rPr>
          <w:rFonts w:hint="eastAsia" w:hAnsi="宋体"/>
          <w:sz w:val="24"/>
          <w:szCs w:val="28"/>
        </w:rPr>
        <w:t>。</w:t>
      </w:r>
    </w:p>
    <w:p>
      <w:pPr>
        <w:pStyle w:val="58"/>
        <w:spacing w:line="420" w:lineRule="exact"/>
        <w:ind w:firstLine="482"/>
        <w:rPr>
          <w:sz w:val="24"/>
        </w:rPr>
      </w:pPr>
      <w:bookmarkStart w:id="11" w:name="PO_默认文件内容_13"/>
      <w:r>
        <w:rPr>
          <w:rFonts w:hint="eastAsia"/>
          <w:b/>
          <w:sz w:val="24"/>
        </w:rPr>
        <w:t>十、</w:t>
      </w:r>
      <w:r>
        <w:rPr>
          <w:rFonts w:hint="eastAsia"/>
          <w:sz w:val="24"/>
        </w:rPr>
        <w:t>本投标邀请在中国邮政官网、中国招标投标公共服务平台和中国采购与招标网上以公告形式发布。</w:t>
      </w:r>
      <w:bookmarkEnd w:id="11"/>
    </w:p>
    <w:p>
      <w:pPr>
        <w:pStyle w:val="58"/>
        <w:spacing w:line="420" w:lineRule="exact"/>
        <w:ind w:firstLine="482"/>
        <w:rPr>
          <w:b/>
          <w:sz w:val="24"/>
        </w:rPr>
      </w:pPr>
      <w:r>
        <w:rPr>
          <w:rFonts w:hint="eastAsia"/>
          <w:b/>
          <w:sz w:val="24"/>
        </w:rPr>
        <w:t>十一、联系方式</w:t>
      </w:r>
    </w:p>
    <w:p>
      <w:pPr>
        <w:pStyle w:val="58"/>
        <w:spacing w:line="360" w:lineRule="exact"/>
        <w:ind w:firstLine="1265" w:firstLineChars="525"/>
        <w:rPr>
          <w:b/>
          <w:bCs/>
          <w:sz w:val="24"/>
        </w:rPr>
      </w:pPr>
      <w:r>
        <w:rPr>
          <w:rFonts w:hint="eastAsia"/>
          <w:b/>
          <w:bCs/>
          <w:sz w:val="24"/>
        </w:rPr>
        <w:t>采购人：中国邮政集团公司成都市分公司</w:t>
      </w:r>
    </w:p>
    <w:p>
      <w:pPr>
        <w:pStyle w:val="58"/>
        <w:spacing w:line="360" w:lineRule="exact"/>
        <w:ind w:firstLine="1260" w:firstLineChars="525"/>
        <w:rPr>
          <w:bCs/>
          <w:sz w:val="24"/>
        </w:rPr>
      </w:pPr>
      <w:r>
        <w:rPr>
          <w:rFonts w:hint="eastAsia"/>
          <w:bCs/>
          <w:sz w:val="24"/>
        </w:rPr>
        <w:t>地    址：暑袜北一街25号</w:t>
      </w:r>
    </w:p>
    <w:p>
      <w:pPr>
        <w:pStyle w:val="58"/>
        <w:spacing w:line="360" w:lineRule="exact"/>
        <w:ind w:firstLine="1260" w:firstLineChars="525"/>
        <w:rPr>
          <w:bCs/>
          <w:sz w:val="24"/>
        </w:rPr>
      </w:pPr>
      <w:r>
        <w:rPr>
          <w:rFonts w:hint="eastAsia"/>
          <w:bCs/>
          <w:sz w:val="24"/>
        </w:rPr>
        <w:t>联 系 人：柴老师</w:t>
      </w:r>
    </w:p>
    <w:p>
      <w:pPr>
        <w:pStyle w:val="58"/>
        <w:spacing w:line="360" w:lineRule="exact"/>
        <w:ind w:firstLine="1260" w:firstLineChars="525"/>
        <w:rPr>
          <w:rFonts w:ascii="仿宋_GB2312" w:hAnsi="仿宋_GB2312" w:cs="仿宋_GB2312"/>
          <w:sz w:val="24"/>
        </w:rPr>
      </w:pPr>
      <w:r>
        <w:rPr>
          <w:rFonts w:hint="eastAsia"/>
          <w:bCs/>
          <w:sz w:val="24"/>
        </w:rPr>
        <w:t xml:space="preserve">联系电话：028- 61299965     </w:t>
      </w:r>
      <w:r>
        <w:rPr>
          <w:rFonts w:hint="eastAsia" w:ascii="仿宋_GB2312" w:hAnsi="仿宋_GB2312" w:cs="仿宋_GB2312"/>
          <w:sz w:val="24"/>
        </w:rPr>
        <w:t xml:space="preserve"> </w:t>
      </w:r>
    </w:p>
    <w:p>
      <w:pPr>
        <w:pStyle w:val="58"/>
        <w:spacing w:line="360" w:lineRule="exact"/>
        <w:ind w:firstLine="1260" w:firstLineChars="525"/>
        <w:rPr>
          <w:b/>
          <w:sz w:val="24"/>
        </w:rPr>
      </w:pPr>
      <w:r>
        <w:rPr>
          <w:rFonts w:hint="eastAsia"/>
          <w:bCs/>
          <w:sz w:val="24"/>
        </w:rPr>
        <w:t>采购代理机构：</w:t>
      </w:r>
      <w:r>
        <w:rPr>
          <w:rFonts w:hint="eastAsia" w:hAnsi="宋体"/>
          <w:sz w:val="24"/>
        </w:rPr>
        <w:t>四川鑫森建设工程咨询有限公司</w:t>
      </w:r>
    </w:p>
    <w:p>
      <w:pPr>
        <w:pStyle w:val="58"/>
        <w:spacing w:line="360" w:lineRule="exact"/>
        <w:ind w:firstLine="1200" w:firstLineChars="500"/>
        <w:rPr>
          <w:color w:val="000000"/>
          <w:sz w:val="24"/>
        </w:rPr>
      </w:pPr>
      <w:r>
        <w:rPr>
          <w:rFonts w:hint="eastAsia"/>
          <w:sz w:val="24"/>
        </w:rPr>
        <w:t>地    址：</w:t>
      </w:r>
      <w:r>
        <w:rPr>
          <w:rFonts w:hint="eastAsia" w:ascii="宋体" w:hAnsi="宋体" w:cs="宋体"/>
          <w:color w:val="000000"/>
          <w:sz w:val="24"/>
        </w:rPr>
        <w:t>成都市高新区天府三街新希望国际A-1407室</w:t>
      </w:r>
    </w:p>
    <w:p>
      <w:pPr>
        <w:pStyle w:val="58"/>
        <w:spacing w:line="360" w:lineRule="exact"/>
        <w:ind w:firstLine="1260" w:firstLineChars="525"/>
        <w:rPr>
          <w:sz w:val="24"/>
        </w:rPr>
      </w:pPr>
      <w:r>
        <w:rPr>
          <w:rFonts w:hint="eastAsia"/>
          <w:sz w:val="24"/>
        </w:rPr>
        <w:t>邮    编：</w:t>
      </w:r>
      <w:bookmarkStart w:id="12" w:name="PO_代理公司邮编_1"/>
      <w:r>
        <w:rPr>
          <w:rFonts w:hAnsi="宋体"/>
          <w:sz w:val="24"/>
        </w:rPr>
        <w:t>610000</w:t>
      </w:r>
      <w:bookmarkEnd w:id="12"/>
    </w:p>
    <w:p>
      <w:pPr>
        <w:pStyle w:val="58"/>
        <w:spacing w:line="360" w:lineRule="exact"/>
        <w:ind w:firstLine="1260" w:firstLineChars="525"/>
        <w:rPr>
          <w:sz w:val="24"/>
        </w:rPr>
      </w:pPr>
      <w:r>
        <w:rPr>
          <w:rFonts w:hint="eastAsia"/>
          <w:sz w:val="24"/>
        </w:rPr>
        <w:t>联 系 人：</w:t>
      </w:r>
      <w:r>
        <w:rPr>
          <w:rFonts w:hint="eastAsia"/>
          <w:sz w:val="24"/>
          <w:lang w:eastAsia="zh-CN"/>
        </w:rPr>
        <w:t>李</w:t>
      </w:r>
      <w:r>
        <w:rPr>
          <w:rFonts w:hint="eastAsia"/>
          <w:sz w:val="24"/>
        </w:rPr>
        <w:t>女士</w:t>
      </w:r>
    </w:p>
    <w:p>
      <w:pPr>
        <w:spacing w:after="50" w:line="360" w:lineRule="exact"/>
        <w:ind w:firstLine="1320" w:firstLineChars="550"/>
        <w:rPr>
          <w:rFonts w:cs="新宋体"/>
        </w:rPr>
      </w:pPr>
      <w:r>
        <w:rPr>
          <w:rFonts w:hint="eastAsia"/>
          <w:sz w:val="24"/>
        </w:rPr>
        <w:t>联系电话：</w:t>
      </w:r>
      <w:r>
        <w:rPr>
          <w:rFonts w:hint="eastAsia" w:ascii="仿宋_GB2312" w:hAnsi="仿宋_GB2312" w:cs="仿宋_GB2312"/>
          <w:color w:val="000000"/>
          <w:sz w:val="24"/>
        </w:rPr>
        <w:t>028-85127156</w:t>
      </w:r>
    </w:p>
    <w:p>
      <w:pPr>
        <w:tabs>
          <w:tab w:val="left" w:pos="2310"/>
        </w:tabs>
        <w:spacing w:line="420" w:lineRule="exact"/>
        <w:ind w:right="420" w:rightChars="200" w:firstLine="2160" w:firstLineChars="600"/>
        <w:rPr>
          <w:sz w:val="36"/>
          <w:szCs w:val="36"/>
        </w:rPr>
        <w:sectPr>
          <w:pgSz w:w="11907" w:h="16840"/>
          <w:pgMar w:top="1440" w:right="1474" w:bottom="1440" w:left="1474" w:header="851" w:footer="992" w:gutter="0"/>
          <w:cols w:space="720" w:num="1"/>
          <w:titlePg/>
          <w:docGrid w:linePitch="312" w:charSpace="0"/>
        </w:sectPr>
      </w:pPr>
      <w:bookmarkStart w:id="13" w:name="_Toc12497"/>
      <w:bookmarkStart w:id="14" w:name="_Toc213396759"/>
      <w:bookmarkStart w:id="15" w:name="_Toc213397009"/>
      <w:bookmarkStart w:id="16" w:name="_Toc213496267"/>
      <w:bookmarkStart w:id="17" w:name="_Toc217446031"/>
      <w:bookmarkStart w:id="18" w:name="_Toc213396945"/>
    </w:p>
    <w:p>
      <w:pPr>
        <w:pStyle w:val="3"/>
        <w:spacing w:line="240" w:lineRule="atLeast"/>
        <w:ind w:firstLine="2530" w:firstLineChars="700"/>
        <w:rPr>
          <w:rFonts w:ascii="华文中宋" w:hAnsi="华文中宋" w:eastAsia="华文中宋"/>
          <w:sz w:val="36"/>
          <w:szCs w:val="36"/>
        </w:rPr>
      </w:pPr>
      <w:bookmarkStart w:id="19" w:name="_Toc513065347"/>
      <w:r>
        <w:rPr>
          <w:rFonts w:hint="eastAsia" w:ascii="华文中宋" w:hAnsi="华文中宋" w:eastAsia="华文中宋"/>
          <w:sz w:val="36"/>
          <w:szCs w:val="36"/>
        </w:rPr>
        <w:t>第二章  投标人须知</w:t>
      </w:r>
      <w:bookmarkEnd w:id="13"/>
      <w:bookmarkEnd w:id="19"/>
    </w:p>
    <w:p>
      <w:pPr>
        <w:pStyle w:val="4"/>
        <w:spacing w:line="240" w:lineRule="atLeast"/>
        <w:jc w:val="center"/>
      </w:pPr>
      <w:r>
        <w:rPr>
          <w:rFonts w:hint="eastAsia"/>
        </w:rPr>
        <w:t>一、投标人须知附表</w:t>
      </w:r>
    </w:p>
    <w:bookmarkEnd w:id="14"/>
    <w:bookmarkEnd w:id="15"/>
    <w:bookmarkEnd w:id="16"/>
    <w:bookmarkEnd w:id="17"/>
    <w:bookmarkEnd w:id="18"/>
    <w:tbl>
      <w:tblPr>
        <w:tblStyle w:val="39"/>
        <w:tblW w:w="9501" w:type="dxa"/>
        <w:jc w:val="center"/>
        <w:tblInd w:w="-23"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2"/>
        <w:gridCol w:w="2482"/>
        <w:gridCol w:w="6007"/>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451" w:hRule="exact"/>
          <w:tblHeader/>
          <w:jc w:val="center"/>
        </w:trPr>
        <w:tc>
          <w:tcPr>
            <w:tcW w:w="1012" w:type="dxa"/>
            <w:vAlign w:val="center"/>
          </w:tcPr>
          <w:p>
            <w:pPr>
              <w:pStyle w:val="57"/>
              <w:ind w:left="9"/>
              <w:jc w:val="center"/>
              <w:rPr>
                <w:lang w:val="zh-CN"/>
              </w:rPr>
            </w:pPr>
            <w:r>
              <w:rPr>
                <w:rFonts w:hint="eastAsia"/>
                <w:lang w:val="zh-CN"/>
              </w:rPr>
              <w:t>序号</w:t>
            </w:r>
            <w:r>
              <w:rPr>
                <w:lang w:val="zh-CN"/>
              </w:rPr>
              <w:t xml:space="preserve"> </w:t>
            </w:r>
          </w:p>
        </w:tc>
        <w:tc>
          <w:tcPr>
            <w:tcW w:w="2482" w:type="dxa"/>
            <w:vAlign w:val="center"/>
          </w:tcPr>
          <w:p>
            <w:pPr>
              <w:pStyle w:val="57"/>
              <w:ind w:left="38"/>
              <w:jc w:val="center"/>
              <w:rPr>
                <w:lang w:val="zh-CN"/>
              </w:rPr>
            </w:pPr>
            <w:r>
              <w:rPr>
                <w:rFonts w:hint="eastAsia"/>
                <w:lang w:val="zh-CN"/>
              </w:rPr>
              <w:t>条款名称</w:t>
            </w:r>
            <w:r>
              <w:rPr>
                <w:lang w:val="zh-CN"/>
              </w:rPr>
              <w:t xml:space="preserve"> </w:t>
            </w:r>
          </w:p>
        </w:tc>
        <w:tc>
          <w:tcPr>
            <w:tcW w:w="6007" w:type="dxa"/>
            <w:vAlign w:val="center"/>
          </w:tcPr>
          <w:p>
            <w:pPr>
              <w:pStyle w:val="57"/>
              <w:jc w:val="center"/>
              <w:rPr>
                <w:lang w:val="zh-CN"/>
              </w:rPr>
            </w:pPr>
            <w:r>
              <w:rPr>
                <w:rFonts w:hint="eastAsia"/>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516" w:hRule="exact"/>
          <w:jc w:val="center"/>
        </w:trPr>
        <w:tc>
          <w:tcPr>
            <w:tcW w:w="1012" w:type="dxa"/>
            <w:vAlign w:val="center"/>
          </w:tcPr>
          <w:p>
            <w:pPr>
              <w:pStyle w:val="57"/>
              <w:ind w:right="230"/>
              <w:jc w:val="center"/>
              <w:rPr>
                <w:rFonts w:cs="Courier New"/>
                <w:lang w:val="zh-CN"/>
              </w:rPr>
            </w:pPr>
            <w:r>
              <w:rPr>
                <w:rFonts w:hint="eastAsia" w:cs="Courier New"/>
                <w:lang w:val="zh-CN"/>
              </w:rPr>
              <w:t>1</w:t>
            </w:r>
          </w:p>
        </w:tc>
        <w:tc>
          <w:tcPr>
            <w:tcW w:w="2482" w:type="dxa"/>
            <w:vAlign w:val="center"/>
          </w:tcPr>
          <w:p>
            <w:pPr>
              <w:pStyle w:val="57"/>
              <w:rPr>
                <w:lang w:val="zh-CN"/>
              </w:rPr>
            </w:pPr>
            <w:r>
              <w:rPr>
                <w:rFonts w:hint="eastAsia"/>
                <w:lang w:val="zh-CN"/>
              </w:rPr>
              <w:t>预算金额（最高限价）</w:t>
            </w:r>
          </w:p>
        </w:tc>
        <w:tc>
          <w:tcPr>
            <w:tcW w:w="6007" w:type="dxa"/>
            <w:vAlign w:val="center"/>
          </w:tcPr>
          <w:p>
            <w:pPr>
              <w:spacing w:line="360" w:lineRule="auto"/>
              <w:ind w:right="31" w:rightChars="15"/>
              <w:rPr>
                <w:lang w:val="zh-CN"/>
              </w:rPr>
            </w:pPr>
            <w:r>
              <w:rPr>
                <w:rFonts w:hint="eastAsia" w:ascii="宋体" w:hAnsi="宋体" w:cs="宋体"/>
                <w:kern w:val="0"/>
                <w:sz w:val="24"/>
                <w:lang w:val="zh-CN"/>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435" w:hRule="exact"/>
          <w:jc w:val="center"/>
        </w:trPr>
        <w:tc>
          <w:tcPr>
            <w:tcW w:w="1012" w:type="dxa"/>
            <w:vAlign w:val="center"/>
          </w:tcPr>
          <w:p>
            <w:pPr>
              <w:pStyle w:val="57"/>
              <w:ind w:right="230"/>
              <w:jc w:val="center"/>
              <w:rPr>
                <w:rFonts w:cs="Courier New"/>
                <w:lang w:val="zh-CN"/>
              </w:rPr>
            </w:pPr>
            <w:r>
              <w:rPr>
                <w:rFonts w:hint="eastAsia" w:cs="Courier New"/>
                <w:lang w:val="zh-CN"/>
              </w:rPr>
              <w:t>2</w:t>
            </w:r>
          </w:p>
        </w:tc>
        <w:tc>
          <w:tcPr>
            <w:tcW w:w="2482" w:type="dxa"/>
            <w:vAlign w:val="center"/>
          </w:tcPr>
          <w:p>
            <w:pPr>
              <w:pStyle w:val="57"/>
              <w:rPr>
                <w:lang w:val="zh-CN"/>
              </w:rPr>
            </w:pPr>
            <w:r>
              <w:rPr>
                <w:rFonts w:hint="eastAsia"/>
                <w:lang w:val="zh-CN"/>
              </w:rPr>
              <w:t>采购方式</w:t>
            </w:r>
          </w:p>
        </w:tc>
        <w:tc>
          <w:tcPr>
            <w:tcW w:w="6007" w:type="dxa"/>
            <w:vAlign w:val="center"/>
          </w:tcPr>
          <w:p>
            <w:pPr>
              <w:pStyle w:val="57"/>
              <w:jc w:val="both"/>
              <w:rPr>
                <w:lang w:val="zh-CN"/>
              </w:rPr>
            </w:pPr>
            <w:r>
              <w:rPr>
                <w:rFonts w:hint="eastAsia"/>
                <w:lang w:val="zh-CN"/>
              </w:rPr>
              <w:t>公开招标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375" w:hRule="atLeast"/>
          <w:jc w:val="center"/>
        </w:trPr>
        <w:tc>
          <w:tcPr>
            <w:tcW w:w="1012" w:type="dxa"/>
            <w:vAlign w:val="center"/>
          </w:tcPr>
          <w:p>
            <w:pPr>
              <w:pStyle w:val="57"/>
              <w:ind w:right="230"/>
              <w:jc w:val="center"/>
              <w:rPr>
                <w:rFonts w:cs="Courier New"/>
                <w:lang w:val="zh-CN"/>
              </w:rPr>
            </w:pPr>
            <w:r>
              <w:rPr>
                <w:rFonts w:hint="eastAsia" w:cs="Courier New"/>
                <w:lang w:val="zh-CN"/>
              </w:rPr>
              <w:t>3</w:t>
            </w:r>
          </w:p>
        </w:tc>
        <w:tc>
          <w:tcPr>
            <w:tcW w:w="2482" w:type="dxa"/>
            <w:vAlign w:val="center"/>
          </w:tcPr>
          <w:p>
            <w:pPr>
              <w:pStyle w:val="57"/>
              <w:rPr>
                <w:lang w:val="zh-CN"/>
              </w:rPr>
            </w:pPr>
            <w:r>
              <w:rPr>
                <w:rFonts w:hint="eastAsia"/>
                <w:lang w:val="zh-CN"/>
              </w:rPr>
              <w:t>评标方法</w:t>
            </w:r>
          </w:p>
        </w:tc>
        <w:tc>
          <w:tcPr>
            <w:tcW w:w="6007" w:type="dxa"/>
            <w:vAlign w:val="center"/>
          </w:tcPr>
          <w:p>
            <w:pPr>
              <w:pStyle w:val="57"/>
              <w:rPr>
                <w:lang w:val="zh-CN"/>
              </w:rPr>
            </w:pPr>
            <w:r>
              <w:rPr>
                <w:rFonts w:hint="eastAsia"/>
                <w:lang w:val="zh-CN"/>
              </w:rPr>
              <w:t>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086" w:hRule="atLeast"/>
          <w:jc w:val="center"/>
        </w:trPr>
        <w:tc>
          <w:tcPr>
            <w:tcW w:w="1012" w:type="dxa"/>
            <w:vAlign w:val="center"/>
          </w:tcPr>
          <w:p>
            <w:pPr>
              <w:pStyle w:val="57"/>
              <w:ind w:right="230"/>
              <w:jc w:val="center"/>
              <w:rPr>
                <w:rFonts w:cs="Courier New"/>
                <w:lang w:val="zh-CN"/>
              </w:rPr>
            </w:pPr>
            <w:r>
              <w:rPr>
                <w:rFonts w:hint="eastAsia" w:cs="Courier New"/>
                <w:lang w:val="zh-CN"/>
              </w:rPr>
              <w:t>4</w:t>
            </w:r>
          </w:p>
        </w:tc>
        <w:tc>
          <w:tcPr>
            <w:tcW w:w="2482" w:type="dxa"/>
            <w:vAlign w:val="center"/>
          </w:tcPr>
          <w:p>
            <w:pPr>
              <w:pStyle w:val="57"/>
              <w:rPr>
                <w:lang w:val="zh-CN"/>
              </w:rPr>
            </w:pPr>
            <w:r>
              <w:rPr>
                <w:rFonts w:hint="eastAsia"/>
                <w:lang w:val="zh-CN"/>
              </w:rPr>
              <w:t>评标委员会推荐中标候选人数</w:t>
            </w:r>
          </w:p>
        </w:tc>
        <w:tc>
          <w:tcPr>
            <w:tcW w:w="6007" w:type="dxa"/>
            <w:vAlign w:val="center"/>
          </w:tcPr>
          <w:p>
            <w:pPr>
              <w:spacing w:line="400" w:lineRule="exact"/>
            </w:pPr>
            <w:r>
              <w:rPr>
                <w:rFonts w:hint="eastAsia" w:ascii="宋体" w:hAnsi="宋体" w:cs="宋体"/>
                <w:kern w:val="0"/>
                <w:sz w:val="24"/>
              </w:rPr>
              <w:t>中标供应商数量2家，不足2家按实有家数确定，中标供应商入库数量不低于1家</w:t>
            </w:r>
            <w:r>
              <w:rPr>
                <w:rFonts w:hint="eastAsia" w:ascii="宋体" w:hAnsi="宋体" w:cs="仿宋"/>
                <w:bCs/>
                <w:sz w:val="24"/>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465" w:hRule="atLeast"/>
          <w:jc w:val="center"/>
        </w:trPr>
        <w:tc>
          <w:tcPr>
            <w:tcW w:w="1012" w:type="dxa"/>
            <w:vAlign w:val="center"/>
          </w:tcPr>
          <w:p>
            <w:pPr>
              <w:pStyle w:val="57"/>
              <w:ind w:right="230"/>
              <w:jc w:val="center"/>
              <w:rPr>
                <w:rFonts w:cs="Courier New"/>
                <w:shd w:val="pct10" w:color="auto" w:fill="FFFFFF"/>
                <w:lang w:val="zh-CN"/>
              </w:rPr>
            </w:pPr>
            <w:r>
              <w:rPr>
                <w:rFonts w:hint="eastAsia" w:cs="Courier New"/>
                <w:lang w:val="zh-CN"/>
              </w:rPr>
              <w:t>5</w:t>
            </w:r>
          </w:p>
        </w:tc>
        <w:tc>
          <w:tcPr>
            <w:tcW w:w="2482" w:type="dxa"/>
            <w:vAlign w:val="center"/>
          </w:tcPr>
          <w:p>
            <w:pPr>
              <w:pStyle w:val="57"/>
              <w:rPr>
                <w:lang w:val="zh-CN"/>
              </w:rPr>
            </w:pPr>
            <w:r>
              <w:rPr>
                <w:rFonts w:hint="eastAsia"/>
                <w:lang w:val="zh-CN"/>
              </w:rPr>
              <w:t>采购合同签订的时间</w:t>
            </w:r>
          </w:p>
        </w:tc>
        <w:tc>
          <w:tcPr>
            <w:tcW w:w="6007" w:type="dxa"/>
            <w:vAlign w:val="bottom"/>
          </w:tcPr>
          <w:p>
            <w:pPr>
              <w:pStyle w:val="57"/>
              <w:spacing w:line="360" w:lineRule="auto"/>
              <w:jc w:val="both"/>
              <w:rPr>
                <w:lang w:val="zh-CN"/>
              </w:rPr>
            </w:pPr>
            <w:r>
              <w:rPr>
                <w:rFonts w:hint="eastAsia"/>
                <w:lang w:val="zh-CN"/>
              </w:rPr>
              <w:t>中标通知书发出之日起</w:t>
            </w:r>
            <w:r>
              <w:rPr>
                <w:rFonts w:hint="eastAsia"/>
              </w:rPr>
              <w:t>30</w:t>
            </w:r>
            <w:r>
              <w:rPr>
                <w:rFonts w:hint="eastAsia"/>
                <w:lang w:val="zh-CN"/>
              </w:rPr>
              <w:t>日内</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249" w:hRule="exact"/>
          <w:jc w:val="center"/>
        </w:trPr>
        <w:tc>
          <w:tcPr>
            <w:tcW w:w="1012" w:type="dxa"/>
            <w:vAlign w:val="center"/>
          </w:tcPr>
          <w:p>
            <w:pPr>
              <w:pStyle w:val="57"/>
              <w:ind w:right="230"/>
              <w:jc w:val="center"/>
              <w:rPr>
                <w:rFonts w:cs="Courier New"/>
                <w:lang w:val="zh-CN"/>
              </w:rPr>
            </w:pPr>
            <w:r>
              <w:rPr>
                <w:rFonts w:hint="eastAsia" w:cs="Courier New"/>
              </w:rPr>
              <w:t>6</w:t>
            </w:r>
          </w:p>
        </w:tc>
        <w:tc>
          <w:tcPr>
            <w:tcW w:w="2482" w:type="dxa"/>
            <w:vAlign w:val="center"/>
          </w:tcPr>
          <w:p>
            <w:pPr>
              <w:pStyle w:val="57"/>
              <w:rPr>
                <w:lang w:val="zh-CN"/>
              </w:rPr>
            </w:pPr>
            <w:r>
              <w:rPr>
                <w:rFonts w:hint="eastAsia"/>
                <w:lang w:val="zh-CN"/>
              </w:rPr>
              <w:t>质量要求、验收标准</w:t>
            </w:r>
          </w:p>
        </w:tc>
        <w:tc>
          <w:tcPr>
            <w:tcW w:w="6007" w:type="dxa"/>
            <w:vAlign w:val="center"/>
          </w:tcPr>
          <w:p>
            <w:pPr>
              <w:pStyle w:val="57"/>
              <w:spacing w:line="360" w:lineRule="auto"/>
              <w:jc w:val="both"/>
              <w:rPr>
                <w:lang w:val="zh-CN"/>
              </w:rPr>
            </w:pPr>
            <w:r>
              <w:rPr>
                <w:rFonts w:hint="eastAsia"/>
                <w:lang w:val="zh-CN"/>
              </w:rPr>
              <w:t>质量要求：达到国家现行技术标准。</w:t>
            </w:r>
          </w:p>
          <w:p>
            <w:pPr>
              <w:pStyle w:val="57"/>
              <w:spacing w:line="360" w:lineRule="auto"/>
              <w:jc w:val="both"/>
              <w:rPr>
                <w:lang w:val="zh-CN"/>
              </w:rPr>
            </w:pPr>
            <w:r>
              <w:rPr>
                <w:rFonts w:hint="eastAsia"/>
                <w:lang w:val="zh-CN"/>
              </w:rPr>
              <w:t>验收标准：达到国家现行验收标准。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09" w:hRule="atLeast"/>
          <w:jc w:val="center"/>
        </w:trPr>
        <w:tc>
          <w:tcPr>
            <w:tcW w:w="1012" w:type="dxa"/>
            <w:tcBorders>
              <w:bottom w:val="single" w:color="auto" w:sz="4" w:space="0"/>
            </w:tcBorders>
            <w:vAlign w:val="center"/>
          </w:tcPr>
          <w:p>
            <w:pPr>
              <w:pStyle w:val="57"/>
              <w:ind w:right="230"/>
              <w:jc w:val="center"/>
              <w:rPr>
                <w:lang w:val="zh-CN"/>
              </w:rPr>
            </w:pPr>
            <w:r>
              <w:rPr>
                <w:rFonts w:hint="eastAsia" w:cs="Courier New"/>
              </w:rPr>
              <w:t>7</w:t>
            </w:r>
          </w:p>
        </w:tc>
        <w:tc>
          <w:tcPr>
            <w:tcW w:w="2482" w:type="dxa"/>
            <w:tcBorders>
              <w:bottom w:val="single" w:color="auto" w:sz="4" w:space="0"/>
            </w:tcBorders>
            <w:vAlign w:val="center"/>
          </w:tcPr>
          <w:p>
            <w:pPr>
              <w:pStyle w:val="57"/>
              <w:rPr>
                <w:lang w:val="zh-CN"/>
              </w:rPr>
            </w:pPr>
            <w:r>
              <w:rPr>
                <w:rFonts w:hint="eastAsia"/>
                <w:lang w:val="zh-CN"/>
              </w:rPr>
              <w:t>不正当竞争预防措施</w:t>
            </w:r>
          </w:p>
        </w:tc>
        <w:tc>
          <w:tcPr>
            <w:tcW w:w="6007" w:type="dxa"/>
            <w:tcBorders>
              <w:bottom w:val="single" w:color="auto" w:sz="4" w:space="0"/>
            </w:tcBorders>
            <w:vAlign w:val="center"/>
          </w:tcPr>
          <w:p>
            <w:pPr>
              <w:pStyle w:val="57"/>
              <w:spacing w:line="360" w:lineRule="auto"/>
              <w:rPr>
                <w:lang w:val="zh-CN"/>
              </w:rPr>
            </w:pPr>
            <w:r>
              <w:rPr>
                <w:rFonts w:hint="eastAsia"/>
                <w:lang w:val="zh-CN"/>
              </w:rPr>
              <w:t>一</w:t>
            </w:r>
            <w:r>
              <w:rPr>
                <w:lang w:val="zh-CN"/>
              </w:rPr>
              <w:t>、</w:t>
            </w:r>
            <w:r>
              <w:rPr>
                <w:rFonts w:hint="eastAsia"/>
                <w:lang w:val="zh-CN"/>
              </w:rPr>
              <w:t>在评审过程中，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57"/>
              <w:spacing w:line="360" w:lineRule="auto"/>
              <w:rPr>
                <w:lang w:val="zh-CN"/>
              </w:rPr>
            </w:pPr>
            <w:r>
              <w:rPr>
                <w:rFonts w:hint="eastAsia"/>
                <w:lang w:val="zh-CN"/>
              </w:rPr>
              <w:t>二</w:t>
            </w:r>
            <w:r>
              <w:rPr>
                <w:lang w:val="zh-CN"/>
              </w:rPr>
              <w:t>、</w:t>
            </w:r>
            <w:r>
              <w:rPr>
                <w:rFonts w:hint="eastAsia"/>
                <w:lang w:val="zh-CN"/>
              </w:rPr>
              <w:t>供应商书面说明应当签字确认或者加盖公章，否则无效。</w:t>
            </w:r>
          </w:p>
          <w:p>
            <w:pPr>
              <w:pStyle w:val="57"/>
              <w:spacing w:line="360" w:lineRule="auto"/>
              <w:rPr>
                <w:lang w:val="zh-CN"/>
              </w:rPr>
            </w:pPr>
            <w:r>
              <w:rPr>
                <w:rFonts w:hint="eastAsia"/>
                <w:lang w:val="zh-CN"/>
              </w:rPr>
              <w:t>三</w:t>
            </w:r>
            <w:r>
              <w:rPr>
                <w:lang w:val="zh-CN"/>
              </w:rPr>
              <w:t>、</w:t>
            </w:r>
            <w:r>
              <w:rPr>
                <w:rFonts w:hint="eastAsia"/>
                <w:lang w:val="zh-CN"/>
              </w:rPr>
              <w:t>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将其投标文件作为无效投标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237" w:hRule="atLeast"/>
          <w:jc w:val="center"/>
        </w:trPr>
        <w:tc>
          <w:tcPr>
            <w:tcW w:w="1012" w:type="dxa"/>
            <w:tcBorders>
              <w:top w:val="single" w:color="auto" w:sz="4" w:space="0"/>
              <w:bottom w:val="single" w:color="auto" w:sz="4" w:space="0"/>
            </w:tcBorders>
            <w:vAlign w:val="center"/>
          </w:tcPr>
          <w:p>
            <w:pPr>
              <w:pStyle w:val="57"/>
              <w:ind w:right="230"/>
              <w:jc w:val="center"/>
              <w:rPr>
                <w:lang w:val="zh-CN"/>
              </w:rPr>
            </w:pPr>
            <w:r>
              <w:rPr>
                <w:rFonts w:hint="eastAsia"/>
              </w:rPr>
              <w:t>8</w:t>
            </w:r>
          </w:p>
        </w:tc>
        <w:tc>
          <w:tcPr>
            <w:tcW w:w="2482" w:type="dxa"/>
            <w:tcBorders>
              <w:top w:val="single" w:color="auto" w:sz="4" w:space="0"/>
              <w:bottom w:val="single" w:color="auto" w:sz="4" w:space="0"/>
            </w:tcBorders>
            <w:vAlign w:val="center"/>
          </w:tcPr>
          <w:p>
            <w:pPr>
              <w:pStyle w:val="57"/>
              <w:rPr>
                <w:lang w:val="zh-CN"/>
              </w:rPr>
            </w:pPr>
            <w:r>
              <w:rPr>
                <w:rFonts w:hint="eastAsia"/>
                <w:lang w:val="zh-CN"/>
              </w:rPr>
              <w:t>政府采购政策</w:t>
            </w:r>
          </w:p>
        </w:tc>
        <w:tc>
          <w:tcPr>
            <w:tcW w:w="6007" w:type="dxa"/>
            <w:tcBorders>
              <w:top w:val="single" w:color="auto" w:sz="4" w:space="0"/>
              <w:bottom w:val="single" w:color="auto" w:sz="4" w:space="0"/>
            </w:tcBorders>
            <w:vAlign w:val="center"/>
          </w:tcPr>
          <w:p>
            <w:pPr>
              <w:pStyle w:val="57"/>
              <w:spacing w:line="360" w:lineRule="auto"/>
              <w:rPr>
                <w:lang w:val="zh-CN"/>
              </w:rPr>
            </w:pPr>
            <w:r>
              <w:rPr>
                <w:rFonts w:hint="eastAsia"/>
                <w:lang w:val="zh-CN"/>
              </w:rPr>
              <w:t>一、小微企业（监狱企业和残疾人福利性单位视同小微企业）价格扣除</w:t>
            </w:r>
          </w:p>
          <w:p>
            <w:pPr>
              <w:pStyle w:val="57"/>
              <w:spacing w:line="360" w:lineRule="auto"/>
              <w:rPr>
                <w:lang w:val="zh-CN"/>
              </w:rPr>
            </w:pPr>
            <w:r>
              <w:rPr>
                <w:rFonts w:hint="eastAsia"/>
                <w:lang w:val="zh-CN"/>
              </w:rPr>
              <w:t>1、根据《政府采购促进中小企业发展暂行办法》（财库[2011]181号）的规定，对小型和微型企业产品的价格给予</w:t>
            </w:r>
            <w:r>
              <w:rPr>
                <w:rFonts w:hint="eastAsia"/>
              </w:rPr>
              <w:t>10%</w:t>
            </w:r>
            <w:r>
              <w:rPr>
                <w:rFonts w:hint="eastAsia"/>
                <w:lang w:val="zh-CN"/>
              </w:rPr>
              <w:t>的价格扣除，用扣除后的价格参与评标。</w:t>
            </w:r>
          </w:p>
          <w:p>
            <w:pPr>
              <w:pStyle w:val="57"/>
              <w:spacing w:line="360" w:lineRule="auto"/>
              <w:rPr>
                <w:lang w:val="zh-CN"/>
              </w:rPr>
            </w:pPr>
            <w:r>
              <w:rPr>
                <w:rFonts w:hint="eastAsia"/>
                <w:lang w:val="zh-CN"/>
              </w:rPr>
              <w:t>2、参加政府采购活动的中小企业应当提供《中小企业声明函》原件。监狱企业参加政府采购活动时，应当提供由省级以上监狱管理局、戒毒管理局（含新疆生产建设兵团）出具的属于监狱企业的证明文。参加政府采购活动中的残疾人福利性单位应当提供《残疾人福利性单位声明函》。</w:t>
            </w:r>
          </w:p>
          <w:p>
            <w:pPr>
              <w:pStyle w:val="57"/>
              <w:spacing w:line="360" w:lineRule="auto"/>
              <w:rPr>
                <w:lang w:val="zh-CN"/>
              </w:rPr>
            </w:pPr>
            <w:r>
              <w:rPr>
                <w:rFonts w:hint="eastAsia"/>
                <w:lang w:val="zh-CN"/>
              </w:rPr>
              <w:t xml:space="preserve">3、大中型企业和其他自然人、法人或者其他组织与小型、微型企业组成联合体共同参加非专门面向中小企业的政府采购活动的，联合体投标协议中约定，小型、微型企业的协议合同金额占到联合体投标协议合同总金额30%以上的，可给予联合体2%的价格扣除。 </w:t>
            </w:r>
          </w:p>
          <w:p>
            <w:pPr>
              <w:pStyle w:val="57"/>
              <w:spacing w:line="360" w:lineRule="auto"/>
              <w:rPr>
                <w:lang w:val="zh-CN"/>
              </w:rPr>
            </w:pPr>
            <w:r>
              <w:rPr>
                <w:rFonts w:hint="eastAsia"/>
                <w:lang w:val="zh-CN"/>
              </w:rPr>
              <w:t>4、联合体各方均为小型、微型企业的，联合体视同为小型、微型企业享受规定的扶持政策。组成联合体的大中型企业和其他自然人、法人或者其他组织，与小型、微型企业之间不得存在投资关系。</w:t>
            </w:r>
          </w:p>
          <w:p>
            <w:pPr>
              <w:pStyle w:val="57"/>
              <w:spacing w:line="360" w:lineRule="auto"/>
              <w:rPr>
                <w:lang w:val="zh-CN"/>
              </w:rPr>
            </w:pPr>
            <w:r>
              <w:rPr>
                <w:rFonts w:hint="eastAsia"/>
                <w:lang w:val="zh-CN"/>
              </w:rPr>
              <w:t>二、节能产品</w:t>
            </w:r>
          </w:p>
          <w:p>
            <w:pPr>
              <w:pStyle w:val="57"/>
              <w:spacing w:line="360" w:lineRule="auto"/>
              <w:rPr>
                <w:lang w:val="zh-CN"/>
              </w:rPr>
            </w:pPr>
            <w:r>
              <w:rPr>
                <w:rFonts w:hint="eastAsia"/>
                <w:lang w:val="zh-CN"/>
              </w:rPr>
              <w:t>1、</w:t>
            </w:r>
            <w:r>
              <w:rPr>
                <w:lang w:val="zh-CN"/>
              </w:rPr>
              <w:t>属于</w:t>
            </w:r>
            <w:r>
              <w:rPr>
                <w:rFonts w:hint="eastAsia"/>
                <w:lang w:val="zh-CN"/>
              </w:rPr>
              <w:t>财政部、国家发展改革委列入最新一期节能产品政府采购清单中</w:t>
            </w:r>
            <w:r>
              <w:rPr>
                <w:lang w:val="zh-CN"/>
              </w:rPr>
              <w:t>的产品，</w:t>
            </w:r>
            <w:r>
              <w:rPr>
                <w:rFonts w:hint="eastAsia"/>
                <w:lang w:val="zh-CN"/>
              </w:rPr>
              <w:t>属于</w:t>
            </w:r>
            <w:r>
              <w:rPr>
                <w:lang w:val="zh-CN"/>
              </w:rPr>
              <w:t>强制</w:t>
            </w:r>
            <w:r>
              <w:rPr>
                <w:rFonts w:hint="eastAsia"/>
                <w:lang w:val="zh-CN"/>
              </w:rPr>
              <w:t>节能</w:t>
            </w:r>
            <w:r>
              <w:rPr>
                <w:lang w:val="zh-CN"/>
              </w:rPr>
              <w:t>的产品，投标人</w:t>
            </w:r>
            <w:r>
              <w:rPr>
                <w:rFonts w:hint="eastAsia"/>
                <w:lang w:val="zh-CN"/>
              </w:rPr>
              <w:t>投标</w:t>
            </w:r>
            <w:r>
              <w:rPr>
                <w:lang w:val="zh-CN"/>
              </w:rPr>
              <w:t>时必须</w:t>
            </w:r>
            <w:r>
              <w:rPr>
                <w:rFonts w:hint="eastAsia"/>
                <w:lang w:val="zh-CN"/>
              </w:rPr>
              <w:t>提供本期节能产品政府采购清单中的</w:t>
            </w:r>
            <w:r>
              <w:rPr>
                <w:lang w:val="zh-CN"/>
              </w:rPr>
              <w:t>产品，否则，按照无效投标处理</w:t>
            </w:r>
            <w:r>
              <w:rPr>
                <w:rFonts w:hint="eastAsia"/>
                <w:lang w:val="zh-CN"/>
              </w:rPr>
              <w:t>（详见第五章“招标项目及要求”）。</w:t>
            </w:r>
            <w:r>
              <w:rPr>
                <w:lang w:val="zh-CN"/>
              </w:rPr>
              <w:t>属于优先采购的产品，</w:t>
            </w:r>
            <w:r>
              <w:rPr>
                <w:rFonts w:hint="eastAsia"/>
                <w:lang w:val="zh-CN"/>
              </w:rPr>
              <w:t>采用</w:t>
            </w:r>
            <w:r>
              <w:rPr>
                <w:lang w:val="zh-CN"/>
              </w:rPr>
              <w:t>最低评标价法的，给予</w:t>
            </w:r>
            <w:r>
              <w:rPr>
                <w:rFonts w:hint="eastAsia"/>
                <w:lang w:val="zh-CN"/>
              </w:rPr>
              <w:t>产品6％</w:t>
            </w:r>
            <w:r>
              <w:rPr>
                <w:lang w:val="zh-CN"/>
              </w:rPr>
              <w:t>的价格折扣，用折扣后的价格参与评审</w:t>
            </w:r>
            <w:r>
              <w:rPr>
                <w:rFonts w:hint="eastAsia"/>
                <w:lang w:val="zh-CN"/>
              </w:rPr>
              <w:t>；</w:t>
            </w:r>
            <w:r>
              <w:rPr>
                <w:lang w:val="zh-CN"/>
              </w:rPr>
              <w:t>采用综合评分法的，在评分细则中予以体现。</w:t>
            </w:r>
          </w:p>
          <w:p>
            <w:pPr>
              <w:pStyle w:val="57"/>
              <w:spacing w:line="360" w:lineRule="auto"/>
              <w:rPr>
                <w:lang w:val="zh-CN"/>
              </w:rPr>
            </w:pPr>
            <w:r>
              <w:rPr>
                <w:rFonts w:hint="eastAsia"/>
                <w:lang w:val="zh-CN"/>
              </w:rPr>
              <w:t>2</w:t>
            </w:r>
            <w:r>
              <w:rPr>
                <w:lang w:val="zh-CN"/>
              </w:rPr>
              <w:t>、</w:t>
            </w:r>
            <w:r>
              <w:rPr>
                <w:rFonts w:hint="eastAsia"/>
                <w:lang w:val="zh-CN"/>
              </w:rPr>
              <w:t>环境标志产品政府采购</w:t>
            </w:r>
          </w:p>
          <w:p>
            <w:pPr>
              <w:pStyle w:val="57"/>
              <w:spacing w:line="360" w:lineRule="auto"/>
              <w:rPr>
                <w:lang w:val="zh-CN"/>
              </w:rPr>
            </w:pPr>
            <w:r>
              <w:rPr>
                <w:rFonts w:hint="eastAsia"/>
                <w:lang w:val="zh-CN"/>
              </w:rPr>
              <w:t>供应商</w:t>
            </w:r>
            <w:r>
              <w:rPr>
                <w:lang w:val="zh-CN"/>
              </w:rPr>
              <w:t>所投产品</w:t>
            </w:r>
            <w:r>
              <w:rPr>
                <w:rFonts w:hint="eastAsia"/>
                <w:lang w:val="zh-CN"/>
              </w:rPr>
              <w:t>属于财政部、环境保护部列入最新一期</w:t>
            </w:r>
            <w:r>
              <w:rPr>
                <w:lang w:val="zh-CN"/>
              </w:rPr>
              <w:t>的环境标志</w:t>
            </w:r>
            <w:r>
              <w:rPr>
                <w:rFonts w:hint="eastAsia"/>
                <w:lang w:val="zh-CN"/>
              </w:rPr>
              <w:t>产品政府采购清单</w:t>
            </w:r>
            <w:r>
              <w:rPr>
                <w:lang w:val="zh-CN"/>
              </w:rPr>
              <w:t>，</w:t>
            </w:r>
            <w:r>
              <w:rPr>
                <w:rFonts w:hint="eastAsia"/>
                <w:lang w:val="zh-CN"/>
              </w:rPr>
              <w:t>采用</w:t>
            </w:r>
            <w:r>
              <w:rPr>
                <w:lang w:val="zh-CN"/>
              </w:rPr>
              <w:t>最低评标价</w:t>
            </w:r>
            <w:r>
              <w:rPr>
                <w:rFonts w:hint="eastAsia"/>
                <w:lang w:val="zh-CN"/>
              </w:rPr>
              <w:t>法</w:t>
            </w:r>
            <w:r>
              <w:rPr>
                <w:lang w:val="zh-CN"/>
              </w:rPr>
              <w:t>的，给予投标人</w:t>
            </w:r>
            <w:r>
              <w:rPr>
                <w:rFonts w:hint="eastAsia"/>
                <w:lang w:val="zh-CN"/>
              </w:rPr>
              <w:t>所</w:t>
            </w:r>
            <w:r>
              <w:rPr>
                <w:lang w:val="zh-CN"/>
              </w:rPr>
              <w:t>投环境标志产品</w:t>
            </w:r>
            <w:r>
              <w:rPr>
                <w:rFonts w:hint="eastAsia"/>
                <w:lang w:val="zh-CN"/>
              </w:rPr>
              <w:t>6％</w:t>
            </w:r>
            <w:r>
              <w:rPr>
                <w:lang w:val="zh-CN"/>
              </w:rPr>
              <w:t>的价格</w:t>
            </w:r>
            <w:r>
              <w:rPr>
                <w:rFonts w:hint="eastAsia"/>
                <w:lang w:val="zh-CN"/>
              </w:rPr>
              <w:t>折扣，用折扣后的价格参与评审；</w:t>
            </w:r>
            <w:r>
              <w:rPr>
                <w:lang w:val="zh-CN"/>
              </w:rPr>
              <w:t>采用综合评分法的在评分</w:t>
            </w:r>
            <w:r>
              <w:rPr>
                <w:rFonts w:hint="eastAsia"/>
                <w:lang w:val="zh-CN"/>
              </w:rPr>
              <w:t>细则</w:t>
            </w:r>
            <w:r>
              <w:rPr>
                <w:lang w:val="zh-CN"/>
              </w:rPr>
              <w:t>中予以体现。</w:t>
            </w:r>
          </w:p>
          <w:p>
            <w:pPr>
              <w:pStyle w:val="57"/>
              <w:spacing w:line="360" w:lineRule="auto"/>
              <w:rPr>
                <w:lang w:val="zh-CN"/>
              </w:rPr>
            </w:pPr>
            <w:r>
              <w:rPr>
                <w:rFonts w:hint="eastAsia"/>
                <w:lang w:val="zh-CN"/>
              </w:rPr>
              <w:t>3、无线局域网认证产品政府采购</w:t>
            </w:r>
          </w:p>
          <w:p>
            <w:pPr>
              <w:pStyle w:val="57"/>
              <w:spacing w:line="360" w:lineRule="auto"/>
              <w:rPr>
                <w:lang w:val="zh-CN"/>
              </w:rPr>
            </w:pPr>
            <w:r>
              <w:rPr>
                <w:rFonts w:hint="eastAsia"/>
                <w:lang w:val="zh-CN"/>
              </w:rPr>
              <w:t>供应商所投产品属于财政部、国家发展改革委、信息产业部列入最新一期的无线局域网认证产品政府采购清单，采用最低评标价法的，给予投标人所投无线局域网认证产品政府采购清单6％的价格折扣，用折扣后的价格参与评审；采用综合评分法的在评分细则中予以体现。</w:t>
            </w:r>
          </w:p>
          <w:p>
            <w:pPr>
              <w:pStyle w:val="57"/>
              <w:spacing w:line="360" w:lineRule="auto"/>
              <w:rPr>
                <w:lang w:val="zh-CN"/>
              </w:rPr>
            </w:pPr>
            <w:r>
              <w:rPr>
                <w:rFonts w:hint="eastAsia"/>
                <w:lang w:val="zh-CN"/>
              </w:rPr>
              <w:t>三</w:t>
            </w:r>
            <w:r>
              <w:rPr>
                <w:lang w:val="zh-CN"/>
              </w:rPr>
              <w:t>、属于节能产品</w:t>
            </w:r>
            <w:r>
              <w:rPr>
                <w:rFonts w:hint="eastAsia"/>
                <w:lang w:val="zh-CN"/>
              </w:rPr>
              <w:t>、</w:t>
            </w:r>
            <w:r>
              <w:rPr>
                <w:lang w:val="zh-CN"/>
              </w:rPr>
              <w:t>环境标志</w:t>
            </w:r>
            <w:r>
              <w:rPr>
                <w:rFonts w:hint="eastAsia"/>
                <w:lang w:val="zh-CN"/>
              </w:rPr>
              <w:t>和局域网认证</w:t>
            </w:r>
            <w:r>
              <w:rPr>
                <w:lang w:val="zh-CN"/>
              </w:rPr>
              <w:t>产品的，供应商应当提供证明材料。</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237" w:hRule="atLeast"/>
          <w:jc w:val="center"/>
        </w:trPr>
        <w:tc>
          <w:tcPr>
            <w:tcW w:w="1012" w:type="dxa"/>
            <w:tcBorders>
              <w:top w:val="single" w:color="auto" w:sz="4" w:space="0"/>
              <w:bottom w:val="single" w:color="auto" w:sz="4" w:space="0"/>
            </w:tcBorders>
            <w:vAlign w:val="center"/>
          </w:tcPr>
          <w:p>
            <w:pPr>
              <w:pStyle w:val="57"/>
              <w:ind w:right="230"/>
              <w:jc w:val="center"/>
              <w:rPr>
                <w:rFonts w:cs="Courier New"/>
                <w:lang w:val="zh-CN"/>
              </w:rPr>
            </w:pPr>
            <w:r>
              <w:rPr>
                <w:rFonts w:hint="eastAsia" w:cs="Courier New"/>
              </w:rPr>
              <w:t>9</w:t>
            </w:r>
          </w:p>
        </w:tc>
        <w:tc>
          <w:tcPr>
            <w:tcW w:w="2482" w:type="dxa"/>
            <w:tcBorders>
              <w:top w:val="single" w:color="auto" w:sz="4" w:space="0"/>
              <w:bottom w:val="single" w:color="auto" w:sz="4" w:space="0"/>
            </w:tcBorders>
            <w:vAlign w:val="center"/>
          </w:tcPr>
          <w:p>
            <w:pPr>
              <w:pStyle w:val="57"/>
              <w:rPr>
                <w:rFonts w:cs="Times New Roman"/>
                <w:color w:val="FF0000"/>
                <w:kern w:val="2"/>
              </w:rPr>
            </w:pPr>
            <w:r>
              <w:rPr>
                <w:rFonts w:hint="eastAsia"/>
                <w:lang w:val="zh-CN"/>
              </w:rPr>
              <w:t>失信供应商管理</w:t>
            </w:r>
          </w:p>
        </w:tc>
        <w:tc>
          <w:tcPr>
            <w:tcW w:w="6007" w:type="dxa"/>
            <w:tcBorders>
              <w:top w:val="single" w:color="auto" w:sz="4" w:space="0"/>
              <w:bottom w:val="single" w:color="auto" w:sz="4" w:space="0"/>
            </w:tcBorders>
            <w:vAlign w:val="center"/>
          </w:tcPr>
          <w:p>
            <w:pPr>
              <w:pStyle w:val="57"/>
              <w:spacing w:line="360" w:lineRule="auto"/>
              <w:rPr>
                <w:lang w:val="zh-CN"/>
              </w:rPr>
            </w:pPr>
            <w:r>
              <w:rPr>
                <w:rFonts w:hint="eastAsia"/>
                <w:lang w:val="zh-CN"/>
              </w:rPr>
              <w:t>一、失信企业报价加成或者扣分</w:t>
            </w:r>
          </w:p>
          <w:p>
            <w:pPr>
              <w:pStyle w:val="57"/>
              <w:spacing w:line="360" w:lineRule="auto"/>
              <w:rPr>
                <w:lang w:val="zh-CN"/>
              </w:rPr>
            </w:pPr>
            <w:r>
              <w:rPr>
                <w:rFonts w:hint="eastAsia"/>
                <w:lang w:val="zh-CN"/>
              </w:rPr>
              <w:t>1、采用</w:t>
            </w:r>
            <w:r>
              <w:rPr>
                <w:lang w:val="zh-CN"/>
              </w:rPr>
              <w:t>最低评标价法的，</w:t>
            </w:r>
            <w:r>
              <w:rPr>
                <w:rFonts w:hint="eastAsia"/>
                <w:lang w:val="zh-CN"/>
              </w:rPr>
              <w:t>按照《四川省政府采购当事人诚信管理办法》（川财采[2015]33号）记入诚信档案的且在有效期内的失信供应商，在参加政府采购活动中实行10%的报价加成、以加成后报价作为该供应商报价评标，且供应商失信行为惩戒实行无限制累加制，因其失信行为进行报价加成惩戒后报价超过政府预算金额（最高限价）的，其投标文件按照无效处理。</w:t>
            </w:r>
          </w:p>
          <w:p>
            <w:pPr>
              <w:pStyle w:val="57"/>
              <w:spacing w:line="360" w:lineRule="auto"/>
              <w:rPr>
                <w:lang w:val="zh-CN"/>
              </w:rPr>
            </w:pPr>
            <w:r>
              <w:rPr>
                <w:rFonts w:hint="eastAsia"/>
                <w:lang w:val="zh-CN"/>
              </w:rPr>
              <w:t>2、</w:t>
            </w:r>
            <w:r>
              <w:rPr>
                <w:lang w:val="zh-CN"/>
              </w:rPr>
              <w:t>采用综合评分法的</w:t>
            </w:r>
            <w:r>
              <w:rPr>
                <w:rFonts w:hint="eastAsia"/>
                <w:lang w:val="zh-CN"/>
              </w:rPr>
              <w:t>，按照《四川省政府采购当事人诚信管理办法》（川财采[2015]33号）记入诚信档案的且在有效期内的失信供应商，在参加政府采购活动中实行直接从总分中扣除5分，且供应商失信行为惩戒实行无限制累加制，直至总分扣完为止。</w:t>
            </w:r>
          </w:p>
          <w:p>
            <w:pPr>
              <w:pStyle w:val="57"/>
              <w:spacing w:line="360" w:lineRule="auto"/>
              <w:rPr>
                <w:lang w:val="zh-CN"/>
              </w:rPr>
            </w:pPr>
            <w:r>
              <w:rPr>
                <w:rFonts w:hint="eastAsia"/>
                <w:lang w:val="zh-CN"/>
              </w:rPr>
              <w:t>二</w:t>
            </w:r>
            <w:r>
              <w:rPr>
                <w:lang w:val="zh-CN"/>
              </w:rPr>
              <w:t>、</w:t>
            </w:r>
            <w:r>
              <w:rPr>
                <w:rFonts w:hint="eastAsia"/>
                <w:lang w:val="zh-CN"/>
              </w:rPr>
              <w:t>联合体参与政府采购活动的，联合体成员中存在不良信用记录的，视同联合体存在不良信用记录，按失信企业报价加成或者扣分。</w:t>
            </w:r>
          </w:p>
          <w:p>
            <w:pPr>
              <w:pStyle w:val="57"/>
              <w:spacing w:line="360" w:lineRule="auto"/>
              <w:rPr>
                <w:color w:val="FF0000"/>
              </w:rPr>
            </w:pPr>
            <w:r>
              <w:rPr>
                <w:rFonts w:hint="eastAsia"/>
                <w:lang w:val="zh-CN"/>
              </w:rPr>
              <w:t>三</w:t>
            </w:r>
            <w:r>
              <w:rPr>
                <w:lang w:val="zh-CN"/>
              </w:rPr>
              <w:t>、</w:t>
            </w:r>
            <w:r>
              <w:rPr>
                <w:rFonts w:hint="eastAsia"/>
                <w:lang w:val="zh-CN"/>
              </w:rPr>
              <w:t>供应商参加政府采购活动时，应当就自己的诚信情况在投标文件中进行承诺。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19" w:hRule="atLeast"/>
          <w:jc w:val="center"/>
        </w:trPr>
        <w:tc>
          <w:tcPr>
            <w:tcW w:w="1012" w:type="dxa"/>
            <w:vAlign w:val="center"/>
          </w:tcPr>
          <w:p>
            <w:pPr>
              <w:pStyle w:val="57"/>
              <w:ind w:right="230"/>
              <w:jc w:val="center"/>
              <w:rPr>
                <w:rFonts w:cs="Courier New"/>
                <w:lang w:val="zh-CN"/>
              </w:rPr>
            </w:pPr>
            <w:r>
              <w:rPr>
                <w:rFonts w:hint="eastAsia" w:cs="Courier New"/>
                <w:lang w:val="zh-CN"/>
              </w:rPr>
              <w:t>1</w:t>
            </w:r>
            <w:r>
              <w:rPr>
                <w:rFonts w:hint="eastAsia" w:cs="Courier New"/>
              </w:rPr>
              <w:t>0</w:t>
            </w:r>
          </w:p>
        </w:tc>
        <w:tc>
          <w:tcPr>
            <w:tcW w:w="2482" w:type="dxa"/>
            <w:vAlign w:val="center"/>
          </w:tcPr>
          <w:p>
            <w:pPr>
              <w:pStyle w:val="57"/>
              <w:rPr>
                <w:lang w:val="zh-CN"/>
              </w:rPr>
            </w:pPr>
            <w:r>
              <w:rPr>
                <w:rFonts w:hint="eastAsia"/>
                <w:lang w:val="zh-CN"/>
              </w:rPr>
              <w:t>采购活动询问</w:t>
            </w:r>
            <w:r>
              <w:rPr>
                <w:lang w:val="zh-CN"/>
              </w:rPr>
              <w:t>、质疑、投诉及</w:t>
            </w:r>
            <w:r>
              <w:rPr>
                <w:rFonts w:hint="eastAsia"/>
                <w:lang w:val="zh-CN"/>
              </w:rPr>
              <w:t>咨询</w:t>
            </w:r>
          </w:p>
        </w:tc>
        <w:tc>
          <w:tcPr>
            <w:tcW w:w="6007" w:type="dxa"/>
            <w:vAlign w:val="center"/>
          </w:tcPr>
          <w:p>
            <w:pPr>
              <w:pStyle w:val="57"/>
              <w:spacing w:line="360" w:lineRule="auto"/>
              <w:rPr>
                <w:lang w:val="zh-CN"/>
              </w:rPr>
            </w:pPr>
            <w:r>
              <w:rPr>
                <w:rFonts w:hint="eastAsia"/>
                <w:lang w:val="zh-CN"/>
              </w:rPr>
              <w:t>根据采购人</w:t>
            </w:r>
            <w:r>
              <w:rPr>
                <w:lang w:val="zh-CN"/>
              </w:rPr>
              <w:t>与采购</w:t>
            </w:r>
            <w:r>
              <w:rPr>
                <w:rFonts w:hint="eastAsia"/>
                <w:lang w:val="zh-CN"/>
              </w:rPr>
              <w:t>代理机构委托代理协议约定，供应商询问、</w:t>
            </w:r>
            <w:r>
              <w:rPr>
                <w:lang w:val="zh-CN"/>
              </w:rPr>
              <w:t>质疑</w:t>
            </w:r>
            <w:r>
              <w:rPr>
                <w:rFonts w:hint="eastAsia"/>
                <w:lang w:val="zh-CN"/>
              </w:rPr>
              <w:t>招标</w:t>
            </w:r>
            <w:r>
              <w:rPr>
                <w:lang w:val="zh-CN"/>
              </w:rPr>
              <w:t>文件中的</w:t>
            </w:r>
            <w:r>
              <w:rPr>
                <w:rFonts w:hint="eastAsia"/>
                <w:lang w:val="zh-CN"/>
              </w:rPr>
              <w:t>资</w:t>
            </w:r>
            <w:r>
              <w:rPr>
                <w:lang w:val="zh-CN"/>
              </w:rPr>
              <w:t>格性要求、采购需求</w:t>
            </w:r>
            <w:r>
              <w:rPr>
                <w:rFonts w:hint="eastAsia"/>
                <w:lang w:val="zh-CN"/>
              </w:rPr>
              <w:t>、服务</w:t>
            </w:r>
            <w:r>
              <w:rPr>
                <w:lang w:val="zh-CN"/>
              </w:rPr>
              <w:t>要求、评分标准</w:t>
            </w:r>
            <w:r>
              <w:rPr>
                <w:rFonts w:hint="eastAsia"/>
                <w:lang w:val="zh-CN"/>
              </w:rPr>
              <w:t>、采购结果</w:t>
            </w:r>
            <w:r>
              <w:rPr>
                <w:lang w:val="zh-CN"/>
              </w:rPr>
              <w:t>等</w:t>
            </w:r>
            <w:r>
              <w:rPr>
                <w:rFonts w:hint="eastAsia"/>
                <w:lang w:val="zh-CN"/>
              </w:rPr>
              <w:t>由采购人负责受理</w:t>
            </w:r>
            <w:r>
              <w:rPr>
                <w:lang w:val="zh-CN"/>
              </w:rPr>
              <w:t>和</w:t>
            </w:r>
            <w:r>
              <w:rPr>
                <w:rFonts w:hint="eastAsia"/>
                <w:lang w:val="zh-CN"/>
              </w:rPr>
              <w:t>答复；供应商询问、</w:t>
            </w:r>
            <w:r>
              <w:rPr>
                <w:lang w:val="zh-CN"/>
              </w:rPr>
              <w:t>质疑</w:t>
            </w:r>
            <w:r>
              <w:rPr>
                <w:rFonts w:hint="eastAsia"/>
                <w:lang w:val="zh-CN"/>
              </w:rPr>
              <w:t>招标</w:t>
            </w:r>
            <w:r>
              <w:rPr>
                <w:lang w:val="zh-CN"/>
              </w:rPr>
              <w:t>文件中的</w:t>
            </w:r>
            <w:r>
              <w:rPr>
                <w:rFonts w:hint="eastAsia"/>
                <w:lang w:val="zh-CN"/>
              </w:rPr>
              <w:t>其他内容由采购代理机构负责受理</w:t>
            </w:r>
            <w:r>
              <w:rPr>
                <w:lang w:val="zh-CN"/>
              </w:rPr>
              <w:t>和答复</w:t>
            </w:r>
            <w:r>
              <w:rPr>
                <w:rFonts w:hint="eastAsia"/>
                <w:lang w:val="zh-CN"/>
              </w:rPr>
              <w:t>。</w:t>
            </w:r>
          </w:p>
          <w:p>
            <w:pPr>
              <w:pStyle w:val="15"/>
              <w:spacing w:line="360" w:lineRule="auto"/>
              <w:rPr>
                <w:rFonts w:ascii="宋体" w:hAnsi="宋体" w:cs="宋体"/>
                <w:kern w:val="0"/>
                <w:sz w:val="24"/>
                <w:lang w:val="zh-CN"/>
              </w:rPr>
            </w:pPr>
            <w:r>
              <w:rPr>
                <w:rFonts w:hint="eastAsia" w:ascii="宋体" w:hAnsi="宋体" w:cs="宋体"/>
                <w:kern w:val="0"/>
                <w:sz w:val="24"/>
                <w:lang w:val="zh-CN"/>
              </w:rPr>
              <w:t>询问、</w:t>
            </w:r>
            <w:r>
              <w:rPr>
                <w:rFonts w:ascii="宋体" w:hAnsi="宋体" w:cs="宋体"/>
                <w:kern w:val="0"/>
                <w:sz w:val="24"/>
                <w:lang w:val="zh-CN"/>
              </w:rPr>
              <w:t>质疑</w:t>
            </w:r>
            <w:r>
              <w:rPr>
                <w:rFonts w:hint="eastAsia" w:ascii="宋体" w:hAnsi="宋体" w:cs="宋体"/>
                <w:kern w:val="0"/>
                <w:sz w:val="24"/>
                <w:lang w:val="zh-CN"/>
              </w:rPr>
              <w:t>投标人</w:t>
            </w:r>
            <w:r>
              <w:rPr>
                <w:rFonts w:ascii="宋体" w:hAnsi="宋体" w:cs="宋体"/>
                <w:kern w:val="0"/>
                <w:sz w:val="24"/>
                <w:lang w:val="zh-CN"/>
              </w:rPr>
              <w:t>按照</w:t>
            </w:r>
            <w:r>
              <w:rPr>
                <w:rFonts w:hint="eastAsia" w:ascii="宋体" w:hAnsi="宋体" w:cs="宋体"/>
                <w:kern w:val="0"/>
                <w:sz w:val="24"/>
                <w:lang w:val="zh-CN"/>
              </w:rPr>
              <w:t>“第一章投标邀请”中的联系方式</w:t>
            </w:r>
            <w:r>
              <w:rPr>
                <w:rFonts w:ascii="宋体" w:hAnsi="宋体" w:cs="宋体"/>
                <w:kern w:val="0"/>
                <w:sz w:val="24"/>
                <w:lang w:val="zh-CN"/>
              </w:rPr>
              <w:t>向</w:t>
            </w:r>
            <w:r>
              <w:rPr>
                <w:rFonts w:hint="eastAsia" w:ascii="宋体" w:hAnsi="宋体" w:cs="宋体"/>
                <w:kern w:val="0"/>
                <w:sz w:val="24"/>
                <w:lang w:val="zh-CN"/>
              </w:rPr>
              <w:t>受理人</w:t>
            </w:r>
            <w:r>
              <w:rPr>
                <w:rFonts w:ascii="宋体" w:hAnsi="宋体" w:cs="宋体"/>
                <w:kern w:val="0"/>
                <w:sz w:val="24"/>
                <w:lang w:val="zh-CN"/>
              </w:rPr>
              <w:t>提交书面材料。</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24" w:hRule="exact"/>
          <w:jc w:val="center"/>
        </w:trPr>
        <w:tc>
          <w:tcPr>
            <w:tcW w:w="1012" w:type="dxa"/>
            <w:vAlign w:val="center"/>
          </w:tcPr>
          <w:p>
            <w:pPr>
              <w:pStyle w:val="57"/>
              <w:ind w:right="230"/>
              <w:jc w:val="center"/>
              <w:rPr>
                <w:rFonts w:cs="Courier New"/>
                <w:lang w:val="zh-CN"/>
              </w:rPr>
            </w:pPr>
            <w:r>
              <w:rPr>
                <w:rFonts w:hint="eastAsia" w:cs="Courier New"/>
                <w:lang w:val="zh-CN"/>
              </w:rPr>
              <w:t>1</w:t>
            </w:r>
            <w:r>
              <w:rPr>
                <w:rFonts w:hint="eastAsia" w:cs="Courier New"/>
              </w:rPr>
              <w:t>1</w:t>
            </w:r>
          </w:p>
        </w:tc>
        <w:tc>
          <w:tcPr>
            <w:tcW w:w="2482" w:type="dxa"/>
            <w:vAlign w:val="center"/>
          </w:tcPr>
          <w:p>
            <w:pPr>
              <w:pStyle w:val="57"/>
              <w:rPr>
                <w:lang w:val="zh-CN"/>
              </w:rPr>
            </w:pPr>
            <w:r>
              <w:rPr>
                <w:rFonts w:hint="eastAsia"/>
                <w:lang w:val="zh-CN"/>
              </w:rPr>
              <w:t>分包履约</w:t>
            </w:r>
          </w:p>
        </w:tc>
        <w:tc>
          <w:tcPr>
            <w:tcW w:w="6007" w:type="dxa"/>
            <w:vAlign w:val="center"/>
          </w:tcPr>
          <w:p>
            <w:pPr>
              <w:pStyle w:val="57"/>
              <w:spacing w:line="360" w:lineRule="auto"/>
              <w:rPr>
                <w:lang w:val="zh-CN"/>
              </w:rPr>
            </w:pPr>
            <w:r>
              <w:rPr>
                <w:rFonts w:hint="eastAsia"/>
                <w:lang w:val="zh-CN"/>
              </w:rPr>
              <w:t>中标供应商在合同签订之前必须征得采购人同意。</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924" w:hRule="exact"/>
          <w:jc w:val="center"/>
        </w:trPr>
        <w:tc>
          <w:tcPr>
            <w:tcW w:w="1012" w:type="dxa"/>
            <w:vAlign w:val="center"/>
          </w:tcPr>
          <w:p>
            <w:pPr>
              <w:pStyle w:val="57"/>
              <w:ind w:right="230"/>
              <w:jc w:val="center"/>
              <w:rPr>
                <w:lang w:val="zh-CN"/>
              </w:rPr>
            </w:pPr>
            <w:r>
              <w:rPr>
                <w:rFonts w:hint="eastAsia" w:cs="Courier New"/>
                <w:lang w:val="zh-CN"/>
              </w:rPr>
              <w:t>1</w:t>
            </w:r>
            <w:r>
              <w:rPr>
                <w:rFonts w:hint="eastAsia" w:cs="Courier New"/>
              </w:rPr>
              <w:t>2</w:t>
            </w:r>
          </w:p>
        </w:tc>
        <w:tc>
          <w:tcPr>
            <w:tcW w:w="2482" w:type="dxa"/>
            <w:vAlign w:val="center"/>
          </w:tcPr>
          <w:p>
            <w:pPr>
              <w:pStyle w:val="57"/>
              <w:rPr>
                <w:lang w:val="zh-CN"/>
              </w:rPr>
            </w:pPr>
            <w:r>
              <w:rPr>
                <w:rFonts w:hint="eastAsia"/>
                <w:lang w:val="zh-CN"/>
              </w:rPr>
              <w:t>构成招标文件的其他文件</w:t>
            </w:r>
          </w:p>
        </w:tc>
        <w:tc>
          <w:tcPr>
            <w:tcW w:w="6007" w:type="dxa"/>
            <w:vAlign w:val="center"/>
          </w:tcPr>
          <w:p>
            <w:pPr>
              <w:pStyle w:val="57"/>
              <w:spacing w:line="360" w:lineRule="auto"/>
              <w:rPr>
                <w:lang w:val="zh-CN"/>
              </w:rPr>
            </w:pPr>
            <w:r>
              <w:rPr>
                <w:rFonts w:hint="eastAsia"/>
                <w:lang w:val="zh-CN"/>
              </w:rPr>
              <w:t>招标文件的澄清、说明或者补正书及有关补充通知为招标文件的有效组成部分。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465" w:hRule="exact"/>
          <w:jc w:val="center"/>
        </w:trPr>
        <w:tc>
          <w:tcPr>
            <w:tcW w:w="1012" w:type="dxa"/>
            <w:vAlign w:val="center"/>
          </w:tcPr>
          <w:p>
            <w:pPr>
              <w:pStyle w:val="57"/>
              <w:ind w:right="230"/>
              <w:jc w:val="center"/>
              <w:rPr>
                <w:rFonts w:cs="Courier New"/>
                <w:lang w:val="zh-CN"/>
              </w:rPr>
            </w:pPr>
            <w:r>
              <w:rPr>
                <w:rFonts w:hint="eastAsia" w:cs="Courier New"/>
                <w:lang w:val="zh-CN"/>
              </w:rPr>
              <w:t>1</w:t>
            </w:r>
            <w:r>
              <w:rPr>
                <w:rFonts w:hint="eastAsia" w:cs="Courier New"/>
              </w:rPr>
              <w:t>3</w:t>
            </w:r>
          </w:p>
        </w:tc>
        <w:tc>
          <w:tcPr>
            <w:tcW w:w="2482" w:type="dxa"/>
            <w:vAlign w:val="center"/>
          </w:tcPr>
          <w:p>
            <w:pPr>
              <w:pStyle w:val="57"/>
              <w:rPr>
                <w:lang w:val="zh-CN"/>
              </w:rPr>
            </w:pPr>
            <w:r>
              <w:rPr>
                <w:rFonts w:hint="eastAsia"/>
                <w:lang w:val="zh-CN"/>
              </w:rPr>
              <w:t>投标有效期</w:t>
            </w:r>
          </w:p>
        </w:tc>
        <w:tc>
          <w:tcPr>
            <w:tcW w:w="6007" w:type="dxa"/>
            <w:vAlign w:val="center"/>
          </w:tcPr>
          <w:p>
            <w:pPr>
              <w:pStyle w:val="57"/>
              <w:spacing w:line="360" w:lineRule="auto"/>
              <w:rPr>
                <w:lang w:val="zh-CN"/>
              </w:rPr>
            </w:pPr>
            <w:r>
              <w:rPr>
                <w:rFonts w:hint="eastAsia"/>
                <w:lang w:val="zh-CN"/>
              </w:rPr>
              <w:t>开标后</w:t>
            </w:r>
            <w:r>
              <w:rPr>
                <w:rFonts w:hint="eastAsia"/>
                <w:color w:val="0000FF"/>
                <w:lang w:val="zh-CN"/>
              </w:rPr>
              <w:t>100天</w:t>
            </w:r>
            <w:r>
              <w:rPr>
                <w:rFonts w:hint="eastAsia"/>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94" w:hRule="atLeast"/>
          <w:jc w:val="center"/>
        </w:trPr>
        <w:tc>
          <w:tcPr>
            <w:tcW w:w="1012" w:type="dxa"/>
            <w:vAlign w:val="center"/>
          </w:tcPr>
          <w:p>
            <w:pPr>
              <w:pStyle w:val="57"/>
              <w:ind w:right="230"/>
              <w:jc w:val="center"/>
              <w:rPr>
                <w:rFonts w:cs="Courier New"/>
                <w:lang w:val="zh-CN"/>
              </w:rPr>
            </w:pPr>
            <w:r>
              <w:rPr>
                <w:rFonts w:hint="eastAsia" w:cs="Courier New"/>
                <w:lang w:val="zh-CN"/>
              </w:rPr>
              <w:t>1</w:t>
            </w:r>
            <w:r>
              <w:rPr>
                <w:rFonts w:hint="eastAsia" w:cs="Courier New"/>
              </w:rPr>
              <w:t>4</w:t>
            </w:r>
          </w:p>
        </w:tc>
        <w:tc>
          <w:tcPr>
            <w:tcW w:w="2482" w:type="dxa"/>
            <w:vAlign w:val="center"/>
          </w:tcPr>
          <w:p>
            <w:pPr>
              <w:pStyle w:val="57"/>
              <w:rPr>
                <w:lang w:val="zh-CN"/>
              </w:rPr>
            </w:pPr>
            <w:r>
              <w:rPr>
                <w:rFonts w:hint="eastAsia"/>
                <w:lang w:val="zh-CN"/>
              </w:rPr>
              <w:t>投标保证金</w:t>
            </w:r>
          </w:p>
        </w:tc>
        <w:tc>
          <w:tcPr>
            <w:tcW w:w="6007" w:type="dxa"/>
            <w:vAlign w:val="center"/>
          </w:tcPr>
          <w:p>
            <w:pPr>
              <w:pStyle w:val="57"/>
              <w:numPr>
                <w:ilvl w:val="0"/>
                <w:numId w:val="2"/>
              </w:numPr>
              <w:jc w:val="both"/>
              <w:rPr>
                <w:color w:val="000000"/>
              </w:rPr>
            </w:pPr>
            <w:r>
              <w:rPr>
                <w:rFonts w:hint="eastAsia"/>
                <w:color w:val="000000"/>
                <w:lang w:val="zh-CN"/>
              </w:rPr>
              <w:t>投标保证金的金额：</w:t>
            </w:r>
            <w:r>
              <w:rPr>
                <w:rFonts w:hint="eastAsia"/>
                <w:color w:val="000000"/>
                <w:u w:val="single"/>
                <w:lang w:val="zh-CN"/>
              </w:rPr>
              <w:t>肆万元整</w:t>
            </w:r>
            <w:r>
              <w:rPr>
                <w:rFonts w:hint="eastAsia"/>
                <w:color w:val="000000"/>
              </w:rPr>
              <w:t>。</w:t>
            </w:r>
          </w:p>
          <w:p>
            <w:pPr>
              <w:pStyle w:val="57"/>
              <w:numPr>
                <w:ilvl w:val="0"/>
                <w:numId w:val="2"/>
              </w:numPr>
              <w:jc w:val="both"/>
              <w:rPr>
                <w:color w:val="000000"/>
                <w:lang w:val="zh-CN"/>
              </w:rPr>
            </w:pPr>
            <w:r>
              <w:rPr>
                <w:rFonts w:hint="eastAsia"/>
                <w:color w:val="000000"/>
                <w:lang w:val="zh-CN"/>
              </w:rPr>
              <w:t>交款方式：投标保证金可以以支票、汇票、本票或者金融机构出具的保函等非现金形式提交（包括网银转账，电汇等方式），所有递交方式均以到帐时间为准。（若以保函方式提交的，必须在保证金截止时间前开具）。</w:t>
            </w:r>
          </w:p>
          <w:p>
            <w:pPr>
              <w:pStyle w:val="57"/>
              <w:jc w:val="both"/>
              <w:rPr>
                <w:color w:val="000000"/>
                <w:lang w:val="zh-CN"/>
              </w:rPr>
            </w:pPr>
            <w:r>
              <w:rPr>
                <w:rFonts w:hint="eastAsia"/>
                <w:color w:val="000000"/>
                <w:lang w:val="zh-CN"/>
              </w:rPr>
              <w:t>收款单位：四川鑫森建设工程咨询有限公司</w:t>
            </w:r>
          </w:p>
          <w:p>
            <w:pPr>
              <w:pStyle w:val="57"/>
              <w:jc w:val="both"/>
              <w:rPr>
                <w:color w:val="000000"/>
                <w:lang w:val="zh-CN"/>
              </w:rPr>
            </w:pPr>
            <w:r>
              <w:rPr>
                <w:rFonts w:hint="eastAsia"/>
                <w:color w:val="000000"/>
                <w:lang w:val="zh-CN"/>
              </w:rPr>
              <w:t>开 户 行：中国银行股份有限公司成都武侯支行</w:t>
            </w:r>
          </w:p>
          <w:p>
            <w:pPr>
              <w:pStyle w:val="57"/>
              <w:jc w:val="both"/>
            </w:pPr>
            <w:r>
              <w:rPr>
                <w:rFonts w:hint="eastAsia"/>
                <w:color w:val="000000"/>
                <w:lang w:val="zh-CN"/>
              </w:rPr>
              <w:t>银行账号：122554593031</w:t>
            </w:r>
            <w:r>
              <w:rPr>
                <w:rFonts w:hint="eastAsia"/>
                <w:color w:val="000000"/>
                <w:lang w:val="zh-CN"/>
              </w:rPr>
              <w:br w:type="textWrapping"/>
            </w:r>
            <w:r>
              <w:rPr>
                <w:rFonts w:hint="eastAsia"/>
                <w:color w:val="000000"/>
                <w:lang w:val="zh-CN"/>
              </w:rPr>
              <w:t>（</w:t>
            </w:r>
            <w:r>
              <w:rPr>
                <w:rFonts w:hint="eastAsia"/>
                <w:color w:val="000000"/>
              </w:rPr>
              <w:t>3</w:t>
            </w:r>
            <w:r>
              <w:rPr>
                <w:rFonts w:hint="eastAsia"/>
                <w:color w:val="000000"/>
                <w:lang w:val="zh-CN"/>
              </w:rPr>
              <w:t>）投标保证金到帐截止时间为：</w:t>
            </w:r>
            <w:r>
              <w:rPr>
                <w:rFonts w:hint="eastAsia"/>
                <w:lang w:val="zh-CN"/>
              </w:rPr>
              <w:t>201</w:t>
            </w:r>
            <w:r>
              <w:rPr>
                <w:rFonts w:hint="eastAsia"/>
              </w:rPr>
              <w:t>9</w:t>
            </w:r>
            <w:r>
              <w:rPr>
                <w:rFonts w:hint="eastAsia"/>
                <w:lang w:val="zh-CN"/>
              </w:rPr>
              <w:t>年</w:t>
            </w:r>
            <w:r>
              <w:rPr>
                <w:rFonts w:hint="eastAsia"/>
              </w:rPr>
              <w:t>8</w:t>
            </w:r>
            <w:r>
              <w:rPr>
                <w:rFonts w:hint="eastAsia"/>
                <w:lang w:val="zh-CN"/>
              </w:rPr>
              <w:t>月</w:t>
            </w:r>
            <w:r>
              <w:rPr>
                <w:rFonts w:hint="eastAsia"/>
              </w:rPr>
              <w:t>25</w:t>
            </w:r>
            <w:r>
              <w:rPr>
                <w:rFonts w:hint="eastAsia"/>
                <w:lang w:val="zh-CN"/>
              </w:rPr>
              <w:t>日</w:t>
            </w:r>
            <w:r>
              <w:rPr>
                <w:rFonts w:hint="eastAsia"/>
                <w:color w:val="0000FF"/>
                <w:lang w:val="zh-CN"/>
              </w:rPr>
              <w:t>1</w:t>
            </w:r>
            <w:r>
              <w:rPr>
                <w:rFonts w:hint="eastAsia"/>
                <w:color w:val="000000"/>
              </w:rPr>
              <w:t>6</w:t>
            </w:r>
            <w:r>
              <w:rPr>
                <w:rFonts w:hint="eastAsia"/>
                <w:color w:val="000000"/>
                <w:lang w:val="zh-CN"/>
              </w:rPr>
              <w:t>:00时。</w:t>
            </w:r>
            <w:r>
              <w:rPr>
                <w:rFonts w:hint="eastAsia"/>
                <w:color w:val="000000"/>
                <w:lang w:val="zh-CN"/>
              </w:rPr>
              <w:br w:type="textWrapping"/>
            </w:r>
            <w:r>
              <w:rPr>
                <w:rFonts w:hint="eastAsia"/>
                <w:lang w:val="zh-CN"/>
              </w:rPr>
              <w:t>保证金联系电话：</w:t>
            </w:r>
            <w:r>
              <w:rPr>
                <w:rFonts w:hint="eastAsia"/>
              </w:rPr>
              <w:t>028-85127156</w:t>
            </w:r>
          </w:p>
          <w:p>
            <w:pPr>
              <w:pStyle w:val="57"/>
              <w:spacing w:line="360" w:lineRule="auto"/>
            </w:pPr>
            <w:r>
              <w:rPr>
                <w:rFonts w:hint="eastAsia"/>
                <w:lang w:val="zh-CN"/>
              </w:rPr>
              <w:t>保证金联 系 人：肖小姐</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113" w:hRule="atLeast"/>
          <w:jc w:val="center"/>
        </w:trPr>
        <w:tc>
          <w:tcPr>
            <w:tcW w:w="1012" w:type="dxa"/>
            <w:vAlign w:val="center"/>
          </w:tcPr>
          <w:p>
            <w:pPr>
              <w:pStyle w:val="57"/>
              <w:ind w:right="230"/>
              <w:jc w:val="center"/>
              <w:rPr>
                <w:rFonts w:cs="Courier New"/>
                <w:lang w:val="zh-CN"/>
              </w:rPr>
            </w:pPr>
            <w:r>
              <w:rPr>
                <w:rFonts w:hint="eastAsia" w:cs="Courier New"/>
                <w:lang w:val="zh-CN"/>
              </w:rPr>
              <w:t>1</w:t>
            </w:r>
            <w:r>
              <w:rPr>
                <w:rFonts w:hint="eastAsia" w:cs="Courier New"/>
              </w:rPr>
              <w:t>5</w:t>
            </w:r>
          </w:p>
        </w:tc>
        <w:tc>
          <w:tcPr>
            <w:tcW w:w="2482" w:type="dxa"/>
            <w:vAlign w:val="center"/>
          </w:tcPr>
          <w:p>
            <w:pPr>
              <w:pStyle w:val="57"/>
              <w:rPr>
                <w:lang w:val="zh-CN"/>
              </w:rPr>
            </w:pPr>
            <w:r>
              <w:rPr>
                <w:rFonts w:hint="eastAsia"/>
                <w:lang w:val="zh-CN"/>
              </w:rPr>
              <w:t>备选投标方案和报价</w:t>
            </w:r>
          </w:p>
        </w:tc>
        <w:tc>
          <w:tcPr>
            <w:tcW w:w="6007" w:type="dxa"/>
            <w:vAlign w:val="center"/>
          </w:tcPr>
          <w:p>
            <w:pPr>
              <w:pStyle w:val="57"/>
              <w:spacing w:line="360" w:lineRule="auto"/>
              <w:rPr>
                <w:lang w:val="zh-CN"/>
              </w:rPr>
            </w:pPr>
            <w:r>
              <w:rPr>
                <w:rFonts w:hint="eastAsia"/>
                <w:lang w:val="zh-CN"/>
              </w:rPr>
              <w:t>不接受备选投标方案和多个报价。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2" w:hRule="exact"/>
          <w:jc w:val="center"/>
        </w:trPr>
        <w:tc>
          <w:tcPr>
            <w:tcW w:w="1012" w:type="dxa"/>
            <w:vAlign w:val="center"/>
          </w:tcPr>
          <w:p>
            <w:pPr>
              <w:pStyle w:val="57"/>
              <w:ind w:right="264"/>
              <w:jc w:val="center"/>
              <w:rPr>
                <w:rFonts w:cs="Courier New"/>
                <w:lang w:val="zh-CN"/>
              </w:rPr>
            </w:pPr>
            <w:r>
              <w:rPr>
                <w:rFonts w:hint="eastAsia" w:cs="Courier New"/>
                <w:lang w:val="zh-CN"/>
              </w:rPr>
              <w:t>1</w:t>
            </w:r>
            <w:r>
              <w:rPr>
                <w:rFonts w:hint="eastAsia" w:cs="Courier New"/>
              </w:rPr>
              <w:t>6</w:t>
            </w:r>
          </w:p>
        </w:tc>
        <w:tc>
          <w:tcPr>
            <w:tcW w:w="2482" w:type="dxa"/>
            <w:vAlign w:val="center"/>
          </w:tcPr>
          <w:p>
            <w:pPr>
              <w:pStyle w:val="57"/>
              <w:rPr>
                <w:lang w:val="zh-CN"/>
              </w:rPr>
            </w:pPr>
            <w:r>
              <w:rPr>
                <w:rFonts w:hint="eastAsia"/>
                <w:lang w:val="zh-CN"/>
              </w:rPr>
              <w:t>签字盖章</w:t>
            </w:r>
          </w:p>
        </w:tc>
        <w:tc>
          <w:tcPr>
            <w:tcW w:w="6007" w:type="dxa"/>
            <w:vAlign w:val="center"/>
          </w:tcPr>
          <w:p>
            <w:pPr>
              <w:pStyle w:val="57"/>
              <w:spacing w:line="360" w:lineRule="auto"/>
              <w:rPr>
                <w:lang w:val="zh-CN"/>
              </w:rPr>
            </w:pPr>
            <w:r>
              <w:rPr>
                <w:rFonts w:hint="eastAsia"/>
                <w:lang w:val="zh-CN"/>
              </w:rPr>
              <w:t>投标人必须按照招标文件的规定和要求签字、盖章（法人代表的签字可用具有法定效力的签字章）。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2345" w:hRule="exact"/>
          <w:jc w:val="center"/>
        </w:trPr>
        <w:tc>
          <w:tcPr>
            <w:tcW w:w="1012" w:type="dxa"/>
            <w:vAlign w:val="center"/>
          </w:tcPr>
          <w:p>
            <w:pPr>
              <w:pStyle w:val="57"/>
              <w:ind w:right="264"/>
              <w:jc w:val="center"/>
              <w:rPr>
                <w:lang w:val="zh-CN"/>
              </w:rPr>
            </w:pPr>
            <w:r>
              <w:rPr>
                <w:rFonts w:hint="eastAsia"/>
                <w:lang w:val="zh-CN"/>
              </w:rPr>
              <w:t>1</w:t>
            </w:r>
            <w:r>
              <w:rPr>
                <w:rFonts w:hint="eastAsia"/>
              </w:rPr>
              <w:t>7</w:t>
            </w:r>
          </w:p>
        </w:tc>
        <w:tc>
          <w:tcPr>
            <w:tcW w:w="2482" w:type="dxa"/>
            <w:vAlign w:val="center"/>
          </w:tcPr>
          <w:p>
            <w:pPr>
              <w:pStyle w:val="57"/>
              <w:rPr>
                <w:lang w:val="zh-CN"/>
              </w:rPr>
            </w:pPr>
            <w:r>
              <w:rPr>
                <w:rFonts w:hint="eastAsia"/>
                <w:lang w:val="zh-CN"/>
              </w:rPr>
              <w:t>投标文件份数</w:t>
            </w:r>
          </w:p>
        </w:tc>
        <w:tc>
          <w:tcPr>
            <w:tcW w:w="6007" w:type="dxa"/>
            <w:vAlign w:val="center"/>
          </w:tcPr>
          <w:p>
            <w:pPr>
              <w:pStyle w:val="57"/>
              <w:spacing w:line="360" w:lineRule="auto"/>
              <w:rPr>
                <w:color w:val="000000"/>
                <w:lang w:val="zh-CN"/>
              </w:rPr>
            </w:pPr>
            <w:r>
              <w:rPr>
                <w:b/>
                <w:color w:val="000000"/>
                <w:lang w:val="zh-CN"/>
              </w:rPr>
              <w:t>正本1份；</w:t>
            </w:r>
            <w:r>
              <w:rPr>
                <w:rFonts w:hint="eastAsia"/>
                <w:b/>
                <w:color w:val="000000"/>
                <w:lang w:val="zh-CN"/>
              </w:rPr>
              <w:t>资格证明文件1份；</w:t>
            </w:r>
            <w:r>
              <w:rPr>
                <w:b/>
                <w:color w:val="000000"/>
                <w:lang w:val="zh-CN"/>
              </w:rPr>
              <w:t>电子文档（</w:t>
            </w:r>
            <w:r>
              <w:rPr>
                <w:rFonts w:hint="eastAsia"/>
                <w:b/>
                <w:color w:val="000000"/>
              </w:rPr>
              <w:t>U</w:t>
            </w:r>
            <w:r>
              <w:rPr>
                <w:b/>
                <w:color w:val="000000"/>
                <w:lang w:val="zh-CN"/>
              </w:rPr>
              <w:t>盘）1份；用于唱标的“开标一览表”一式两份</w:t>
            </w:r>
            <w:r>
              <w:rPr>
                <w:color w:val="000000"/>
                <w:lang w:val="zh-CN"/>
              </w:rPr>
              <w:t>。</w:t>
            </w:r>
          </w:p>
          <w:p>
            <w:pPr>
              <w:pStyle w:val="57"/>
              <w:spacing w:line="360" w:lineRule="auto"/>
              <w:rPr>
                <w:sz w:val="21"/>
                <w:szCs w:val="21"/>
                <w:lang w:val="zh-CN"/>
              </w:rPr>
            </w:pPr>
            <w:r>
              <w:rPr>
                <w:rFonts w:hint="eastAsia"/>
                <w:lang w:val="zh-CN"/>
              </w:rPr>
              <w:t>注：</w:t>
            </w:r>
            <w:r>
              <w:rPr>
                <w:lang w:val="zh-CN"/>
              </w:rPr>
              <w:t>为减少投标单位成本，逐步向电子投标和电子评标过渡，过渡期间取消投标文件的副本。</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301" w:hRule="exact"/>
          <w:jc w:val="center"/>
        </w:trPr>
        <w:tc>
          <w:tcPr>
            <w:tcW w:w="1012" w:type="dxa"/>
            <w:vAlign w:val="center"/>
          </w:tcPr>
          <w:p>
            <w:pPr>
              <w:pStyle w:val="57"/>
              <w:ind w:right="264"/>
              <w:jc w:val="center"/>
              <w:rPr>
                <w:rFonts w:cs="Courier New"/>
                <w:lang w:val="zh-CN"/>
              </w:rPr>
            </w:pPr>
            <w:r>
              <w:rPr>
                <w:rFonts w:hint="eastAsia" w:cs="Courier New"/>
                <w:lang w:val="zh-CN"/>
              </w:rPr>
              <w:t>1</w:t>
            </w:r>
            <w:r>
              <w:rPr>
                <w:rFonts w:hint="eastAsia" w:cs="Courier New"/>
              </w:rPr>
              <w:t>8</w:t>
            </w:r>
          </w:p>
        </w:tc>
        <w:tc>
          <w:tcPr>
            <w:tcW w:w="2482" w:type="dxa"/>
            <w:vAlign w:val="center"/>
          </w:tcPr>
          <w:p>
            <w:pPr>
              <w:pStyle w:val="57"/>
              <w:rPr>
                <w:lang w:val="zh-CN"/>
              </w:rPr>
            </w:pPr>
            <w:r>
              <w:rPr>
                <w:rFonts w:hint="eastAsia"/>
                <w:lang w:val="zh-CN"/>
              </w:rPr>
              <w:t>投标文件的装订</w:t>
            </w:r>
          </w:p>
        </w:tc>
        <w:tc>
          <w:tcPr>
            <w:tcW w:w="6007" w:type="dxa"/>
            <w:vAlign w:val="center"/>
          </w:tcPr>
          <w:p>
            <w:pPr>
              <w:pStyle w:val="57"/>
              <w:spacing w:line="360" w:lineRule="auto"/>
              <w:rPr>
                <w:lang w:val="zh-CN"/>
              </w:rPr>
            </w:pPr>
            <w:r>
              <w:rPr>
                <w:rFonts w:hint="eastAsia"/>
                <w:lang w:val="zh-CN"/>
              </w:rPr>
              <w:t>正本、资格证明文件、电子文档、用于唱标的“开标一览表”分别装订。投标文件分包装订。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2048" w:hRule="atLeast"/>
          <w:jc w:val="center"/>
        </w:trPr>
        <w:tc>
          <w:tcPr>
            <w:tcW w:w="1012" w:type="dxa"/>
            <w:vAlign w:val="center"/>
          </w:tcPr>
          <w:p>
            <w:pPr>
              <w:pStyle w:val="57"/>
              <w:ind w:right="264"/>
              <w:jc w:val="center"/>
              <w:rPr>
                <w:rFonts w:cs="Arial"/>
              </w:rPr>
            </w:pPr>
            <w:r>
              <w:rPr>
                <w:rFonts w:hint="eastAsia" w:cs="Arial"/>
              </w:rPr>
              <w:t>19</w:t>
            </w:r>
          </w:p>
        </w:tc>
        <w:tc>
          <w:tcPr>
            <w:tcW w:w="2482" w:type="dxa"/>
            <w:vAlign w:val="center"/>
          </w:tcPr>
          <w:p>
            <w:pPr>
              <w:pStyle w:val="57"/>
              <w:rPr>
                <w:lang w:val="zh-CN"/>
              </w:rPr>
            </w:pPr>
            <w:r>
              <w:rPr>
                <w:rFonts w:hint="eastAsia"/>
                <w:lang w:val="zh-CN"/>
              </w:rPr>
              <w:t>投标文件封面的标注</w:t>
            </w:r>
          </w:p>
        </w:tc>
        <w:tc>
          <w:tcPr>
            <w:tcW w:w="6007" w:type="dxa"/>
            <w:vAlign w:val="center"/>
          </w:tcPr>
          <w:p>
            <w:pPr>
              <w:pStyle w:val="57"/>
              <w:spacing w:line="360" w:lineRule="auto"/>
              <w:rPr>
                <w:lang w:val="zh-CN"/>
              </w:rPr>
            </w:pPr>
            <w:r>
              <w:rPr>
                <w:rFonts w:hint="eastAsia"/>
                <w:lang w:val="zh-CN"/>
              </w:rPr>
              <w:t>投标文件正本的封面上应标明：招标项目名称、项目编号、分包号（无分包可不注明）、投标人名称、年月日；并分别在右上角标明“正本”字样。</w:t>
            </w:r>
          </w:p>
          <w:p>
            <w:pPr>
              <w:pStyle w:val="57"/>
              <w:spacing w:line="360" w:lineRule="auto"/>
              <w:rPr>
                <w:lang w:val="zh-CN"/>
              </w:rPr>
            </w:pPr>
            <w:r>
              <w:rPr>
                <w:rFonts w:hint="eastAsia"/>
                <w:lang w:val="zh-CN"/>
              </w:rPr>
              <w:t>资格证明文件的封面上应标明：招标项目名称、项目编号、分包号（无分包可不注明）、投标人名称、年月日。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754" w:hRule="atLeast"/>
          <w:jc w:val="center"/>
        </w:trPr>
        <w:tc>
          <w:tcPr>
            <w:tcW w:w="1012" w:type="dxa"/>
            <w:vAlign w:val="center"/>
          </w:tcPr>
          <w:p>
            <w:pPr>
              <w:pStyle w:val="57"/>
              <w:ind w:right="264"/>
              <w:jc w:val="center"/>
              <w:rPr>
                <w:rFonts w:cs="Courier New"/>
                <w:lang w:val="zh-CN"/>
              </w:rPr>
            </w:pPr>
            <w:r>
              <w:rPr>
                <w:rFonts w:hint="eastAsia" w:cs="Courier New"/>
                <w:lang w:val="zh-CN"/>
              </w:rPr>
              <w:t>2</w:t>
            </w:r>
            <w:r>
              <w:rPr>
                <w:rFonts w:hint="eastAsia" w:cs="Courier New"/>
              </w:rPr>
              <w:t>0</w:t>
            </w:r>
          </w:p>
        </w:tc>
        <w:tc>
          <w:tcPr>
            <w:tcW w:w="2482" w:type="dxa"/>
            <w:vAlign w:val="center"/>
          </w:tcPr>
          <w:p>
            <w:pPr>
              <w:pStyle w:val="57"/>
              <w:rPr>
                <w:lang w:val="zh-CN"/>
              </w:rPr>
            </w:pPr>
            <w:r>
              <w:rPr>
                <w:rFonts w:hint="eastAsia"/>
                <w:lang w:val="zh-CN"/>
              </w:rPr>
              <w:t>投标文件外层</w:t>
            </w:r>
          </w:p>
          <w:p>
            <w:pPr>
              <w:pStyle w:val="57"/>
              <w:rPr>
                <w:lang w:val="zh-CN"/>
              </w:rPr>
            </w:pPr>
            <w:r>
              <w:rPr>
                <w:rFonts w:hint="eastAsia"/>
                <w:lang w:val="zh-CN"/>
              </w:rPr>
              <w:t>密封袋的标注</w:t>
            </w:r>
          </w:p>
        </w:tc>
        <w:tc>
          <w:tcPr>
            <w:tcW w:w="6007" w:type="dxa"/>
            <w:vAlign w:val="center"/>
          </w:tcPr>
          <w:p>
            <w:pPr>
              <w:pStyle w:val="57"/>
              <w:spacing w:line="360" w:lineRule="auto"/>
              <w:rPr>
                <w:lang w:val="zh-CN"/>
              </w:rPr>
            </w:pPr>
            <w:r>
              <w:rPr>
                <w:rFonts w:hint="eastAsia"/>
                <w:lang w:val="zh-CN"/>
              </w:rPr>
              <w:t>招标项目名称、项目编号、分包号（无分包可不注明）、投标人名称、年月日。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775" w:hRule="exact"/>
          <w:jc w:val="center"/>
        </w:trPr>
        <w:tc>
          <w:tcPr>
            <w:tcW w:w="1012" w:type="dxa"/>
            <w:vAlign w:val="center"/>
          </w:tcPr>
          <w:p>
            <w:pPr>
              <w:pStyle w:val="57"/>
              <w:ind w:right="264"/>
              <w:jc w:val="center"/>
              <w:rPr>
                <w:rFonts w:cs="Courier New"/>
                <w:lang w:val="zh-CN"/>
              </w:rPr>
            </w:pPr>
            <w:r>
              <w:rPr>
                <w:rFonts w:hint="eastAsia" w:cs="Courier New"/>
                <w:lang w:val="zh-CN"/>
              </w:rPr>
              <w:t>2</w:t>
            </w:r>
            <w:r>
              <w:rPr>
                <w:rFonts w:hint="eastAsia" w:cs="Courier New"/>
              </w:rPr>
              <w:t>1</w:t>
            </w:r>
          </w:p>
        </w:tc>
        <w:tc>
          <w:tcPr>
            <w:tcW w:w="2482" w:type="dxa"/>
            <w:vAlign w:val="center"/>
          </w:tcPr>
          <w:p>
            <w:pPr>
              <w:pStyle w:val="57"/>
              <w:spacing w:line="360" w:lineRule="auto"/>
              <w:rPr>
                <w:rFonts w:hint="eastAsia"/>
                <w:lang w:val="zh-CN"/>
              </w:rPr>
            </w:pPr>
            <w:r>
              <w:rPr>
                <w:rFonts w:hint="eastAsia"/>
                <w:lang w:val="zh-CN"/>
              </w:rPr>
              <w:t>递交投标文件地点</w:t>
            </w:r>
          </w:p>
        </w:tc>
        <w:tc>
          <w:tcPr>
            <w:tcW w:w="6007" w:type="dxa"/>
            <w:vAlign w:val="center"/>
          </w:tcPr>
          <w:p>
            <w:pPr>
              <w:pStyle w:val="57"/>
              <w:spacing w:line="360" w:lineRule="auto"/>
              <w:rPr>
                <w:rFonts w:hint="eastAsia"/>
                <w:lang w:val="zh-CN"/>
              </w:rPr>
            </w:pPr>
            <w:r>
              <w:rPr>
                <w:rFonts w:hint="eastAsia"/>
                <w:lang w:val="zh-CN"/>
              </w:rPr>
              <w:t>暑袜北一街25号锦城绿洲1904</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920" w:hRule="atLeast"/>
          <w:jc w:val="center"/>
        </w:trPr>
        <w:tc>
          <w:tcPr>
            <w:tcW w:w="1012" w:type="dxa"/>
            <w:vAlign w:val="center"/>
          </w:tcPr>
          <w:p>
            <w:pPr>
              <w:pStyle w:val="57"/>
              <w:ind w:firstLine="240" w:firstLineChars="100"/>
              <w:rPr>
                <w:rFonts w:cs="Arial"/>
                <w:lang w:val="zh-CN"/>
              </w:rPr>
            </w:pPr>
            <w:r>
              <w:rPr>
                <w:rFonts w:hint="eastAsia" w:cs="Courier New"/>
                <w:lang w:val="zh-CN"/>
              </w:rPr>
              <w:t>2</w:t>
            </w:r>
            <w:r>
              <w:rPr>
                <w:rFonts w:hint="eastAsia" w:cs="Courier New"/>
              </w:rPr>
              <w:t>2</w:t>
            </w:r>
          </w:p>
        </w:tc>
        <w:tc>
          <w:tcPr>
            <w:tcW w:w="2482" w:type="dxa"/>
            <w:vAlign w:val="center"/>
          </w:tcPr>
          <w:p>
            <w:pPr>
              <w:pStyle w:val="57"/>
              <w:rPr>
                <w:lang w:val="zh-CN"/>
              </w:rPr>
            </w:pPr>
            <w:r>
              <w:rPr>
                <w:rFonts w:hint="eastAsia"/>
                <w:lang w:val="zh-CN"/>
              </w:rPr>
              <w:t>开标时间和地点</w:t>
            </w:r>
          </w:p>
        </w:tc>
        <w:tc>
          <w:tcPr>
            <w:tcW w:w="6007" w:type="dxa"/>
            <w:vAlign w:val="center"/>
          </w:tcPr>
          <w:p>
            <w:pPr>
              <w:pStyle w:val="57"/>
              <w:spacing w:line="360" w:lineRule="auto"/>
              <w:rPr>
                <w:lang w:val="zh-CN"/>
              </w:rPr>
            </w:pPr>
            <w:r>
              <w:rPr>
                <w:rFonts w:hint="eastAsia"/>
                <w:lang w:val="zh-CN"/>
              </w:rPr>
              <w:t>开标时间：同投标截止时间。</w:t>
            </w:r>
          </w:p>
          <w:p>
            <w:pPr>
              <w:pStyle w:val="57"/>
              <w:spacing w:line="360" w:lineRule="auto"/>
              <w:rPr>
                <w:lang w:val="zh-CN"/>
              </w:rPr>
            </w:pPr>
            <w:r>
              <w:rPr>
                <w:rFonts w:hint="eastAsia"/>
                <w:lang w:val="zh-CN"/>
              </w:rPr>
              <w:t>开标地点：同投标文件递交地点。</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546" w:hRule="atLeast"/>
          <w:jc w:val="center"/>
        </w:trPr>
        <w:tc>
          <w:tcPr>
            <w:tcW w:w="1012" w:type="dxa"/>
            <w:vAlign w:val="center"/>
          </w:tcPr>
          <w:p>
            <w:pPr>
              <w:pStyle w:val="57"/>
              <w:ind w:right="264" w:firstLine="240" w:firstLineChars="100"/>
              <w:rPr>
                <w:rFonts w:cs="Arial"/>
                <w:lang w:val="zh-CN"/>
              </w:rPr>
            </w:pPr>
            <w:r>
              <w:rPr>
                <w:rFonts w:hint="eastAsia" w:cs="Arial"/>
                <w:lang w:val="zh-CN"/>
              </w:rPr>
              <w:t>2</w:t>
            </w:r>
            <w:r>
              <w:rPr>
                <w:rFonts w:hint="eastAsia" w:cs="Arial"/>
              </w:rPr>
              <w:t>3</w:t>
            </w:r>
          </w:p>
        </w:tc>
        <w:tc>
          <w:tcPr>
            <w:tcW w:w="2482" w:type="dxa"/>
            <w:vAlign w:val="center"/>
          </w:tcPr>
          <w:p>
            <w:pPr>
              <w:pStyle w:val="57"/>
              <w:rPr>
                <w:lang w:val="zh-CN"/>
              </w:rPr>
            </w:pPr>
            <w:r>
              <w:rPr>
                <w:rFonts w:hint="eastAsia"/>
                <w:lang w:val="zh-CN"/>
              </w:rPr>
              <w:t>履约保证金</w:t>
            </w:r>
          </w:p>
        </w:tc>
        <w:tc>
          <w:tcPr>
            <w:tcW w:w="6007" w:type="dxa"/>
            <w:vAlign w:val="center"/>
          </w:tcPr>
          <w:p>
            <w:pPr>
              <w:pStyle w:val="57"/>
              <w:spacing w:line="360" w:lineRule="auto"/>
              <w:rPr>
                <w:lang w:val="zh-CN"/>
              </w:rPr>
            </w:pPr>
            <w:r>
              <w:rPr>
                <w:rFonts w:hint="eastAsia"/>
                <w:lang w:val="zh-CN"/>
              </w:rPr>
              <w:t>金额合同约定。</w:t>
            </w:r>
          </w:p>
          <w:p>
            <w:pPr>
              <w:pStyle w:val="57"/>
              <w:spacing w:line="360" w:lineRule="auto"/>
              <w:rPr>
                <w:lang w:val="zh-CN"/>
              </w:rPr>
            </w:pPr>
            <w:r>
              <w:rPr>
                <w:rFonts w:hint="eastAsia"/>
                <w:lang w:val="zh-CN"/>
              </w:rPr>
              <w:t>采购人收取。</w:t>
            </w:r>
          </w:p>
          <w:p>
            <w:pPr>
              <w:pStyle w:val="57"/>
              <w:spacing w:line="360" w:lineRule="auto"/>
              <w:rPr>
                <w:lang w:val="zh-CN"/>
              </w:rPr>
            </w:pPr>
            <w:r>
              <w:rPr>
                <w:rFonts w:hint="eastAsia"/>
                <w:lang w:val="zh-CN"/>
              </w:rPr>
              <w:t>交款时间：合同签订前</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581" w:hRule="atLeast"/>
          <w:jc w:val="center"/>
        </w:trPr>
        <w:tc>
          <w:tcPr>
            <w:tcW w:w="1012" w:type="dxa"/>
            <w:vAlign w:val="center"/>
          </w:tcPr>
          <w:p>
            <w:pPr>
              <w:pStyle w:val="57"/>
              <w:ind w:right="264" w:firstLine="240" w:firstLineChars="100"/>
              <w:rPr>
                <w:rFonts w:cs="Arial"/>
              </w:rPr>
            </w:pPr>
            <w:r>
              <w:rPr>
                <w:rFonts w:hint="eastAsia" w:cs="Arial"/>
              </w:rPr>
              <w:t>24</w:t>
            </w:r>
          </w:p>
        </w:tc>
        <w:tc>
          <w:tcPr>
            <w:tcW w:w="2482" w:type="dxa"/>
            <w:vAlign w:val="center"/>
          </w:tcPr>
          <w:p>
            <w:pPr>
              <w:pStyle w:val="57"/>
            </w:pPr>
            <w:r>
              <w:rPr>
                <w:rFonts w:hint="eastAsia"/>
              </w:rPr>
              <w:t>招标代理费</w:t>
            </w:r>
          </w:p>
        </w:tc>
        <w:tc>
          <w:tcPr>
            <w:tcW w:w="6007" w:type="dxa"/>
            <w:vAlign w:val="center"/>
          </w:tcPr>
          <w:p>
            <w:pPr>
              <w:pStyle w:val="57"/>
              <w:spacing w:line="360" w:lineRule="auto"/>
            </w:pPr>
            <w:r>
              <w:rPr>
                <w:rFonts w:hint="eastAsia"/>
                <w:lang w:val="zh-CN"/>
              </w:rPr>
              <w:t>由采购人支付。</w:t>
            </w:r>
            <w:r>
              <w:rPr>
                <w:rFonts w:hint="eastAsia"/>
                <w:color w:val="FF0000"/>
                <w:lang w:val="zh-CN"/>
              </w:rPr>
              <w:t>服务费用为：</w:t>
            </w:r>
            <w:r>
              <w:rPr>
                <w:rFonts w:hint="eastAsia"/>
                <w:color w:val="FF0000"/>
                <w:lang w:val="zh-CN" w:eastAsia="zh-CN"/>
              </w:rPr>
              <w:t>壹</w:t>
            </w:r>
            <w:r>
              <w:rPr>
                <w:rFonts w:hint="eastAsia"/>
                <w:color w:val="FF0000"/>
              </w:rPr>
              <w:t>万元。</w:t>
            </w:r>
          </w:p>
        </w:tc>
      </w:tr>
    </w:tbl>
    <w:p/>
    <w:p>
      <w:pPr>
        <w:pStyle w:val="4"/>
        <w:spacing w:line="400" w:lineRule="exact"/>
        <w:jc w:val="center"/>
        <w:rPr>
          <w:rFonts w:ascii="黑体"/>
          <w:bCs w:val="0"/>
        </w:rPr>
      </w:pPr>
      <w:r>
        <w:rPr>
          <w:rFonts w:hint="eastAsia" w:ascii="黑体"/>
          <w:bCs w:val="0"/>
        </w:rPr>
        <w:t>二、总  则</w:t>
      </w:r>
    </w:p>
    <w:p>
      <w:pPr>
        <w:pStyle w:val="6"/>
        <w:spacing w:line="400" w:lineRule="exact"/>
        <w:ind w:firstLine="482" w:firstLineChars="200"/>
        <w:rPr>
          <w:rFonts w:ascii="宋体"/>
          <w:sz w:val="24"/>
          <w:szCs w:val="24"/>
        </w:rPr>
      </w:pPr>
      <w:bookmarkStart w:id="20" w:name="_Toc183682342"/>
      <w:bookmarkStart w:id="21" w:name="_Toc183582205"/>
      <w:bookmarkStart w:id="22" w:name="_Toc217446034"/>
      <w:bookmarkStart w:id="23" w:name="PO_默认文件内容_19"/>
      <w:r>
        <w:rPr>
          <w:rFonts w:hint="eastAsia" w:ascii="宋体"/>
          <w:sz w:val="24"/>
          <w:szCs w:val="24"/>
        </w:rPr>
        <w:t>1.</w:t>
      </w:r>
      <w:bookmarkEnd w:id="20"/>
      <w:bookmarkEnd w:id="21"/>
      <w:r>
        <w:rPr>
          <w:rFonts w:hint="eastAsia" w:ascii="宋体"/>
          <w:sz w:val="24"/>
          <w:szCs w:val="24"/>
        </w:rPr>
        <w:t xml:space="preserve"> 适用范围</w:t>
      </w:r>
      <w:bookmarkEnd w:id="22"/>
    </w:p>
    <w:p>
      <w:pPr>
        <w:tabs>
          <w:tab w:val="left" w:pos="7665"/>
        </w:tabs>
        <w:spacing w:line="400" w:lineRule="exact"/>
        <w:ind w:firstLine="480" w:firstLineChars="200"/>
        <w:rPr>
          <w:rFonts w:ascii="宋体"/>
          <w:sz w:val="24"/>
        </w:rPr>
      </w:pPr>
      <w:r>
        <w:rPr>
          <w:rFonts w:hint="eastAsia" w:ascii="宋体"/>
          <w:sz w:val="24"/>
        </w:rPr>
        <w:t>1.1 本招标文件仅适用于本次招标采购项目。</w:t>
      </w:r>
    </w:p>
    <w:p>
      <w:pPr>
        <w:pStyle w:val="6"/>
        <w:spacing w:line="400" w:lineRule="exact"/>
        <w:ind w:firstLine="482" w:firstLineChars="200"/>
        <w:rPr>
          <w:rFonts w:ascii="宋体"/>
          <w:sz w:val="24"/>
        </w:rPr>
      </w:pPr>
      <w:bookmarkStart w:id="24" w:name="_Toc183682343"/>
      <w:bookmarkStart w:id="25" w:name="_Toc183582206"/>
      <w:bookmarkStart w:id="26" w:name="_Toc217446035"/>
      <w:r>
        <w:rPr>
          <w:rFonts w:hint="eastAsia" w:ascii="宋体"/>
          <w:sz w:val="24"/>
        </w:rPr>
        <w:t xml:space="preserve">2. </w:t>
      </w:r>
      <w:bookmarkEnd w:id="24"/>
      <w:bookmarkEnd w:id="25"/>
      <w:r>
        <w:rPr>
          <w:rFonts w:hint="eastAsia" w:ascii="宋体"/>
          <w:sz w:val="24"/>
        </w:rPr>
        <w:t>有关</w:t>
      </w:r>
      <w:r>
        <w:rPr>
          <w:rFonts w:hint="eastAsia" w:ascii="宋体"/>
          <w:sz w:val="24"/>
          <w:szCs w:val="24"/>
        </w:rPr>
        <w:t>定义</w:t>
      </w:r>
      <w:bookmarkEnd w:id="26"/>
    </w:p>
    <w:p>
      <w:pPr>
        <w:tabs>
          <w:tab w:val="left" w:pos="7665"/>
        </w:tabs>
        <w:spacing w:line="400" w:lineRule="exact"/>
        <w:ind w:firstLine="480" w:firstLineChars="200"/>
        <w:rPr>
          <w:rFonts w:ascii="宋体"/>
          <w:sz w:val="24"/>
        </w:rPr>
      </w:pPr>
      <w:r>
        <w:rPr>
          <w:rFonts w:hint="eastAsia" w:ascii="宋体"/>
          <w:sz w:val="24"/>
        </w:rPr>
        <w:t>2.1 “采购人”系指依法进行政府采购的国家机关、事业单位、团体组织。本次招标的采购人是</w:t>
      </w:r>
      <w:bookmarkEnd w:id="23"/>
      <w:r>
        <w:rPr>
          <w:rFonts w:hint="eastAsia" w:ascii="宋体"/>
          <w:b/>
          <w:sz w:val="24"/>
          <w:u w:val="single"/>
        </w:rPr>
        <w:t>中国邮政集团公司成都市分公司</w:t>
      </w:r>
      <w:r>
        <w:rPr>
          <w:rFonts w:hint="eastAsia" w:ascii="宋体"/>
          <w:sz w:val="24"/>
        </w:rPr>
        <w:t>。</w:t>
      </w:r>
    </w:p>
    <w:p>
      <w:pPr>
        <w:tabs>
          <w:tab w:val="left" w:pos="7665"/>
        </w:tabs>
        <w:spacing w:line="400" w:lineRule="exact"/>
        <w:ind w:firstLine="480" w:firstLineChars="200"/>
        <w:rPr>
          <w:rFonts w:ascii="宋体"/>
          <w:sz w:val="24"/>
        </w:rPr>
      </w:pPr>
      <w:bookmarkStart w:id="27" w:name="PO_默认文件内容_20"/>
      <w:r>
        <w:rPr>
          <w:rFonts w:hint="eastAsia" w:ascii="宋体"/>
          <w:sz w:val="24"/>
        </w:rPr>
        <w:t>2.2 “采购代理机构” 系指根据采购人的委托依法办理招标事宜的采购机构。本次招标的采购代理机构是</w:t>
      </w:r>
      <w:r>
        <w:rPr>
          <w:rFonts w:hint="eastAsia" w:ascii="宋体"/>
          <w:b/>
          <w:bCs/>
          <w:sz w:val="24"/>
          <w:u w:val="single"/>
        </w:rPr>
        <w:t>四川鑫森建设工程咨询有限公司</w:t>
      </w:r>
      <w:r>
        <w:rPr>
          <w:rFonts w:hint="eastAsia" w:ascii="宋体"/>
          <w:sz w:val="24"/>
        </w:rPr>
        <w:t>。</w:t>
      </w:r>
    </w:p>
    <w:p>
      <w:pPr>
        <w:tabs>
          <w:tab w:val="left" w:pos="7665"/>
        </w:tabs>
        <w:spacing w:line="400" w:lineRule="exact"/>
        <w:ind w:firstLine="480" w:firstLineChars="200"/>
        <w:rPr>
          <w:rFonts w:ascii="宋体"/>
          <w:sz w:val="24"/>
        </w:rPr>
      </w:pPr>
      <w:r>
        <w:rPr>
          <w:rFonts w:hint="eastAsia" w:ascii="宋体"/>
          <w:sz w:val="24"/>
        </w:rPr>
        <w:t>2.3 “招标采购单位”系指“采购人”和“采购代理机构”的统称。</w:t>
      </w:r>
    </w:p>
    <w:p>
      <w:pPr>
        <w:tabs>
          <w:tab w:val="left" w:pos="7665"/>
        </w:tabs>
        <w:spacing w:line="400" w:lineRule="exact"/>
        <w:ind w:firstLine="480" w:firstLineChars="200"/>
        <w:rPr>
          <w:rFonts w:ascii="宋体"/>
          <w:sz w:val="24"/>
        </w:rPr>
      </w:pPr>
      <w:r>
        <w:rPr>
          <w:rFonts w:hint="eastAsia" w:ascii="宋体"/>
          <w:sz w:val="24"/>
        </w:rPr>
        <w:t>2.4 “投标人”系指购买了招标文件拟参加投标和向采购人提供货物及相应服务的供应商。</w:t>
      </w:r>
    </w:p>
    <w:p>
      <w:pPr>
        <w:pStyle w:val="6"/>
        <w:spacing w:line="400" w:lineRule="exact"/>
        <w:ind w:firstLine="482" w:firstLineChars="200"/>
        <w:rPr>
          <w:rFonts w:ascii="宋体"/>
          <w:sz w:val="24"/>
        </w:rPr>
      </w:pPr>
      <w:bookmarkStart w:id="28" w:name="_Toc217446036"/>
      <w:bookmarkStart w:id="29" w:name="_Toc183682344"/>
      <w:bookmarkStart w:id="30" w:name="_Toc183582207"/>
      <w:bookmarkStart w:id="31" w:name="_Toc217390843"/>
      <w:r>
        <w:rPr>
          <w:rFonts w:hint="eastAsia" w:ascii="宋体"/>
          <w:sz w:val="24"/>
        </w:rPr>
        <w:t>3. 合格的投标人</w:t>
      </w:r>
      <w:bookmarkEnd w:id="28"/>
      <w:bookmarkEnd w:id="29"/>
      <w:bookmarkEnd w:id="30"/>
      <w:bookmarkEnd w:id="31"/>
      <w:r>
        <w:rPr>
          <w:rFonts w:hint="eastAsia"/>
          <w:sz w:val="24"/>
          <w:szCs w:val="24"/>
        </w:rPr>
        <w:t>（实质性要求）</w:t>
      </w:r>
    </w:p>
    <w:p>
      <w:pPr>
        <w:tabs>
          <w:tab w:val="left" w:pos="7665"/>
        </w:tabs>
        <w:spacing w:line="400" w:lineRule="exact"/>
        <w:ind w:firstLine="480" w:firstLineChars="200"/>
        <w:rPr>
          <w:rFonts w:ascii="宋体"/>
          <w:sz w:val="24"/>
        </w:rPr>
      </w:pPr>
      <w:r>
        <w:rPr>
          <w:rFonts w:hint="eastAsia" w:ascii="宋体"/>
          <w:sz w:val="24"/>
        </w:rPr>
        <w:t>合格的投标人应具备以下条件：</w:t>
      </w:r>
    </w:p>
    <w:p>
      <w:pPr>
        <w:tabs>
          <w:tab w:val="left" w:pos="7665"/>
        </w:tabs>
        <w:spacing w:line="400" w:lineRule="exact"/>
        <w:ind w:firstLine="480" w:firstLineChars="200"/>
        <w:rPr>
          <w:rFonts w:ascii="宋体"/>
          <w:spacing w:val="-4"/>
          <w:sz w:val="24"/>
        </w:rPr>
      </w:pPr>
      <w:r>
        <w:rPr>
          <w:rFonts w:hint="eastAsia" w:ascii="宋体"/>
          <w:sz w:val="24"/>
        </w:rPr>
        <w:t>（1）本招标文件规定的供应商资格条件</w:t>
      </w:r>
      <w:r>
        <w:rPr>
          <w:rFonts w:hint="eastAsia" w:ascii="宋体"/>
          <w:spacing w:val="-4"/>
          <w:sz w:val="24"/>
        </w:rPr>
        <w:t>；</w:t>
      </w:r>
    </w:p>
    <w:p>
      <w:pPr>
        <w:tabs>
          <w:tab w:val="left" w:pos="7665"/>
        </w:tabs>
        <w:spacing w:line="400" w:lineRule="exact"/>
        <w:ind w:firstLine="480" w:firstLineChars="200"/>
        <w:rPr>
          <w:rFonts w:ascii="宋体"/>
          <w:sz w:val="24"/>
        </w:rPr>
      </w:pPr>
      <w:r>
        <w:rPr>
          <w:rFonts w:hint="eastAsia" w:ascii="宋体"/>
          <w:sz w:val="24"/>
        </w:rPr>
        <w:t>（2）遵守国家有关的法律、法规、规章和其他政策制度；</w:t>
      </w:r>
    </w:p>
    <w:p>
      <w:pPr>
        <w:tabs>
          <w:tab w:val="left" w:pos="7665"/>
        </w:tabs>
        <w:spacing w:line="400" w:lineRule="exact"/>
        <w:ind w:firstLine="480" w:firstLineChars="200"/>
        <w:rPr>
          <w:rFonts w:ascii="宋体"/>
          <w:sz w:val="24"/>
        </w:rPr>
      </w:pPr>
      <w:r>
        <w:rPr>
          <w:rFonts w:hint="eastAsia" w:ascii="宋体"/>
          <w:sz w:val="24"/>
        </w:rPr>
        <w:t>（3）向采购代理机构购买了招标文件。</w:t>
      </w:r>
      <w:bookmarkEnd w:id="27"/>
    </w:p>
    <w:p>
      <w:pPr>
        <w:pStyle w:val="6"/>
        <w:spacing w:line="400" w:lineRule="exact"/>
        <w:ind w:firstLine="482" w:firstLineChars="200"/>
        <w:rPr>
          <w:rFonts w:ascii="宋体"/>
          <w:sz w:val="24"/>
        </w:rPr>
      </w:pPr>
      <w:bookmarkStart w:id="32" w:name="_Toc183682345"/>
      <w:bookmarkStart w:id="33" w:name="_Toc183582208"/>
      <w:bookmarkStart w:id="34" w:name="_Toc217446037"/>
      <w:bookmarkStart w:id="35" w:name="PO_默认文件内容_16"/>
      <w:r>
        <w:rPr>
          <w:rFonts w:hint="eastAsia" w:ascii="宋体"/>
          <w:sz w:val="24"/>
        </w:rPr>
        <w:t>4. 投标费用</w:t>
      </w:r>
      <w:bookmarkEnd w:id="32"/>
      <w:bookmarkEnd w:id="33"/>
      <w:bookmarkEnd w:id="34"/>
      <w:r>
        <w:rPr>
          <w:rFonts w:hint="eastAsia"/>
          <w:sz w:val="24"/>
          <w:szCs w:val="24"/>
        </w:rPr>
        <w:t>（实质性要求）</w:t>
      </w:r>
    </w:p>
    <w:p>
      <w:pPr>
        <w:tabs>
          <w:tab w:val="left" w:pos="7665"/>
        </w:tabs>
        <w:spacing w:line="400" w:lineRule="exact"/>
        <w:ind w:firstLine="480"/>
        <w:rPr>
          <w:rFonts w:ascii="宋体"/>
          <w:sz w:val="24"/>
        </w:rPr>
      </w:pPr>
      <w:r>
        <w:rPr>
          <w:rFonts w:hint="eastAsia" w:ascii="宋体"/>
          <w:sz w:val="24"/>
        </w:rPr>
        <w:t>投标人参加投标的有关费用由投标人自行承担。</w:t>
      </w:r>
    </w:p>
    <w:p>
      <w:pPr>
        <w:pStyle w:val="6"/>
        <w:spacing w:line="400" w:lineRule="exact"/>
        <w:ind w:firstLine="482" w:firstLineChars="200"/>
        <w:rPr>
          <w:rFonts w:ascii="宋体"/>
          <w:sz w:val="24"/>
        </w:rPr>
      </w:pPr>
      <w:r>
        <w:rPr>
          <w:rFonts w:hint="eastAsia" w:ascii="宋体"/>
          <w:sz w:val="24"/>
        </w:rPr>
        <w:t>5. 充分、公平竞争保障措施</w:t>
      </w:r>
      <w:r>
        <w:rPr>
          <w:rFonts w:hint="eastAsia"/>
          <w:sz w:val="24"/>
          <w:szCs w:val="24"/>
        </w:rPr>
        <w:t>（实质性要求）</w:t>
      </w:r>
    </w:p>
    <w:p>
      <w:pPr>
        <w:pStyle w:val="55"/>
        <w:spacing w:line="460" w:lineRule="exact"/>
        <w:ind w:left="1" w:firstLine="482" w:firstLineChars="200"/>
        <w:rPr>
          <w:b/>
          <w:sz w:val="24"/>
          <w:szCs w:val="24"/>
        </w:rPr>
      </w:pPr>
      <w:r>
        <w:rPr>
          <w:rFonts w:hint="eastAsia"/>
          <w:b/>
          <w:sz w:val="24"/>
        </w:rPr>
        <w:t>5.1 提供相同品牌产品处理</w:t>
      </w:r>
      <w:r>
        <w:rPr>
          <w:rFonts w:hint="eastAsia"/>
          <w:b/>
          <w:sz w:val="24"/>
          <w:szCs w:val="24"/>
        </w:rPr>
        <w:t>。</w:t>
      </w:r>
    </w:p>
    <w:p>
      <w:pPr>
        <w:pStyle w:val="55"/>
        <w:spacing w:line="460" w:lineRule="exact"/>
        <w:ind w:left="1" w:firstLine="480" w:firstLineChars="200"/>
        <w:rPr>
          <w:bCs/>
          <w:sz w:val="24"/>
          <w:szCs w:val="24"/>
        </w:rPr>
      </w:pPr>
      <w:r>
        <w:rPr>
          <w:rFonts w:hint="eastAsia"/>
          <w:bCs/>
          <w:sz w:val="24"/>
          <w:szCs w:val="24"/>
        </w:rPr>
        <w:t>针对单一产品采购项目包，提供相同品牌产品且通过资格审查、符合性审查的不同投标人参加同一合同项下投标的，按一家投标人计算，评审后得分最高的同品牌投标人获得中标人推荐资格；评审得分相同的，由采购人采取随机抽取方式确定一个投标人获得中标人推荐资格，其他同品牌投标人不作为中标候选人。</w:t>
      </w:r>
    </w:p>
    <w:p>
      <w:pPr>
        <w:pStyle w:val="55"/>
        <w:spacing w:line="460" w:lineRule="exact"/>
        <w:ind w:left="1" w:firstLine="480" w:firstLineChars="200"/>
        <w:rPr>
          <w:bCs/>
          <w:color w:val="FF0000"/>
          <w:sz w:val="24"/>
          <w:szCs w:val="24"/>
        </w:rPr>
      </w:pPr>
      <w:r>
        <w:rPr>
          <w:rFonts w:hint="eastAsia"/>
          <w:bCs/>
          <w:sz w:val="24"/>
          <w:szCs w:val="24"/>
        </w:rPr>
        <w:t>针对非单一产品采购项目包，采购人根据采购项目技术构成、产品价格比重等合理确定核心产品。多家投标人提供的任一核心产品品牌相同的</w:t>
      </w:r>
      <w:r>
        <w:rPr>
          <w:rFonts w:hint="eastAsia"/>
          <w:bCs/>
          <w:sz w:val="24"/>
        </w:rPr>
        <w:t>，按前款规定处理</w:t>
      </w:r>
      <w:r>
        <w:rPr>
          <w:rFonts w:hint="eastAsia"/>
          <w:bCs/>
          <w:sz w:val="24"/>
          <w:szCs w:val="24"/>
        </w:rPr>
        <w:t>。</w:t>
      </w:r>
    </w:p>
    <w:p>
      <w:pPr>
        <w:pStyle w:val="55"/>
        <w:spacing w:line="460" w:lineRule="exact"/>
        <w:ind w:left="1" w:firstLine="482" w:firstLineChars="200"/>
        <w:rPr>
          <w:sz w:val="24"/>
        </w:rPr>
      </w:pPr>
      <w:r>
        <w:rPr>
          <w:rFonts w:hint="eastAsia"/>
          <w:b/>
          <w:sz w:val="24"/>
        </w:rPr>
        <w:t>5.2 利害关系供应商处理。</w:t>
      </w:r>
      <w:r>
        <w:rPr>
          <w:rFonts w:hint="eastAsia"/>
          <w:sz w:val="24"/>
        </w:rPr>
        <w:t>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55"/>
        <w:spacing w:line="460" w:lineRule="exact"/>
        <w:ind w:left="1" w:firstLine="482" w:firstLineChars="200"/>
        <w:rPr>
          <w:sz w:val="24"/>
        </w:rPr>
      </w:pPr>
      <w:r>
        <w:rPr>
          <w:rFonts w:hint="eastAsia"/>
          <w:b/>
          <w:sz w:val="24"/>
        </w:rPr>
        <w:t>5.3 前期参与供应商处理。</w:t>
      </w:r>
      <w:r>
        <w:rPr>
          <w:rFonts w:hint="eastAsia"/>
          <w:sz w:val="24"/>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55"/>
        <w:spacing w:line="460" w:lineRule="exact"/>
        <w:ind w:left="1" w:firstLine="482" w:firstLineChars="200"/>
        <w:rPr>
          <w:sz w:val="24"/>
        </w:rPr>
      </w:pPr>
      <w:r>
        <w:rPr>
          <w:rFonts w:hint="eastAsia"/>
          <w:b/>
          <w:sz w:val="24"/>
        </w:rPr>
        <w:t>5.4 利害关系代理人处理。</w:t>
      </w:r>
      <w:r>
        <w:rPr>
          <w:rFonts w:hint="eastAsia"/>
          <w:sz w:val="24"/>
        </w:rPr>
        <w:t>2家以上的供应商不得在同一合同项下的采购项目中，同时委托同一个自然人、同一家庭的人员、同一单位的人员作为其代理人，否则，其投标文件作为无效处理。</w:t>
      </w:r>
    </w:p>
    <w:p>
      <w:pPr>
        <w:pStyle w:val="4"/>
        <w:spacing w:line="400" w:lineRule="exact"/>
        <w:jc w:val="center"/>
        <w:rPr>
          <w:rFonts w:ascii="黑体"/>
          <w:bCs w:val="0"/>
        </w:rPr>
      </w:pPr>
      <w:bookmarkStart w:id="36" w:name="_Toc89075875"/>
      <w:bookmarkStart w:id="37" w:name="_Toc77400779"/>
      <w:bookmarkStart w:id="38" w:name="_Toc183682346"/>
      <w:bookmarkStart w:id="39" w:name="_Toc217446038"/>
      <w:bookmarkStart w:id="40" w:name="_Toc183582209"/>
      <w:r>
        <w:rPr>
          <w:rFonts w:hint="eastAsia" w:ascii="黑体"/>
          <w:bCs w:val="0"/>
        </w:rPr>
        <w:t>三、招标文件</w:t>
      </w:r>
      <w:bookmarkEnd w:id="36"/>
      <w:bookmarkEnd w:id="37"/>
      <w:bookmarkEnd w:id="38"/>
      <w:bookmarkEnd w:id="39"/>
      <w:bookmarkEnd w:id="40"/>
    </w:p>
    <w:p>
      <w:pPr>
        <w:pStyle w:val="6"/>
        <w:spacing w:line="400" w:lineRule="exact"/>
        <w:ind w:firstLine="482" w:firstLineChars="200"/>
        <w:rPr>
          <w:rFonts w:ascii="宋体"/>
          <w:sz w:val="24"/>
        </w:rPr>
      </w:pPr>
      <w:bookmarkStart w:id="41" w:name="_Toc217446039"/>
      <w:bookmarkStart w:id="42" w:name="_Toc183582210"/>
      <w:bookmarkStart w:id="43" w:name="_Toc183682347"/>
      <w:r>
        <w:rPr>
          <w:rFonts w:hint="eastAsia" w:ascii="宋体"/>
          <w:sz w:val="24"/>
        </w:rPr>
        <w:t>6．招标文件的构成</w:t>
      </w:r>
      <w:bookmarkEnd w:id="41"/>
      <w:bookmarkEnd w:id="42"/>
      <w:bookmarkEnd w:id="43"/>
    </w:p>
    <w:p>
      <w:pPr>
        <w:tabs>
          <w:tab w:val="left" w:pos="7665"/>
        </w:tabs>
        <w:spacing w:line="400" w:lineRule="exact"/>
        <w:ind w:firstLine="480" w:firstLineChars="200"/>
        <w:rPr>
          <w:rFonts w:ascii="宋体"/>
          <w:kern w:val="0"/>
          <w:sz w:val="24"/>
          <w:szCs w:val="22"/>
        </w:rPr>
      </w:pPr>
      <w:r>
        <w:rPr>
          <w:rFonts w:hint="eastAsia" w:ascii="宋体"/>
          <w:kern w:val="0"/>
          <w:sz w:val="24"/>
          <w:szCs w:val="22"/>
        </w:rPr>
        <w:t>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以下内容：</w:t>
      </w:r>
    </w:p>
    <w:p>
      <w:pPr>
        <w:tabs>
          <w:tab w:val="left" w:pos="720"/>
        </w:tabs>
        <w:spacing w:line="400" w:lineRule="exact"/>
        <w:ind w:firstLine="480" w:firstLineChars="200"/>
        <w:rPr>
          <w:rFonts w:ascii="宋体"/>
          <w:sz w:val="24"/>
        </w:rPr>
      </w:pPr>
      <w:r>
        <w:rPr>
          <w:rFonts w:hint="eastAsia" w:ascii="宋体"/>
          <w:kern w:val="0"/>
          <w:sz w:val="24"/>
          <w:szCs w:val="22"/>
        </w:rPr>
        <w:t>（一）投标</w:t>
      </w:r>
      <w:r>
        <w:rPr>
          <w:rFonts w:hint="eastAsia" w:ascii="宋体"/>
          <w:sz w:val="24"/>
        </w:rPr>
        <w:t>邀请；</w:t>
      </w:r>
    </w:p>
    <w:p>
      <w:pPr>
        <w:tabs>
          <w:tab w:val="left" w:pos="720"/>
        </w:tabs>
        <w:spacing w:line="400" w:lineRule="exact"/>
        <w:ind w:firstLine="480" w:firstLineChars="200"/>
        <w:rPr>
          <w:rFonts w:ascii="宋体"/>
          <w:sz w:val="24"/>
        </w:rPr>
      </w:pPr>
      <w:r>
        <w:rPr>
          <w:rFonts w:hint="eastAsia" w:ascii="宋体"/>
          <w:sz w:val="24"/>
        </w:rPr>
        <w:t>（二）投标人须知；</w:t>
      </w:r>
    </w:p>
    <w:p>
      <w:pPr>
        <w:tabs>
          <w:tab w:val="left" w:pos="720"/>
        </w:tabs>
        <w:spacing w:line="400" w:lineRule="exact"/>
        <w:ind w:firstLine="480" w:firstLineChars="200"/>
        <w:rPr>
          <w:rFonts w:ascii="宋体"/>
          <w:sz w:val="24"/>
        </w:rPr>
      </w:pPr>
      <w:r>
        <w:rPr>
          <w:rFonts w:hint="eastAsia" w:ascii="宋体"/>
          <w:sz w:val="24"/>
        </w:rPr>
        <w:t>（三）投标文件格式；</w:t>
      </w:r>
    </w:p>
    <w:p>
      <w:pPr>
        <w:tabs>
          <w:tab w:val="left" w:pos="720"/>
        </w:tabs>
        <w:spacing w:line="400" w:lineRule="exact"/>
        <w:ind w:firstLine="480" w:firstLineChars="200"/>
        <w:rPr>
          <w:rFonts w:ascii="宋体"/>
          <w:sz w:val="24"/>
        </w:rPr>
      </w:pPr>
      <w:r>
        <w:rPr>
          <w:rFonts w:hint="eastAsia" w:ascii="宋体"/>
          <w:sz w:val="24"/>
        </w:rPr>
        <w:t>（四）投标人和投标产品的资格、资质性及其他类似效力要求；</w:t>
      </w:r>
    </w:p>
    <w:p>
      <w:pPr>
        <w:tabs>
          <w:tab w:val="left" w:pos="720"/>
        </w:tabs>
        <w:spacing w:line="400" w:lineRule="exact"/>
        <w:ind w:firstLine="480" w:firstLineChars="200"/>
        <w:rPr>
          <w:rFonts w:ascii="宋体"/>
          <w:sz w:val="24"/>
        </w:rPr>
      </w:pPr>
      <w:r>
        <w:rPr>
          <w:rFonts w:hint="eastAsia" w:ascii="宋体"/>
          <w:sz w:val="24"/>
        </w:rPr>
        <w:t>（五）投标人应当提供的资格、资质性及其他类似效力要求的相关证明材料；</w:t>
      </w:r>
    </w:p>
    <w:p>
      <w:pPr>
        <w:tabs>
          <w:tab w:val="left" w:pos="720"/>
        </w:tabs>
        <w:spacing w:line="400" w:lineRule="exact"/>
        <w:ind w:firstLine="480" w:firstLineChars="200"/>
        <w:rPr>
          <w:rFonts w:ascii="宋体"/>
          <w:sz w:val="24"/>
        </w:rPr>
      </w:pPr>
      <w:r>
        <w:rPr>
          <w:rFonts w:hint="eastAsia" w:ascii="宋体"/>
          <w:sz w:val="24"/>
        </w:rPr>
        <w:t>（六）招标项目技术、商务及其他要求；</w:t>
      </w:r>
    </w:p>
    <w:p>
      <w:pPr>
        <w:tabs>
          <w:tab w:val="left" w:pos="720"/>
        </w:tabs>
        <w:spacing w:line="400" w:lineRule="exact"/>
        <w:ind w:firstLine="480" w:firstLineChars="200"/>
        <w:rPr>
          <w:rFonts w:ascii="宋体"/>
          <w:sz w:val="24"/>
        </w:rPr>
      </w:pPr>
      <w:r>
        <w:rPr>
          <w:rFonts w:hint="eastAsia" w:ascii="宋体"/>
          <w:sz w:val="24"/>
        </w:rPr>
        <w:t>（七）评标办法；</w:t>
      </w:r>
    </w:p>
    <w:p>
      <w:pPr>
        <w:tabs>
          <w:tab w:val="left" w:pos="720"/>
        </w:tabs>
        <w:spacing w:line="400" w:lineRule="exact"/>
        <w:ind w:firstLine="480" w:firstLineChars="200"/>
        <w:rPr>
          <w:rFonts w:ascii="宋体"/>
          <w:sz w:val="24"/>
        </w:rPr>
      </w:pPr>
      <w:r>
        <w:rPr>
          <w:rFonts w:hint="eastAsia" w:ascii="宋体"/>
          <w:sz w:val="24"/>
        </w:rPr>
        <w:t>（八）合同主要条款。</w:t>
      </w:r>
    </w:p>
    <w:p>
      <w:pPr>
        <w:pStyle w:val="6"/>
        <w:spacing w:line="400" w:lineRule="exact"/>
        <w:ind w:firstLine="482" w:firstLineChars="200"/>
        <w:rPr>
          <w:rFonts w:ascii="宋体"/>
          <w:sz w:val="24"/>
        </w:rPr>
      </w:pPr>
      <w:bookmarkStart w:id="44" w:name="_Toc183582211"/>
      <w:bookmarkStart w:id="45" w:name="_Toc183682348"/>
      <w:bookmarkStart w:id="46" w:name="_Toc217446040"/>
      <w:r>
        <w:rPr>
          <w:rFonts w:hint="eastAsia" w:ascii="宋体"/>
          <w:sz w:val="24"/>
        </w:rPr>
        <w:t>7. 招标文件的澄清</w:t>
      </w:r>
      <w:bookmarkEnd w:id="44"/>
      <w:bookmarkEnd w:id="45"/>
      <w:r>
        <w:rPr>
          <w:rFonts w:hint="eastAsia" w:ascii="宋体"/>
          <w:sz w:val="24"/>
        </w:rPr>
        <w:t>和修改</w:t>
      </w:r>
      <w:bookmarkEnd w:id="46"/>
    </w:p>
    <w:p>
      <w:pPr>
        <w:tabs>
          <w:tab w:val="left" w:pos="7665"/>
        </w:tabs>
        <w:spacing w:line="400" w:lineRule="exact"/>
        <w:ind w:firstLine="480" w:firstLineChars="200"/>
        <w:rPr>
          <w:rFonts w:ascii="宋体"/>
          <w:sz w:val="24"/>
        </w:rPr>
      </w:pPr>
      <w:r>
        <w:rPr>
          <w:rFonts w:hint="eastAsia" w:ascii="宋体"/>
          <w:sz w:val="24"/>
        </w:rPr>
        <w:t>7.1 招标采购单位可以依法对招标文件进行澄清或者修改。</w:t>
      </w:r>
    </w:p>
    <w:p>
      <w:pPr>
        <w:tabs>
          <w:tab w:val="left" w:pos="7665"/>
        </w:tabs>
        <w:spacing w:line="400" w:lineRule="exact"/>
        <w:ind w:firstLine="480" w:firstLineChars="200"/>
        <w:rPr>
          <w:rFonts w:ascii="宋体"/>
          <w:sz w:val="24"/>
        </w:rPr>
      </w:pPr>
      <w:r>
        <w:rPr>
          <w:rFonts w:hint="eastAsia" w:ascii="宋体"/>
          <w:sz w:val="24"/>
        </w:rPr>
        <w:t>7.2 招标采购单位对已发出的招标文件进行澄清或者修改，应当以书面形式将澄清或者修改的内容通知所有购买了招标文件的供应商，同时在</w:t>
      </w:r>
      <w:r>
        <w:rPr>
          <w:rFonts w:hint="eastAsia" w:ascii="宋体"/>
          <w:color w:val="0000FF"/>
          <w:sz w:val="24"/>
        </w:rPr>
        <w:t>中国采购与招标网上</w:t>
      </w:r>
      <w:r>
        <w:rPr>
          <w:rFonts w:hint="eastAsia" w:ascii="宋体"/>
          <w:sz w:val="24"/>
        </w:rPr>
        <w:t>发布更正公告。该澄清或者修改的内容为招标文件的组成部分，澄清或者修改的内容可能影响投标文件、资格预审申请文件编制的，采购人或者采购代理机构发布公告并书面通知供应商的时间，应当在投标截止时间至少１５日前、提交资格预审申请文件截止时间至少３日前；不足上述时间的，应当顺延提交投标文件、资格预审申请文件的截止时间。</w:t>
      </w:r>
    </w:p>
    <w:p>
      <w:pPr>
        <w:tabs>
          <w:tab w:val="left" w:pos="7665"/>
        </w:tabs>
        <w:spacing w:line="400" w:lineRule="exact"/>
        <w:ind w:firstLine="480" w:firstLineChars="200"/>
        <w:rPr>
          <w:rFonts w:ascii="宋体"/>
          <w:sz w:val="24"/>
        </w:rPr>
      </w:pPr>
      <w:r>
        <w:rPr>
          <w:rFonts w:hint="eastAsia" w:ascii="宋体"/>
          <w:sz w:val="24"/>
        </w:rPr>
        <w:t>7.3 供应商应于投标文件递交截止时间之前在《</w:t>
      </w:r>
      <w:r>
        <w:rPr>
          <w:rFonts w:hint="eastAsia" w:ascii="宋体"/>
          <w:color w:val="0000FF"/>
          <w:sz w:val="24"/>
        </w:rPr>
        <w:t>中国采购与招标网》</w:t>
      </w:r>
      <w:r>
        <w:rPr>
          <w:rFonts w:hint="eastAsia" w:ascii="宋体"/>
          <w:sz w:val="24"/>
        </w:rPr>
        <w:t>查询本项目的更正公告，以保证其对招标文件做出正确的响应。供应商未按要求下载相关文件，或由于未及时关注更正公告的信息造成的后果，其责任由供应商自行负责。</w:t>
      </w:r>
    </w:p>
    <w:p>
      <w:pPr>
        <w:tabs>
          <w:tab w:val="left" w:pos="7665"/>
        </w:tabs>
        <w:spacing w:line="400" w:lineRule="exact"/>
        <w:ind w:firstLine="480" w:firstLineChars="200"/>
        <w:rPr>
          <w:rFonts w:ascii="宋体"/>
          <w:sz w:val="24"/>
        </w:rPr>
      </w:pPr>
      <w:r>
        <w:rPr>
          <w:rFonts w:hint="eastAsia" w:ascii="宋体"/>
          <w:sz w:val="24"/>
        </w:rPr>
        <w:t>更正通知通过供应商报名时备注的电子邮箱发送至所有购买招标文件的供应商，供应商在收到相应更正通知后，以书面形式给予确认。如供应商未给予书面回复，则视为收到并认可该更正通知的内容。</w:t>
      </w:r>
    </w:p>
    <w:p>
      <w:pPr>
        <w:pStyle w:val="6"/>
        <w:spacing w:line="400" w:lineRule="exact"/>
        <w:ind w:firstLine="482" w:firstLineChars="200"/>
        <w:rPr>
          <w:rFonts w:ascii="宋体"/>
          <w:sz w:val="24"/>
        </w:rPr>
      </w:pPr>
      <w:bookmarkStart w:id="47" w:name="_Toc208848971"/>
      <w:bookmarkStart w:id="48" w:name="_Toc217446041"/>
      <w:r>
        <w:rPr>
          <w:rFonts w:hint="eastAsia" w:ascii="宋体"/>
          <w:sz w:val="24"/>
        </w:rPr>
        <w:t>8. 答疑会和现场考察</w:t>
      </w:r>
      <w:bookmarkEnd w:id="47"/>
      <w:bookmarkEnd w:id="48"/>
    </w:p>
    <w:p>
      <w:pPr>
        <w:tabs>
          <w:tab w:val="left" w:pos="7665"/>
        </w:tabs>
        <w:spacing w:line="400" w:lineRule="exact"/>
        <w:ind w:firstLine="480" w:firstLineChars="200"/>
        <w:rPr>
          <w:rFonts w:ascii="宋体"/>
          <w:sz w:val="24"/>
        </w:rPr>
      </w:pPr>
      <w:r>
        <w:rPr>
          <w:rFonts w:hint="eastAsia" w:ascii="宋体"/>
          <w:sz w:val="24"/>
        </w:rPr>
        <w:t>8.1 根据采购项目和具体情况，招标采购单位认为有必要，可以在招标文件提供期限截止后，组织已获取招标文件的潜在投标人现场考察或者召开开标前答疑会。</w:t>
      </w:r>
      <w:bookmarkEnd w:id="35"/>
    </w:p>
    <w:p>
      <w:pPr>
        <w:tabs>
          <w:tab w:val="left" w:pos="7665"/>
        </w:tabs>
        <w:spacing w:line="400" w:lineRule="exact"/>
        <w:ind w:firstLine="480" w:firstLineChars="200"/>
        <w:rPr>
          <w:rFonts w:ascii="宋体"/>
          <w:sz w:val="24"/>
        </w:rPr>
      </w:pPr>
      <w:r>
        <w:rPr>
          <w:rFonts w:hint="eastAsia" w:ascii="宋体"/>
          <w:sz w:val="24"/>
        </w:rPr>
        <w:t>现场考察或标前答疑会时间：</w:t>
      </w:r>
      <w:bookmarkStart w:id="49" w:name="PO_现场考察或标前答疑会时间_1"/>
      <w:r>
        <w:rPr>
          <w:rFonts w:hint="eastAsia" w:ascii="宋体"/>
          <w:sz w:val="24"/>
        </w:rPr>
        <w:t>本项目不组织</w:t>
      </w:r>
      <w:bookmarkEnd w:id="49"/>
      <w:r>
        <w:rPr>
          <w:rFonts w:hint="eastAsia" w:ascii="宋体"/>
          <w:sz w:val="24"/>
        </w:rPr>
        <w:t>。</w:t>
      </w:r>
    </w:p>
    <w:p>
      <w:pPr>
        <w:tabs>
          <w:tab w:val="left" w:pos="7665"/>
        </w:tabs>
        <w:spacing w:line="400" w:lineRule="exact"/>
        <w:ind w:firstLine="480" w:firstLineChars="200"/>
        <w:rPr>
          <w:rFonts w:ascii="宋体"/>
          <w:sz w:val="24"/>
        </w:rPr>
      </w:pPr>
      <w:r>
        <w:rPr>
          <w:rFonts w:hint="eastAsia" w:ascii="宋体"/>
          <w:sz w:val="24"/>
        </w:rPr>
        <w:t>现场考察或标前答疑会地点：</w:t>
      </w:r>
      <w:bookmarkStart w:id="50" w:name="PO_现场考察或标前答疑会地点_1"/>
      <w:r>
        <w:rPr>
          <w:rFonts w:hint="eastAsia" w:ascii="宋体"/>
          <w:sz w:val="24"/>
        </w:rPr>
        <w:t>本项目不组织</w:t>
      </w:r>
      <w:bookmarkEnd w:id="50"/>
      <w:r>
        <w:rPr>
          <w:rFonts w:hint="eastAsia" w:ascii="宋体"/>
          <w:sz w:val="24"/>
        </w:rPr>
        <w:t>。</w:t>
      </w:r>
    </w:p>
    <w:p>
      <w:pPr>
        <w:tabs>
          <w:tab w:val="left" w:pos="7665"/>
        </w:tabs>
        <w:spacing w:line="400" w:lineRule="exact"/>
        <w:ind w:firstLine="480" w:firstLineChars="200"/>
        <w:rPr>
          <w:rFonts w:ascii="宋体"/>
          <w:sz w:val="24"/>
        </w:rPr>
      </w:pPr>
      <w:bookmarkStart w:id="51" w:name="PO_默认文件内容_18"/>
      <w:r>
        <w:rPr>
          <w:rFonts w:hint="eastAsia" w:ascii="宋体"/>
          <w:sz w:val="24"/>
        </w:rPr>
        <w:t>8.2 供应商考察现场或参加答疑会所发生的一切费用由供应商自己承担。</w:t>
      </w:r>
    </w:p>
    <w:p>
      <w:pPr>
        <w:pStyle w:val="4"/>
        <w:spacing w:line="400" w:lineRule="exact"/>
        <w:jc w:val="center"/>
        <w:rPr>
          <w:rFonts w:ascii="黑体"/>
          <w:bCs w:val="0"/>
        </w:rPr>
      </w:pPr>
      <w:bookmarkStart w:id="52" w:name="_Toc89075876"/>
      <w:bookmarkStart w:id="53" w:name="_Toc217446042"/>
      <w:bookmarkStart w:id="54" w:name="_Toc183682351"/>
      <w:bookmarkStart w:id="55" w:name="_Toc183582214"/>
      <w:bookmarkStart w:id="56" w:name="_Toc77400780"/>
      <w:r>
        <w:rPr>
          <w:rFonts w:hint="eastAsia" w:ascii="黑体"/>
          <w:bCs w:val="0"/>
        </w:rPr>
        <w:t>四、投标文件</w:t>
      </w:r>
      <w:bookmarkEnd w:id="52"/>
      <w:bookmarkEnd w:id="53"/>
      <w:bookmarkEnd w:id="54"/>
      <w:bookmarkEnd w:id="55"/>
      <w:bookmarkEnd w:id="56"/>
    </w:p>
    <w:p>
      <w:pPr>
        <w:pStyle w:val="6"/>
        <w:spacing w:line="400" w:lineRule="exact"/>
        <w:ind w:firstLine="482" w:firstLineChars="200"/>
        <w:rPr>
          <w:rFonts w:ascii="宋体"/>
          <w:bCs w:val="0"/>
          <w:sz w:val="24"/>
        </w:rPr>
      </w:pPr>
      <w:bookmarkStart w:id="57" w:name="_Toc183582215"/>
      <w:bookmarkStart w:id="58" w:name="_Toc217446043"/>
      <w:bookmarkStart w:id="59" w:name="_Toc183682352"/>
      <w:r>
        <w:rPr>
          <w:rFonts w:hint="eastAsia" w:ascii="宋体"/>
          <w:bCs w:val="0"/>
          <w:sz w:val="24"/>
        </w:rPr>
        <w:t>9．投标文件的语言</w:t>
      </w:r>
      <w:bookmarkEnd w:id="57"/>
      <w:bookmarkEnd w:id="58"/>
      <w:bookmarkEnd w:id="59"/>
      <w:r>
        <w:rPr>
          <w:rFonts w:hint="eastAsia"/>
          <w:sz w:val="24"/>
          <w:szCs w:val="24"/>
        </w:rPr>
        <w:t>（实质性要求）</w:t>
      </w:r>
    </w:p>
    <w:p>
      <w:pPr>
        <w:tabs>
          <w:tab w:val="left" w:pos="1134"/>
        </w:tabs>
        <w:spacing w:line="360" w:lineRule="auto"/>
        <w:ind w:firstLine="480" w:firstLineChars="200"/>
        <w:jc w:val="left"/>
        <w:rPr>
          <w:rFonts w:ascii="宋体"/>
          <w:sz w:val="24"/>
        </w:rPr>
      </w:pPr>
      <w:bookmarkStart w:id="60" w:name="_Toc183582216"/>
      <w:bookmarkStart w:id="61" w:name="_Toc217446044"/>
      <w:bookmarkStart w:id="62" w:name="_Toc183682353"/>
      <w:r>
        <w:rPr>
          <w:rFonts w:hint="eastAsia" w:ascii="宋体"/>
          <w:sz w:val="24"/>
        </w:rPr>
        <w:t>9.1 投标人提交的投标文件以及投标人与招标采购单位就有关投标的所有来往书面文件均须使用中文。投标文件中如附有外文资料，主要部分对应翻译成中文并加盖投标人公章后附在相关外文资料后面。</w:t>
      </w:r>
    </w:p>
    <w:p>
      <w:pPr>
        <w:tabs>
          <w:tab w:val="left" w:pos="1134"/>
        </w:tabs>
        <w:spacing w:line="360" w:lineRule="auto"/>
        <w:ind w:firstLine="480" w:firstLineChars="200"/>
        <w:jc w:val="left"/>
        <w:rPr>
          <w:rFonts w:ascii="宋体"/>
          <w:sz w:val="24"/>
        </w:rPr>
      </w:pPr>
      <w:r>
        <w:rPr>
          <w:rFonts w:hint="eastAsia" w:ascii="宋体"/>
          <w:sz w:val="24"/>
        </w:rPr>
        <w:t>9.2 翻译的中文资料与外文资料如果出现差异和矛盾时，以中文为准。涉嫌虚假响应的按照相关法律法规处理。</w:t>
      </w:r>
    </w:p>
    <w:p>
      <w:pPr>
        <w:spacing w:line="400" w:lineRule="exact"/>
        <w:ind w:firstLine="480" w:firstLineChars="200"/>
        <w:rPr>
          <w:rFonts w:ascii="宋体" w:hAnsi="宋体" w:cs="宋体"/>
          <w:sz w:val="24"/>
        </w:rPr>
      </w:pPr>
      <w:r>
        <w:rPr>
          <w:rFonts w:hint="eastAsia" w:ascii="宋体" w:hAnsi="宋体" w:cs="宋体"/>
          <w:sz w:val="24"/>
        </w:rPr>
        <w:t>9.3 如因未翻译而造成的废标，由投标人承担。</w:t>
      </w:r>
    </w:p>
    <w:p>
      <w:pPr>
        <w:pStyle w:val="6"/>
        <w:spacing w:line="400" w:lineRule="exact"/>
        <w:ind w:firstLine="482" w:firstLineChars="200"/>
        <w:rPr>
          <w:rFonts w:ascii="宋体"/>
          <w:sz w:val="24"/>
        </w:rPr>
      </w:pPr>
      <w:r>
        <w:rPr>
          <w:rFonts w:hint="eastAsia" w:ascii="宋体"/>
          <w:sz w:val="24"/>
        </w:rPr>
        <w:t>10．计量单位</w:t>
      </w:r>
      <w:bookmarkEnd w:id="60"/>
      <w:bookmarkEnd w:id="61"/>
      <w:bookmarkEnd w:id="62"/>
      <w:r>
        <w:rPr>
          <w:rFonts w:hint="eastAsia"/>
          <w:sz w:val="24"/>
          <w:szCs w:val="24"/>
        </w:rPr>
        <w:t>（实质性要求）</w:t>
      </w:r>
    </w:p>
    <w:p>
      <w:pPr>
        <w:spacing w:line="400" w:lineRule="exact"/>
        <w:ind w:firstLine="470" w:firstLineChars="196"/>
        <w:rPr>
          <w:rFonts w:ascii="宋体"/>
          <w:sz w:val="24"/>
        </w:rPr>
      </w:pPr>
      <w:r>
        <w:rPr>
          <w:rFonts w:hint="eastAsia" w:ascii="宋体"/>
          <w:sz w:val="24"/>
        </w:rPr>
        <w:t>除招标文件中另有规定外，本次采购项目所有合同项下的投标均采用国家法定的计量单位。</w:t>
      </w:r>
    </w:p>
    <w:p>
      <w:pPr>
        <w:pStyle w:val="6"/>
        <w:spacing w:line="400" w:lineRule="exact"/>
        <w:ind w:firstLine="482" w:firstLineChars="200"/>
        <w:rPr>
          <w:rFonts w:ascii="宋体"/>
          <w:sz w:val="24"/>
        </w:rPr>
      </w:pPr>
      <w:bookmarkStart w:id="63" w:name="_Toc217446045"/>
      <w:r>
        <w:rPr>
          <w:rFonts w:hint="eastAsia" w:ascii="宋体"/>
          <w:sz w:val="24"/>
        </w:rPr>
        <w:t>11. 投标货币</w:t>
      </w:r>
      <w:bookmarkEnd w:id="63"/>
      <w:r>
        <w:rPr>
          <w:rFonts w:hint="eastAsia" w:ascii="宋体"/>
          <w:sz w:val="24"/>
        </w:rPr>
        <w:t>（实质性要求）</w:t>
      </w:r>
    </w:p>
    <w:p>
      <w:pPr>
        <w:spacing w:line="400" w:lineRule="exact"/>
        <w:ind w:firstLine="470" w:firstLineChars="196"/>
        <w:rPr>
          <w:rFonts w:ascii="宋体"/>
          <w:sz w:val="24"/>
        </w:rPr>
      </w:pPr>
      <w:r>
        <w:rPr>
          <w:rFonts w:hint="eastAsia" w:ascii="宋体"/>
          <w:sz w:val="24"/>
        </w:rPr>
        <w:t>本次招标项目的投标均以人民币报价。</w:t>
      </w:r>
    </w:p>
    <w:p>
      <w:pPr>
        <w:pStyle w:val="6"/>
        <w:spacing w:line="400" w:lineRule="exact"/>
        <w:ind w:firstLine="482" w:firstLineChars="200"/>
        <w:rPr>
          <w:rFonts w:ascii="宋体"/>
          <w:sz w:val="24"/>
        </w:rPr>
      </w:pPr>
      <w:bookmarkStart w:id="64" w:name="_Toc217446046"/>
      <w:r>
        <w:rPr>
          <w:rFonts w:hint="eastAsia" w:ascii="宋体"/>
          <w:sz w:val="24"/>
        </w:rPr>
        <w:t>12. 联合体投标</w:t>
      </w:r>
      <w:bookmarkEnd w:id="64"/>
      <w:r>
        <w:rPr>
          <w:rFonts w:hint="eastAsia" w:ascii="宋体"/>
          <w:sz w:val="24"/>
        </w:rPr>
        <w:t>（实质性要求）</w:t>
      </w:r>
    </w:p>
    <w:p>
      <w:pPr>
        <w:spacing w:line="400" w:lineRule="exact"/>
        <w:ind w:firstLine="470" w:firstLineChars="196"/>
        <w:rPr>
          <w:rFonts w:ascii="宋体"/>
          <w:sz w:val="24"/>
        </w:rPr>
      </w:pPr>
      <w:bookmarkStart w:id="65" w:name="_Toc217446047"/>
      <w:r>
        <w:rPr>
          <w:rFonts w:hint="eastAsia" w:ascii="宋体"/>
          <w:sz w:val="24"/>
        </w:rPr>
        <w:t>12.1 本项目不接受联合体投标。</w:t>
      </w:r>
    </w:p>
    <w:p>
      <w:pPr>
        <w:pStyle w:val="6"/>
        <w:spacing w:line="400" w:lineRule="exact"/>
        <w:ind w:firstLine="482" w:firstLineChars="200"/>
        <w:rPr>
          <w:rFonts w:ascii="宋体"/>
          <w:sz w:val="24"/>
        </w:rPr>
      </w:pPr>
      <w:bookmarkStart w:id="66" w:name="_Toc308164797"/>
      <w:r>
        <w:rPr>
          <w:rFonts w:hint="eastAsia" w:ascii="宋体"/>
          <w:sz w:val="24"/>
        </w:rPr>
        <w:t>13. 知识产权</w:t>
      </w:r>
      <w:bookmarkEnd w:id="65"/>
      <w:bookmarkEnd w:id="66"/>
      <w:r>
        <w:rPr>
          <w:rFonts w:hint="eastAsia" w:ascii="宋体"/>
          <w:sz w:val="24"/>
        </w:rPr>
        <w:t>（实质性要求）</w:t>
      </w:r>
    </w:p>
    <w:p>
      <w:pPr>
        <w:pStyle w:val="17"/>
        <w:spacing w:line="400" w:lineRule="exact"/>
        <w:ind w:firstLine="480" w:firstLineChars="200"/>
        <w:rPr>
          <w:rFonts w:ascii="宋体"/>
          <w:sz w:val="24"/>
          <w:szCs w:val="24"/>
        </w:rPr>
      </w:pPr>
      <w:r>
        <w:rPr>
          <w:rFonts w:hint="eastAsia" w:ascii="宋体"/>
          <w:sz w:val="24"/>
          <w:szCs w:val="24"/>
        </w:rPr>
        <w:t>13.1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pStyle w:val="17"/>
        <w:spacing w:line="400" w:lineRule="exact"/>
        <w:ind w:firstLine="480" w:firstLineChars="200"/>
        <w:rPr>
          <w:rFonts w:ascii="宋体"/>
          <w:sz w:val="24"/>
          <w:szCs w:val="24"/>
        </w:rPr>
      </w:pPr>
      <w:r>
        <w:rPr>
          <w:rFonts w:hint="eastAsia" w:ascii="宋体"/>
          <w:sz w:val="24"/>
          <w:szCs w:val="24"/>
        </w:rPr>
        <w:t>13.2 采购人享有本项目实施过程中产生的知识成果及知识产权。</w:t>
      </w:r>
    </w:p>
    <w:p>
      <w:pPr>
        <w:spacing w:line="400" w:lineRule="exact"/>
        <w:ind w:firstLine="480" w:firstLineChars="200"/>
        <w:rPr>
          <w:rFonts w:ascii="宋体"/>
          <w:sz w:val="24"/>
        </w:rPr>
      </w:pPr>
      <w:r>
        <w:rPr>
          <w:rFonts w:hint="eastAsia" w:ascii="宋体"/>
          <w:sz w:val="24"/>
        </w:rPr>
        <w:t>13.3 投标人如欲在项目实施过程中采用自有知识成果的，则在使用该知识成果后，须向采购人提供开发接口和开发手册等技术文档，并提供无限期技术支持，采购人享有永久使用权（含采购人委托第三方在该项目后续开发的使用权）。</w:t>
      </w:r>
    </w:p>
    <w:p>
      <w:pPr>
        <w:spacing w:line="400" w:lineRule="exact"/>
        <w:ind w:firstLine="460" w:firstLineChars="192"/>
        <w:rPr>
          <w:rFonts w:ascii="宋体"/>
          <w:sz w:val="24"/>
        </w:rPr>
      </w:pPr>
      <w:r>
        <w:rPr>
          <w:rFonts w:hint="eastAsia" w:ascii="宋体"/>
          <w:sz w:val="24"/>
        </w:rPr>
        <w:t>13.4 如采用投标人所不拥有的知识产权，则投标报价须为已包括合法获取该知识产权相关费用的价格。</w:t>
      </w:r>
    </w:p>
    <w:p>
      <w:pPr>
        <w:pStyle w:val="6"/>
        <w:spacing w:line="400" w:lineRule="exact"/>
        <w:ind w:firstLine="482" w:firstLineChars="200"/>
        <w:rPr>
          <w:rFonts w:ascii="宋体"/>
          <w:sz w:val="24"/>
        </w:rPr>
      </w:pPr>
      <w:bookmarkStart w:id="67" w:name="_Toc308164798"/>
      <w:bookmarkStart w:id="68" w:name="_Toc183682354"/>
      <w:bookmarkStart w:id="69" w:name="_Toc217446048"/>
      <w:bookmarkStart w:id="70" w:name="_Toc183582217"/>
      <w:r>
        <w:rPr>
          <w:rFonts w:hint="eastAsia" w:ascii="宋体"/>
          <w:sz w:val="24"/>
        </w:rPr>
        <w:t>14．投标文件的组成</w:t>
      </w:r>
      <w:bookmarkEnd w:id="67"/>
      <w:bookmarkEnd w:id="68"/>
      <w:bookmarkEnd w:id="69"/>
      <w:bookmarkEnd w:id="70"/>
    </w:p>
    <w:p>
      <w:pPr>
        <w:spacing w:line="400" w:lineRule="exact"/>
        <w:ind w:firstLine="480" w:firstLineChars="200"/>
        <w:rPr>
          <w:rFonts w:ascii="宋体"/>
          <w:sz w:val="24"/>
        </w:rPr>
      </w:pPr>
      <w:bookmarkStart w:id="71" w:name="_Toc308164799"/>
      <w:bookmarkStart w:id="72" w:name="_Toc217446049"/>
      <w:bookmarkStart w:id="73" w:name="_Toc183582218"/>
      <w:bookmarkStart w:id="74" w:name="_Toc183682355"/>
      <w:r>
        <w:rPr>
          <w:rFonts w:hint="eastAsia" w:ascii="宋体"/>
          <w:sz w:val="24"/>
        </w:rPr>
        <w:t>投标人应按照招标文件的规定和要求编制投标文件。投标人编写的投标文件应包括下列部分：</w:t>
      </w:r>
    </w:p>
    <w:p>
      <w:pPr>
        <w:spacing w:line="400" w:lineRule="exact"/>
        <w:ind w:firstLine="482" w:firstLineChars="200"/>
        <w:rPr>
          <w:rFonts w:ascii="宋体"/>
          <w:b/>
          <w:sz w:val="24"/>
        </w:rPr>
      </w:pPr>
      <w:r>
        <w:rPr>
          <w:rFonts w:hint="eastAsia" w:ascii="宋体"/>
          <w:b/>
          <w:sz w:val="24"/>
        </w:rPr>
        <w:t>文件一：资格性投标文件</w:t>
      </w:r>
    </w:p>
    <w:p>
      <w:pPr>
        <w:spacing w:line="400" w:lineRule="exact"/>
        <w:ind w:firstLine="480" w:firstLineChars="200"/>
        <w:rPr>
          <w:rFonts w:ascii="宋体"/>
          <w:sz w:val="24"/>
        </w:rPr>
      </w:pPr>
      <w:r>
        <w:rPr>
          <w:rFonts w:hint="eastAsia" w:ascii="宋体"/>
          <w:sz w:val="24"/>
        </w:rPr>
        <w:t>严格按照第四、五章要求提供相关资格、资质性及其他类似效力要求的相关证明材料。</w:t>
      </w:r>
    </w:p>
    <w:p>
      <w:pPr>
        <w:spacing w:line="400" w:lineRule="exact"/>
        <w:ind w:firstLine="482" w:firstLineChars="200"/>
        <w:rPr>
          <w:rFonts w:ascii="宋体"/>
          <w:b/>
          <w:sz w:val="24"/>
        </w:rPr>
      </w:pPr>
      <w:r>
        <w:rPr>
          <w:rFonts w:hint="eastAsia" w:ascii="宋体"/>
          <w:b/>
          <w:sz w:val="24"/>
        </w:rPr>
        <w:t>文件二：其它响应性投标文件</w:t>
      </w:r>
    </w:p>
    <w:p>
      <w:pPr>
        <w:spacing w:line="400" w:lineRule="exact"/>
        <w:ind w:firstLine="472" w:firstLineChars="196"/>
        <w:rPr>
          <w:rFonts w:ascii="宋体"/>
          <w:b/>
          <w:sz w:val="24"/>
        </w:rPr>
      </w:pPr>
      <w:r>
        <w:rPr>
          <w:rFonts w:hint="eastAsia" w:ascii="宋体"/>
          <w:b/>
          <w:sz w:val="24"/>
        </w:rPr>
        <w:t>“其它响应性投标文件”包括但不限于以下几方面内容：</w:t>
      </w:r>
    </w:p>
    <w:p>
      <w:pPr>
        <w:spacing w:line="400" w:lineRule="exact"/>
        <w:ind w:firstLine="472" w:firstLineChars="196"/>
        <w:rPr>
          <w:b/>
          <w:sz w:val="24"/>
        </w:rPr>
      </w:pPr>
      <w:r>
        <w:rPr>
          <w:b/>
          <w:sz w:val="24"/>
        </w:rPr>
        <w:t>A</w:t>
      </w:r>
      <w:r>
        <w:rPr>
          <w:rFonts w:hint="eastAsia"/>
          <w:b/>
          <w:sz w:val="24"/>
        </w:rPr>
        <w:t>、报价。</w:t>
      </w:r>
    </w:p>
    <w:p>
      <w:pPr>
        <w:spacing w:line="400" w:lineRule="exact"/>
        <w:ind w:firstLine="470" w:firstLineChars="196"/>
        <w:rPr>
          <w:rFonts w:ascii="宋体"/>
          <w:sz w:val="24"/>
        </w:rPr>
      </w:pPr>
      <w:r>
        <w:rPr>
          <w:rFonts w:hint="eastAsia" w:ascii="宋体"/>
          <w:bCs/>
          <w:sz w:val="24"/>
        </w:rPr>
        <w:t>投标人应</w:t>
      </w:r>
      <w:r>
        <w:rPr>
          <w:rFonts w:hint="eastAsia" w:ascii="宋体"/>
          <w:sz w:val="24"/>
        </w:rPr>
        <w:t xml:space="preserve">按照招标文件要求填写“开标一览表” </w:t>
      </w:r>
    </w:p>
    <w:p>
      <w:pPr>
        <w:spacing w:line="400" w:lineRule="exact"/>
        <w:ind w:firstLine="472" w:firstLineChars="196"/>
        <w:rPr>
          <w:b/>
          <w:sz w:val="24"/>
        </w:rPr>
      </w:pPr>
      <w:r>
        <w:rPr>
          <w:b/>
          <w:sz w:val="24"/>
        </w:rPr>
        <w:t>B</w:t>
      </w:r>
      <w:r>
        <w:rPr>
          <w:rFonts w:hint="eastAsia"/>
          <w:b/>
          <w:sz w:val="24"/>
        </w:rPr>
        <w:t>、商务部分。</w:t>
      </w:r>
    </w:p>
    <w:p>
      <w:pPr>
        <w:spacing w:line="400" w:lineRule="exact"/>
        <w:ind w:left="508" w:leftChars="169" w:hanging="153" w:hangingChars="64"/>
        <w:rPr>
          <w:rFonts w:ascii="宋体"/>
          <w:sz w:val="24"/>
        </w:rPr>
      </w:pPr>
      <w:r>
        <w:rPr>
          <w:rFonts w:hint="eastAsia" w:ascii="宋体"/>
          <w:bCs/>
          <w:sz w:val="24"/>
          <w:szCs w:val="32"/>
        </w:rPr>
        <w:t>投标人应按照招标文件要求提供有关商务文件及优惠承诺。包括以下内容：</w:t>
      </w:r>
    </w:p>
    <w:p>
      <w:pPr>
        <w:spacing w:line="400" w:lineRule="exact"/>
        <w:ind w:left="508" w:leftChars="169" w:hanging="153" w:hangingChars="64"/>
        <w:rPr>
          <w:rFonts w:ascii="宋体"/>
          <w:sz w:val="24"/>
        </w:rPr>
      </w:pPr>
      <w:r>
        <w:rPr>
          <w:rFonts w:hint="eastAsia" w:ascii="宋体"/>
          <w:sz w:val="24"/>
        </w:rPr>
        <w:t>（1）投标函；</w:t>
      </w:r>
    </w:p>
    <w:p>
      <w:pPr>
        <w:spacing w:line="400" w:lineRule="exact"/>
        <w:ind w:left="508" w:leftChars="169" w:hanging="153" w:hangingChars="64"/>
        <w:rPr>
          <w:rFonts w:ascii="宋体"/>
          <w:sz w:val="24"/>
        </w:rPr>
      </w:pPr>
      <w:r>
        <w:rPr>
          <w:rFonts w:hint="eastAsia" w:ascii="宋体"/>
          <w:sz w:val="24"/>
        </w:rPr>
        <w:t>（2）证明投标人业绩和荣誉的有关材料；</w:t>
      </w:r>
    </w:p>
    <w:p>
      <w:pPr>
        <w:spacing w:line="400" w:lineRule="exact"/>
        <w:ind w:left="508" w:leftChars="169" w:hanging="153" w:hangingChars="64"/>
        <w:rPr>
          <w:rFonts w:ascii="宋体"/>
          <w:sz w:val="24"/>
        </w:rPr>
      </w:pPr>
      <w:r>
        <w:rPr>
          <w:rFonts w:hint="eastAsia" w:ascii="宋体"/>
          <w:sz w:val="24"/>
        </w:rPr>
        <w:t>（3）商务应答表；</w:t>
      </w:r>
    </w:p>
    <w:p>
      <w:pPr>
        <w:spacing w:line="400" w:lineRule="exact"/>
        <w:ind w:left="508" w:leftChars="169" w:hanging="153" w:hangingChars="64"/>
        <w:rPr>
          <w:rFonts w:ascii="宋体"/>
          <w:sz w:val="24"/>
        </w:rPr>
      </w:pPr>
      <w:r>
        <w:rPr>
          <w:rFonts w:hint="eastAsia" w:ascii="宋体"/>
          <w:sz w:val="24"/>
        </w:rPr>
        <w:t>（4）其他投标人认为需要提供的文件和资料。</w:t>
      </w:r>
    </w:p>
    <w:p>
      <w:pPr>
        <w:spacing w:line="400" w:lineRule="exact"/>
        <w:ind w:firstLine="472" w:firstLineChars="196"/>
        <w:rPr>
          <w:b/>
          <w:sz w:val="24"/>
        </w:rPr>
      </w:pPr>
      <w:r>
        <w:rPr>
          <w:b/>
          <w:sz w:val="24"/>
        </w:rPr>
        <w:t>C</w:t>
      </w:r>
      <w:r>
        <w:rPr>
          <w:rFonts w:hint="eastAsia"/>
          <w:b/>
          <w:sz w:val="24"/>
        </w:rPr>
        <w:t>、技术部分。</w:t>
      </w:r>
    </w:p>
    <w:p>
      <w:pPr>
        <w:spacing w:line="400" w:lineRule="exact"/>
        <w:ind w:firstLine="480" w:firstLineChars="200"/>
        <w:rPr>
          <w:sz w:val="24"/>
        </w:rPr>
      </w:pPr>
      <w:r>
        <w:rPr>
          <w:rFonts w:hint="eastAsia" w:ascii="宋体"/>
          <w:sz w:val="24"/>
        </w:rPr>
        <w:t>投标人按照招标文件要求做出的技术应答，主要是针对招标项目的技术指标、参数和技术要求做出的响应和满足。投标人的技术应答包括下列内容</w:t>
      </w:r>
    </w:p>
    <w:p>
      <w:pPr>
        <w:spacing w:line="400" w:lineRule="exact"/>
        <w:ind w:left="1" w:firstLine="352" w:firstLineChars="147"/>
        <w:rPr>
          <w:rFonts w:ascii="宋体"/>
          <w:sz w:val="24"/>
        </w:rPr>
      </w:pPr>
      <w:r>
        <w:rPr>
          <w:rFonts w:hint="eastAsia" w:ascii="宋体"/>
          <w:sz w:val="24"/>
        </w:rPr>
        <w:t>（1）投标产品的品牌、型号、配置；</w:t>
      </w:r>
    </w:p>
    <w:p>
      <w:pPr>
        <w:spacing w:line="400" w:lineRule="exact"/>
        <w:ind w:left="1" w:firstLine="352" w:firstLineChars="147"/>
        <w:rPr>
          <w:rFonts w:ascii="宋体"/>
          <w:sz w:val="24"/>
        </w:rPr>
      </w:pPr>
      <w:r>
        <w:rPr>
          <w:rFonts w:hint="eastAsia" w:ascii="宋体"/>
          <w:sz w:val="24"/>
        </w:rPr>
        <w:t>（2）投标产品本身的详细的技术指标和参数（应当尽可能提供检测报告、产品使用说明书、用户手册等材料予以佐证）；</w:t>
      </w:r>
    </w:p>
    <w:p>
      <w:pPr>
        <w:spacing w:line="400" w:lineRule="exact"/>
        <w:ind w:left="1" w:firstLine="352" w:firstLineChars="147"/>
        <w:rPr>
          <w:rFonts w:ascii="宋体"/>
          <w:sz w:val="24"/>
        </w:rPr>
      </w:pPr>
      <w:r>
        <w:rPr>
          <w:rFonts w:hint="eastAsia" w:ascii="宋体"/>
          <w:sz w:val="24"/>
        </w:rPr>
        <w:t>（3）技术方案、项目实施方案；</w:t>
      </w:r>
    </w:p>
    <w:p>
      <w:pPr>
        <w:spacing w:line="400" w:lineRule="exact"/>
        <w:ind w:left="1" w:firstLine="352" w:firstLineChars="147"/>
        <w:rPr>
          <w:rFonts w:ascii="宋体"/>
          <w:sz w:val="24"/>
        </w:rPr>
      </w:pPr>
      <w:r>
        <w:rPr>
          <w:rFonts w:hint="eastAsia" w:ascii="宋体"/>
          <w:sz w:val="24"/>
        </w:rPr>
        <w:t>（4）投标产品技术参数表；</w:t>
      </w:r>
    </w:p>
    <w:p>
      <w:pPr>
        <w:spacing w:line="400" w:lineRule="exact"/>
        <w:ind w:left="1" w:firstLine="352" w:firstLineChars="147"/>
        <w:rPr>
          <w:rFonts w:ascii="宋体"/>
          <w:sz w:val="24"/>
        </w:rPr>
      </w:pPr>
      <w:r>
        <w:rPr>
          <w:rFonts w:hint="eastAsia" w:ascii="宋体"/>
          <w:sz w:val="24"/>
        </w:rPr>
        <w:t>（5）产品彩页资料；</w:t>
      </w:r>
    </w:p>
    <w:p>
      <w:pPr>
        <w:spacing w:line="400" w:lineRule="exact"/>
        <w:ind w:left="1" w:firstLine="352" w:firstLineChars="147"/>
        <w:rPr>
          <w:rFonts w:ascii="宋体"/>
          <w:sz w:val="24"/>
        </w:rPr>
      </w:pPr>
      <w:r>
        <w:rPr>
          <w:rFonts w:hint="eastAsia" w:ascii="宋体"/>
          <w:sz w:val="24"/>
        </w:rPr>
        <w:t>（6）产品工作环境条件；</w:t>
      </w:r>
    </w:p>
    <w:p>
      <w:pPr>
        <w:spacing w:line="400" w:lineRule="exact"/>
        <w:ind w:left="1" w:firstLine="352" w:firstLineChars="147"/>
        <w:rPr>
          <w:rFonts w:ascii="宋体"/>
          <w:sz w:val="24"/>
        </w:rPr>
      </w:pPr>
      <w:r>
        <w:rPr>
          <w:rFonts w:hint="eastAsia" w:ascii="宋体"/>
          <w:sz w:val="24"/>
        </w:rPr>
        <w:t>（7）产品验收标准和验收方法；</w:t>
      </w:r>
    </w:p>
    <w:p>
      <w:pPr>
        <w:spacing w:line="400" w:lineRule="exact"/>
        <w:ind w:left="1" w:firstLine="352" w:firstLineChars="147"/>
        <w:rPr>
          <w:rFonts w:ascii="宋体"/>
          <w:sz w:val="24"/>
        </w:rPr>
      </w:pPr>
      <w:r>
        <w:rPr>
          <w:rFonts w:hint="eastAsia" w:ascii="宋体"/>
          <w:sz w:val="24"/>
        </w:rPr>
        <w:t>（8）产品验收清单（注明各部件的品名、数量、价格、规格型号和原产地或生产厂家）。</w:t>
      </w:r>
    </w:p>
    <w:p>
      <w:pPr>
        <w:spacing w:line="400" w:lineRule="exact"/>
        <w:ind w:left="1" w:firstLine="352" w:firstLineChars="147"/>
        <w:rPr>
          <w:rFonts w:ascii="宋体"/>
          <w:sz w:val="24"/>
        </w:rPr>
      </w:pPr>
      <w:r>
        <w:rPr>
          <w:rFonts w:hint="eastAsia" w:ascii="宋体"/>
          <w:sz w:val="24"/>
        </w:rPr>
        <w:t>（9）投标人认为需要提供的文件和资料。</w:t>
      </w:r>
    </w:p>
    <w:p>
      <w:pPr>
        <w:spacing w:line="400" w:lineRule="exact"/>
        <w:ind w:firstLine="482" w:firstLineChars="200"/>
        <w:rPr>
          <w:b/>
          <w:sz w:val="24"/>
        </w:rPr>
      </w:pPr>
      <w:r>
        <w:rPr>
          <w:b/>
          <w:sz w:val="24"/>
        </w:rPr>
        <w:t>D</w:t>
      </w:r>
      <w:r>
        <w:rPr>
          <w:rFonts w:hint="eastAsia"/>
          <w:b/>
          <w:sz w:val="24"/>
        </w:rPr>
        <w:t>、售后服务。</w:t>
      </w:r>
    </w:p>
    <w:p>
      <w:pPr>
        <w:spacing w:line="400" w:lineRule="exact"/>
        <w:ind w:firstLine="480" w:firstLineChars="200"/>
        <w:rPr>
          <w:sz w:val="24"/>
        </w:rPr>
      </w:pPr>
      <w:r>
        <w:rPr>
          <w:rFonts w:hint="eastAsia"/>
          <w:sz w:val="24"/>
        </w:rPr>
        <w:t>投标人按照招标文件中售后服务要求作出积极响应和承诺。包括以下内容：</w:t>
      </w:r>
    </w:p>
    <w:p>
      <w:pPr>
        <w:spacing w:line="400" w:lineRule="exact"/>
        <w:ind w:firstLine="480" w:firstLineChars="200"/>
        <w:rPr>
          <w:sz w:val="24"/>
        </w:rPr>
      </w:pPr>
      <w:r>
        <w:rPr>
          <w:rFonts w:hint="eastAsia"/>
          <w:sz w:val="24"/>
        </w:rPr>
        <w:t>（1）产品制造厂家或投标人设立的售后服务机构网点清单、服务电话和维修人员名单；</w:t>
      </w:r>
    </w:p>
    <w:p>
      <w:pPr>
        <w:spacing w:line="400" w:lineRule="exact"/>
        <w:ind w:firstLine="480" w:firstLineChars="200"/>
        <w:rPr>
          <w:sz w:val="24"/>
        </w:rPr>
      </w:pPr>
      <w:r>
        <w:rPr>
          <w:rFonts w:hint="eastAsia"/>
          <w:sz w:val="24"/>
        </w:rPr>
        <w:t>（2）说明投标产品的保修时间、保修期内的保修内容与范围、维修响应时间等。分别提供产品制造厂家和投标人的服务承诺和保障措施；</w:t>
      </w:r>
    </w:p>
    <w:p>
      <w:pPr>
        <w:spacing w:line="400" w:lineRule="exact"/>
        <w:ind w:firstLine="480" w:firstLineChars="200"/>
        <w:rPr>
          <w:sz w:val="24"/>
        </w:rPr>
      </w:pPr>
      <w:r>
        <w:rPr>
          <w:rFonts w:hint="eastAsia"/>
          <w:sz w:val="24"/>
        </w:rPr>
        <w:t>（3）培训措施：说明培训内容及培训的时间、地点、目标、培训人数、收费标准和办法；</w:t>
      </w:r>
    </w:p>
    <w:p>
      <w:pPr>
        <w:spacing w:line="400" w:lineRule="exact"/>
        <w:ind w:firstLine="480" w:firstLineChars="200"/>
        <w:rPr>
          <w:sz w:val="24"/>
        </w:rPr>
      </w:pPr>
      <w:r>
        <w:rPr>
          <w:rFonts w:hint="eastAsia"/>
          <w:sz w:val="24"/>
        </w:rPr>
        <w:t>（4）其他有利于用户的服务承诺。</w:t>
      </w:r>
    </w:p>
    <w:p>
      <w:pPr>
        <w:spacing w:line="400" w:lineRule="exact"/>
        <w:ind w:firstLine="482" w:firstLineChars="200"/>
        <w:rPr>
          <w:b/>
          <w:sz w:val="24"/>
        </w:rPr>
      </w:pPr>
      <w:r>
        <w:rPr>
          <w:b/>
          <w:sz w:val="24"/>
        </w:rPr>
        <w:t>E</w:t>
      </w:r>
      <w:r>
        <w:rPr>
          <w:rFonts w:hint="eastAsia"/>
          <w:b/>
          <w:sz w:val="24"/>
        </w:rPr>
        <w:t>、其它。</w:t>
      </w:r>
    </w:p>
    <w:p>
      <w:pPr>
        <w:spacing w:line="400" w:lineRule="exact"/>
        <w:ind w:firstLine="480" w:firstLineChars="200"/>
        <w:rPr>
          <w:sz w:val="24"/>
        </w:rPr>
      </w:pPr>
      <w:r>
        <w:rPr>
          <w:rFonts w:hint="eastAsia"/>
          <w:sz w:val="24"/>
        </w:rPr>
        <w:t>投标人按照招标文件要求作出的其他应答和承诺。</w:t>
      </w:r>
    </w:p>
    <w:p>
      <w:pPr>
        <w:pStyle w:val="6"/>
        <w:tabs>
          <w:tab w:val="left" w:pos="3480"/>
        </w:tabs>
        <w:spacing w:line="400" w:lineRule="exact"/>
        <w:ind w:firstLine="482" w:firstLineChars="200"/>
        <w:rPr>
          <w:rFonts w:ascii="宋体"/>
          <w:sz w:val="24"/>
        </w:rPr>
      </w:pPr>
      <w:r>
        <w:rPr>
          <w:rFonts w:hint="eastAsia" w:ascii="宋体"/>
          <w:sz w:val="24"/>
        </w:rPr>
        <w:t>15．投标文件格式</w:t>
      </w:r>
      <w:bookmarkEnd w:id="71"/>
      <w:bookmarkEnd w:id="72"/>
      <w:bookmarkEnd w:id="73"/>
      <w:bookmarkEnd w:id="74"/>
    </w:p>
    <w:p>
      <w:pPr>
        <w:tabs>
          <w:tab w:val="left" w:pos="7665"/>
        </w:tabs>
        <w:spacing w:line="400" w:lineRule="exact"/>
        <w:ind w:left="13" w:leftChars="6" w:firstLine="480" w:firstLineChars="200"/>
        <w:rPr>
          <w:rFonts w:ascii="宋体"/>
          <w:sz w:val="24"/>
        </w:rPr>
      </w:pPr>
      <w:r>
        <w:rPr>
          <w:rFonts w:hint="eastAsia" w:ascii="宋体"/>
          <w:sz w:val="24"/>
        </w:rPr>
        <w:t>15.1 投标人应执行招标文件第三章的规定要求。第三章格式中“注”的内容，投标人可自行决定是否保留在投标文件中，未保留的视为投标人默认接受“注”的内容。</w:t>
      </w:r>
    </w:p>
    <w:p>
      <w:pPr>
        <w:tabs>
          <w:tab w:val="left" w:pos="7665"/>
        </w:tabs>
        <w:spacing w:line="400" w:lineRule="exact"/>
        <w:ind w:left="13" w:leftChars="6" w:firstLine="480" w:firstLineChars="200"/>
        <w:rPr>
          <w:rFonts w:ascii="宋体"/>
          <w:sz w:val="24"/>
        </w:rPr>
      </w:pPr>
      <w:r>
        <w:rPr>
          <w:rFonts w:hint="eastAsia" w:ascii="宋体"/>
          <w:sz w:val="24"/>
        </w:rPr>
        <w:t>15.2 对于没有格式要求的投标文件由投标人自行编写。</w:t>
      </w:r>
    </w:p>
    <w:p>
      <w:pPr>
        <w:pStyle w:val="6"/>
        <w:spacing w:line="400" w:lineRule="exact"/>
        <w:ind w:firstLine="482" w:firstLineChars="200"/>
        <w:rPr>
          <w:rFonts w:ascii="宋体"/>
          <w:sz w:val="24"/>
        </w:rPr>
      </w:pPr>
      <w:bookmarkStart w:id="75" w:name="_Toc183582223"/>
      <w:bookmarkStart w:id="76" w:name="_Toc183682360"/>
      <w:bookmarkStart w:id="77" w:name="_Toc308164800"/>
      <w:bookmarkStart w:id="78" w:name="_Toc217446050"/>
      <w:r>
        <w:rPr>
          <w:rFonts w:hint="eastAsia" w:ascii="宋体"/>
          <w:bCs w:val="0"/>
          <w:sz w:val="24"/>
        </w:rPr>
        <w:t>16．投标保证金</w:t>
      </w:r>
      <w:bookmarkEnd w:id="75"/>
      <w:bookmarkEnd w:id="76"/>
      <w:bookmarkEnd w:id="77"/>
      <w:bookmarkEnd w:id="78"/>
      <w:r>
        <w:rPr>
          <w:rFonts w:hint="eastAsia"/>
          <w:sz w:val="24"/>
          <w:szCs w:val="24"/>
        </w:rPr>
        <w:t>（实质性要求）</w:t>
      </w:r>
    </w:p>
    <w:p>
      <w:pPr>
        <w:spacing w:line="400" w:lineRule="exact"/>
        <w:ind w:firstLine="480" w:firstLineChars="200"/>
        <w:rPr>
          <w:rFonts w:ascii="宋体"/>
          <w:sz w:val="24"/>
        </w:rPr>
      </w:pPr>
      <w:r>
        <w:rPr>
          <w:rFonts w:hint="eastAsia" w:ascii="宋体"/>
          <w:sz w:val="24"/>
        </w:rPr>
        <w:t>16.1 投标人投标时，必须以人民币提交招标文件规定数额的投标保证金，并作为其投标的一部分。</w:t>
      </w:r>
    </w:p>
    <w:p>
      <w:pPr>
        <w:tabs>
          <w:tab w:val="left" w:pos="1134"/>
        </w:tabs>
        <w:spacing w:line="400" w:lineRule="exact"/>
        <w:ind w:firstLine="424" w:firstLineChars="177"/>
        <w:rPr>
          <w:rFonts w:ascii="宋体"/>
          <w:sz w:val="24"/>
        </w:rPr>
      </w:pPr>
      <w:r>
        <w:rPr>
          <w:rFonts w:hint="eastAsia" w:ascii="宋体"/>
          <w:sz w:val="24"/>
        </w:rPr>
        <w:t>16.2</w:t>
      </w:r>
      <w:r>
        <w:rPr>
          <w:rFonts w:hint="eastAsia"/>
          <w:sz w:val="24"/>
        </w:rPr>
        <w:t>投标保证金交款方式：</w:t>
      </w:r>
      <w:r>
        <w:rPr>
          <w:rFonts w:hint="eastAsia" w:cs="宋体"/>
          <w:sz w:val="24"/>
        </w:rPr>
        <w:t>详见投标人须知前附表。</w:t>
      </w:r>
    </w:p>
    <w:p>
      <w:pPr>
        <w:tabs>
          <w:tab w:val="left" w:pos="1134"/>
        </w:tabs>
        <w:spacing w:line="400" w:lineRule="exact"/>
        <w:ind w:firstLine="424" w:firstLineChars="177"/>
        <w:rPr>
          <w:rFonts w:ascii="宋体"/>
          <w:sz w:val="24"/>
        </w:rPr>
      </w:pPr>
      <w:r>
        <w:rPr>
          <w:rFonts w:hint="eastAsia" w:ascii="宋体"/>
          <w:sz w:val="24"/>
        </w:rPr>
        <w:t>16.3</w:t>
      </w:r>
      <w:r>
        <w:rPr>
          <w:rFonts w:hint="eastAsia" w:cs="宋体"/>
          <w:sz w:val="24"/>
        </w:rPr>
        <w:t>未中标人的投标保证金，将在中标通知书发出后5个工作日内全额退还。中标人的投标保证金，在合同签订生效后5个工作日内全额退还</w:t>
      </w:r>
      <w:r>
        <w:rPr>
          <w:rFonts w:hint="eastAsia"/>
          <w:bCs/>
          <w:sz w:val="24"/>
        </w:rPr>
        <w:t>（注：</w:t>
      </w:r>
      <w:r>
        <w:rPr>
          <w:rFonts w:hint="eastAsia" w:cs="宋体"/>
          <w:bCs/>
          <w:sz w:val="24"/>
        </w:rPr>
        <w:fldChar w:fldCharType="begin"/>
      </w:r>
      <w:r>
        <w:rPr>
          <w:rFonts w:hint="eastAsia" w:cs="宋体"/>
          <w:bCs/>
          <w:sz w:val="24"/>
        </w:rPr>
        <w:instrText xml:space="preserve"> = 1 \* GB3 \* MERGEFORMAT </w:instrText>
      </w:r>
      <w:r>
        <w:rPr>
          <w:rFonts w:hint="eastAsia" w:cs="宋体"/>
          <w:bCs/>
          <w:sz w:val="24"/>
        </w:rPr>
        <w:fldChar w:fldCharType="separate"/>
      </w:r>
      <w:r>
        <w:rPr>
          <w:rFonts w:hint="eastAsia" w:cs="宋体"/>
          <w:bCs/>
          <w:sz w:val="24"/>
        </w:rPr>
        <w:t>①</w:t>
      </w:r>
      <w:r>
        <w:rPr>
          <w:rFonts w:hint="eastAsia" w:cs="宋体"/>
          <w:bCs/>
          <w:sz w:val="24"/>
        </w:rPr>
        <w:fldChar w:fldCharType="end"/>
      </w:r>
      <w:r>
        <w:rPr>
          <w:rFonts w:hint="eastAsia" w:cs="宋体"/>
          <w:bCs/>
          <w:sz w:val="24"/>
        </w:rPr>
        <w:t>因投标人自身原因造成的保证金延迟退还或者投标人和采购代理机构书面协商可以延迟退还的，采购代理机构不承担相应责任；</w:t>
      </w:r>
      <w:r>
        <w:rPr>
          <w:rFonts w:hint="eastAsia" w:cs="宋体"/>
          <w:bCs/>
          <w:sz w:val="24"/>
        </w:rPr>
        <w:fldChar w:fldCharType="begin"/>
      </w:r>
      <w:r>
        <w:rPr>
          <w:rFonts w:hint="eastAsia" w:cs="宋体"/>
          <w:bCs/>
          <w:sz w:val="24"/>
        </w:rPr>
        <w:instrText xml:space="preserve"> = 2 \* GB3 \* MERGEFORMAT </w:instrText>
      </w:r>
      <w:r>
        <w:rPr>
          <w:rFonts w:hint="eastAsia" w:cs="宋体"/>
          <w:bCs/>
          <w:sz w:val="24"/>
        </w:rPr>
        <w:fldChar w:fldCharType="separate"/>
      </w:r>
      <w:r>
        <w:rPr>
          <w:rFonts w:hint="eastAsia" w:cs="宋体"/>
          <w:bCs/>
          <w:sz w:val="24"/>
        </w:rPr>
        <w:t>②</w:t>
      </w:r>
      <w:r>
        <w:rPr>
          <w:rFonts w:hint="eastAsia" w:cs="宋体"/>
          <w:bCs/>
          <w:sz w:val="24"/>
        </w:rPr>
        <w:fldChar w:fldCharType="end"/>
      </w:r>
      <w:r>
        <w:rPr>
          <w:rFonts w:hint="eastAsia"/>
          <w:bCs/>
          <w:sz w:val="24"/>
        </w:rPr>
        <w:t>供应商因涉嫌违法违规，按照规定应当不予退还保证金的，有关部门处理认定违法违规行为期间不计入退还保证金时限之内。）</w:t>
      </w:r>
      <w:r>
        <w:rPr>
          <w:rFonts w:hint="eastAsia"/>
          <w:sz w:val="24"/>
        </w:rPr>
        <w:t>；</w:t>
      </w:r>
    </w:p>
    <w:p>
      <w:pPr>
        <w:spacing w:line="400" w:lineRule="exact"/>
        <w:ind w:firstLine="480" w:firstLineChars="200"/>
        <w:rPr>
          <w:rFonts w:ascii="宋体"/>
          <w:sz w:val="24"/>
        </w:rPr>
      </w:pPr>
      <w:r>
        <w:rPr>
          <w:rFonts w:hint="eastAsia" w:ascii="宋体"/>
          <w:sz w:val="24"/>
        </w:rPr>
        <w:t>16.4发生下列情形之一的，采购代理机构可以不予退还投标保证金：</w:t>
      </w:r>
    </w:p>
    <w:p>
      <w:pPr>
        <w:spacing w:line="400" w:lineRule="exact"/>
        <w:ind w:firstLine="470" w:firstLineChars="196"/>
        <w:rPr>
          <w:sz w:val="24"/>
        </w:rPr>
      </w:pPr>
      <w:r>
        <w:rPr>
          <w:rFonts w:hint="eastAsia"/>
          <w:sz w:val="24"/>
        </w:rPr>
        <w:t>（</w:t>
      </w:r>
      <w:r>
        <w:rPr>
          <w:sz w:val="24"/>
        </w:rPr>
        <w:t>1</w:t>
      </w:r>
      <w:r>
        <w:rPr>
          <w:rFonts w:hint="eastAsia"/>
          <w:sz w:val="24"/>
        </w:rPr>
        <w:t>）在招标文件规定的投标截止时间后撤回投标的；</w:t>
      </w:r>
    </w:p>
    <w:p>
      <w:pPr>
        <w:spacing w:line="400" w:lineRule="exact"/>
        <w:ind w:firstLine="470" w:firstLineChars="196"/>
        <w:rPr>
          <w:sz w:val="24"/>
        </w:rPr>
      </w:pPr>
      <w:r>
        <w:rPr>
          <w:rFonts w:hint="eastAsia"/>
          <w:sz w:val="24"/>
        </w:rPr>
        <w:t>（2）在采购人确定中标人以前放弃中标候选资格的；</w:t>
      </w:r>
    </w:p>
    <w:p>
      <w:pPr>
        <w:spacing w:line="400" w:lineRule="exact"/>
        <w:ind w:firstLine="470" w:firstLineChars="196"/>
        <w:rPr>
          <w:sz w:val="24"/>
        </w:rPr>
      </w:pPr>
      <w:r>
        <w:rPr>
          <w:rFonts w:hint="eastAsia"/>
          <w:sz w:val="24"/>
        </w:rPr>
        <w:t>（3）中标后放弃中标、不领取或者不接收中标通知书的；</w:t>
      </w:r>
    </w:p>
    <w:p>
      <w:pPr>
        <w:spacing w:line="400" w:lineRule="exact"/>
        <w:ind w:firstLine="470" w:firstLineChars="196"/>
        <w:rPr>
          <w:sz w:val="24"/>
        </w:rPr>
      </w:pPr>
      <w:r>
        <w:rPr>
          <w:rFonts w:hint="eastAsia"/>
          <w:sz w:val="24"/>
        </w:rPr>
        <w:t>（4）由于中标人的原因未能按照招标文件的规定与采购人签订合同的；</w:t>
      </w:r>
    </w:p>
    <w:p>
      <w:pPr>
        <w:spacing w:line="400" w:lineRule="exact"/>
        <w:ind w:firstLine="470" w:firstLineChars="196"/>
        <w:rPr>
          <w:sz w:val="24"/>
        </w:rPr>
      </w:pPr>
      <w:r>
        <w:rPr>
          <w:rFonts w:hint="eastAsia"/>
          <w:sz w:val="24"/>
        </w:rPr>
        <w:t>（5）由于中标人的原因未能按照招标文件的规定交纳履约保证金的；</w:t>
      </w:r>
    </w:p>
    <w:p>
      <w:pPr>
        <w:spacing w:line="400" w:lineRule="exact"/>
        <w:ind w:firstLine="470" w:firstLineChars="196"/>
        <w:rPr>
          <w:sz w:val="24"/>
        </w:rPr>
      </w:pPr>
      <w:r>
        <w:rPr>
          <w:rFonts w:hint="eastAsia"/>
          <w:sz w:val="24"/>
        </w:rPr>
        <w:t>（6）投标人提供虚假资料的；</w:t>
      </w:r>
    </w:p>
    <w:p>
      <w:pPr>
        <w:spacing w:line="400" w:lineRule="exact"/>
        <w:ind w:firstLine="470" w:firstLineChars="196"/>
        <w:rPr>
          <w:sz w:val="24"/>
        </w:rPr>
      </w:pPr>
      <w:r>
        <w:rPr>
          <w:rFonts w:hint="eastAsia"/>
          <w:sz w:val="24"/>
        </w:rPr>
        <w:t>（7）投标有效期内，投标人在政府采购活动中有违法、违规、违纪行为。</w:t>
      </w:r>
    </w:p>
    <w:p>
      <w:pPr>
        <w:spacing w:line="400" w:lineRule="exact"/>
        <w:ind w:firstLine="470" w:firstLineChars="196"/>
        <w:rPr>
          <w:sz w:val="24"/>
        </w:rPr>
      </w:pPr>
      <w:r>
        <w:rPr>
          <w:rFonts w:hint="eastAsia"/>
          <w:sz w:val="24"/>
        </w:rPr>
        <w:t>（8）投标有效期内，投标人撤销投标文件的。</w:t>
      </w:r>
    </w:p>
    <w:p>
      <w:pPr>
        <w:pStyle w:val="6"/>
        <w:spacing w:line="400" w:lineRule="exact"/>
        <w:ind w:firstLine="482" w:firstLineChars="200"/>
        <w:rPr>
          <w:rFonts w:ascii="宋体"/>
          <w:bCs w:val="0"/>
          <w:sz w:val="24"/>
        </w:rPr>
      </w:pPr>
      <w:bookmarkStart w:id="79" w:name="_Toc217446051"/>
      <w:bookmarkStart w:id="80" w:name="_Toc183582224"/>
      <w:bookmarkStart w:id="81" w:name="_Toc308164801"/>
      <w:bookmarkStart w:id="82" w:name="_Toc183682361"/>
      <w:r>
        <w:rPr>
          <w:rFonts w:hint="eastAsia" w:ascii="宋体"/>
          <w:bCs w:val="0"/>
          <w:sz w:val="24"/>
        </w:rPr>
        <w:t>17．投标有效期</w:t>
      </w:r>
      <w:bookmarkEnd w:id="79"/>
      <w:bookmarkEnd w:id="80"/>
      <w:bookmarkEnd w:id="81"/>
      <w:bookmarkEnd w:id="82"/>
      <w:r>
        <w:rPr>
          <w:rFonts w:hint="eastAsia"/>
          <w:sz w:val="24"/>
          <w:szCs w:val="24"/>
        </w:rPr>
        <w:t>（实质性要求）</w:t>
      </w:r>
    </w:p>
    <w:p>
      <w:pPr>
        <w:tabs>
          <w:tab w:val="left" w:pos="7665"/>
        </w:tabs>
        <w:spacing w:line="400" w:lineRule="exact"/>
        <w:ind w:left="13" w:leftChars="6" w:firstLine="480" w:firstLineChars="200"/>
        <w:rPr>
          <w:rFonts w:ascii="宋体"/>
          <w:sz w:val="24"/>
        </w:rPr>
      </w:pPr>
      <w:r>
        <w:rPr>
          <w:rFonts w:hint="eastAsia" w:ascii="宋体"/>
          <w:sz w:val="24"/>
        </w:rPr>
        <w:t>17.1 本项目投标有效期为投标截止时间届满后</w:t>
      </w:r>
      <w:r>
        <w:rPr>
          <w:rFonts w:hint="eastAsia" w:ascii="宋体"/>
          <w:b/>
          <w:bCs/>
          <w:color w:val="0000FF"/>
          <w:sz w:val="24"/>
        </w:rPr>
        <w:t>100</w:t>
      </w:r>
      <w:r>
        <w:rPr>
          <w:rFonts w:hint="eastAsia" w:ascii="宋体"/>
          <w:color w:val="0000FF"/>
          <w:sz w:val="24"/>
        </w:rPr>
        <w:t>天</w:t>
      </w:r>
      <w:r>
        <w:rPr>
          <w:rFonts w:hint="eastAsia" w:ascii="宋体"/>
          <w:sz w:val="24"/>
        </w:rPr>
        <w:t>（投标有效期从提交投标文件的截止之日起算）。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400" w:lineRule="exact"/>
        <w:ind w:left="13" w:leftChars="6" w:firstLine="360" w:firstLineChars="150"/>
        <w:rPr>
          <w:rFonts w:ascii="宋体"/>
          <w:sz w:val="24"/>
        </w:rPr>
      </w:pPr>
      <w:r>
        <w:rPr>
          <w:rFonts w:hint="eastAsia" w:ascii="宋体"/>
          <w:sz w:val="24"/>
        </w:rPr>
        <w:t xml:space="preserve">17.2 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 </w:t>
      </w:r>
    </w:p>
    <w:p>
      <w:pPr>
        <w:tabs>
          <w:tab w:val="left" w:pos="7665"/>
        </w:tabs>
        <w:spacing w:line="400" w:lineRule="exact"/>
        <w:ind w:left="13" w:leftChars="6" w:firstLine="360" w:firstLineChars="150"/>
        <w:rPr>
          <w:rFonts w:ascii="宋体"/>
          <w:sz w:val="24"/>
        </w:rPr>
      </w:pPr>
      <w:r>
        <w:rPr>
          <w:rFonts w:hint="eastAsia" w:ascii="宋体"/>
          <w:sz w:val="24"/>
        </w:rPr>
        <w:t>17.3 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pPr>
        <w:pStyle w:val="6"/>
        <w:spacing w:line="400" w:lineRule="exact"/>
        <w:ind w:firstLine="482" w:firstLineChars="200"/>
        <w:rPr>
          <w:rFonts w:ascii="宋体"/>
          <w:bCs w:val="0"/>
          <w:sz w:val="24"/>
        </w:rPr>
      </w:pPr>
      <w:bookmarkStart w:id="83" w:name="_Toc183682362"/>
      <w:bookmarkStart w:id="84" w:name="_Toc308164802"/>
      <w:bookmarkStart w:id="85" w:name="_Toc183582225"/>
      <w:bookmarkStart w:id="86" w:name="_Toc217446052"/>
      <w:r>
        <w:rPr>
          <w:rFonts w:hint="eastAsia" w:ascii="宋体"/>
          <w:bCs w:val="0"/>
          <w:sz w:val="24"/>
        </w:rPr>
        <w:t>18．投标文件的印制和签署</w:t>
      </w:r>
      <w:bookmarkEnd w:id="83"/>
      <w:bookmarkEnd w:id="84"/>
      <w:bookmarkEnd w:id="85"/>
      <w:bookmarkEnd w:id="86"/>
    </w:p>
    <w:p>
      <w:pPr>
        <w:tabs>
          <w:tab w:val="left" w:pos="1080"/>
        </w:tabs>
        <w:spacing w:line="400" w:lineRule="exact"/>
        <w:ind w:firstLine="460" w:firstLineChars="192"/>
        <w:rPr>
          <w:rFonts w:ascii="宋体"/>
          <w:sz w:val="24"/>
        </w:rPr>
      </w:pPr>
      <w:r>
        <w:rPr>
          <w:rFonts w:hint="eastAsia" w:ascii="宋体"/>
          <w:sz w:val="24"/>
        </w:rPr>
        <w:t>18.1投标文件分为“资格性投标文件”和“其它响应性投标文件”两部分，</w:t>
      </w:r>
      <w:r>
        <w:rPr>
          <w:rFonts w:hint="eastAsia" w:ascii="宋体"/>
          <w:b/>
          <w:sz w:val="24"/>
        </w:rPr>
        <w:t>且该两部分文件必须分册装订</w:t>
      </w:r>
      <w:r>
        <w:rPr>
          <w:rFonts w:hint="eastAsia" w:ascii="宋体"/>
          <w:sz w:val="24"/>
        </w:rPr>
        <w:t>。“资格性投标文件”用于采购人或采购代理机构对本项目的资格审查，“其它响应性投标文件”用于评标委员会针对本项目资格审查以外的评审。</w:t>
      </w:r>
      <w:r>
        <w:rPr>
          <w:rFonts w:hint="eastAsia" w:ascii="宋体"/>
          <w:b/>
          <w:sz w:val="24"/>
          <w:u w:val="single"/>
        </w:rPr>
        <w:t>（实质性要求）</w:t>
      </w:r>
    </w:p>
    <w:p>
      <w:pPr>
        <w:tabs>
          <w:tab w:val="left" w:pos="1080"/>
        </w:tabs>
        <w:spacing w:line="400" w:lineRule="exact"/>
        <w:ind w:firstLine="460" w:firstLineChars="192"/>
        <w:rPr>
          <w:rFonts w:ascii="宋体"/>
          <w:sz w:val="24"/>
        </w:rPr>
      </w:pPr>
      <w:r>
        <w:rPr>
          <w:rFonts w:hint="eastAsia" w:ascii="宋体"/>
          <w:sz w:val="24"/>
        </w:rPr>
        <w:t>18.2</w:t>
      </w:r>
      <w:r>
        <w:rPr>
          <w:rFonts w:hint="eastAsia" w:hAnsi="宋体"/>
          <w:sz w:val="24"/>
        </w:rPr>
        <w:t>投标人应按招标文件要求准备资格证明文件</w:t>
      </w:r>
      <w:r>
        <w:rPr>
          <w:rFonts w:hint="eastAsia" w:hAnsi="宋体"/>
          <w:sz w:val="24"/>
          <w:u w:val="single"/>
        </w:rPr>
        <w:t>壹</w:t>
      </w:r>
      <w:r>
        <w:rPr>
          <w:rFonts w:hint="eastAsia" w:hAnsi="宋体"/>
          <w:sz w:val="24"/>
        </w:rPr>
        <w:t>份、电子文档</w:t>
      </w:r>
      <w:r>
        <w:rPr>
          <w:rFonts w:hint="eastAsia" w:hAnsi="宋体"/>
          <w:sz w:val="24"/>
          <w:u w:val="single"/>
        </w:rPr>
        <w:t>壹</w:t>
      </w:r>
      <w:r>
        <w:rPr>
          <w:rFonts w:hint="eastAsia" w:hAnsi="宋体"/>
          <w:sz w:val="24"/>
        </w:rPr>
        <w:t>份以及用于开标唱标单独提交的“开标一览表”</w:t>
      </w:r>
      <w:r>
        <w:rPr>
          <w:rFonts w:hint="eastAsia" w:hAnsi="宋体"/>
          <w:sz w:val="24"/>
          <w:u w:val="single"/>
        </w:rPr>
        <w:t>贰</w:t>
      </w:r>
      <w:r>
        <w:rPr>
          <w:rFonts w:hint="eastAsia" w:hAnsi="宋体"/>
          <w:sz w:val="24"/>
        </w:rPr>
        <w:t>份。所有投标文件均应在其封面上清楚地标明“资格证明文件”</w:t>
      </w:r>
      <w:r>
        <w:rPr>
          <w:rFonts w:hint="eastAsia" w:ascii="宋体"/>
          <w:sz w:val="24"/>
        </w:rPr>
        <w:t>投标人名称、项目名称、招标编号及分包号（如涉及）字样</w:t>
      </w:r>
      <w:r>
        <w:rPr>
          <w:rFonts w:hint="eastAsia" w:hAnsi="宋体"/>
          <w:sz w:val="24"/>
        </w:rPr>
        <w:t>。若纸质文档与电子文档有不一致的内容，以纸质文档为准；若纸质文档的正本与副本有不一致的内容，以正本为准。</w:t>
      </w:r>
      <w:r>
        <w:rPr>
          <w:rFonts w:hint="eastAsia" w:ascii="宋体"/>
          <w:b/>
          <w:sz w:val="24"/>
          <w:u w:val="single"/>
        </w:rPr>
        <w:t>（实质性要求）</w:t>
      </w:r>
    </w:p>
    <w:p>
      <w:pPr>
        <w:tabs>
          <w:tab w:val="left" w:pos="1080"/>
        </w:tabs>
        <w:spacing w:line="400" w:lineRule="exact"/>
        <w:ind w:firstLine="460" w:firstLineChars="192"/>
        <w:rPr>
          <w:rFonts w:ascii="宋体"/>
          <w:sz w:val="24"/>
        </w:rPr>
      </w:pPr>
      <w:r>
        <w:rPr>
          <w:rFonts w:hint="eastAsia" w:ascii="宋体"/>
          <w:sz w:val="24"/>
        </w:rPr>
        <w:t>18.3除了用于开标唱标单独提交的“开标一览表”外，投标人还应在递交的“其它响应性投标文件（包含正副本）”中编入“开标一览表”。</w:t>
      </w:r>
      <w:r>
        <w:rPr>
          <w:rFonts w:hint="eastAsia" w:ascii="宋体"/>
          <w:b/>
          <w:sz w:val="24"/>
          <w:u w:val="single"/>
        </w:rPr>
        <w:t>（实质性要求）</w:t>
      </w:r>
    </w:p>
    <w:p>
      <w:pPr>
        <w:tabs>
          <w:tab w:val="left" w:pos="1095"/>
        </w:tabs>
        <w:spacing w:line="400" w:lineRule="exact"/>
        <w:ind w:firstLine="460" w:firstLineChars="192"/>
        <w:rPr>
          <w:rFonts w:ascii="宋体"/>
          <w:sz w:val="24"/>
        </w:rPr>
      </w:pPr>
      <w:r>
        <w:rPr>
          <w:rFonts w:hint="eastAsia" w:ascii="宋体"/>
          <w:sz w:val="24"/>
        </w:rPr>
        <w:t>18.4 投标文件的正本和副本均需打印或用不褪色、不变质的墨水书写，并由投标人的法定代表人/单位负责人或其代理人在规定签章处签字或盖章。投标文件副本可采用正本的复印件，电子文档可采用光盘或U盘制作。用于开标唱标单独提交的“开标一览表”应为原件。</w:t>
      </w:r>
    </w:p>
    <w:p>
      <w:pPr>
        <w:tabs>
          <w:tab w:val="left" w:pos="1095"/>
        </w:tabs>
        <w:spacing w:line="400" w:lineRule="exact"/>
        <w:ind w:firstLine="460" w:firstLineChars="192"/>
        <w:rPr>
          <w:rFonts w:ascii="宋体"/>
          <w:sz w:val="24"/>
        </w:rPr>
      </w:pPr>
      <w:r>
        <w:rPr>
          <w:rFonts w:hint="eastAsia" w:ascii="宋体"/>
          <w:sz w:val="24"/>
        </w:rPr>
        <w:t>18.5 投标文件的打印和书写应清楚工整，任何行间插字、涂改或增删，应由投标人的法定代表人/单位负责人或其代理人签字或盖个人印鉴。</w:t>
      </w:r>
    </w:p>
    <w:p>
      <w:pPr>
        <w:tabs>
          <w:tab w:val="left" w:pos="1080"/>
        </w:tabs>
        <w:spacing w:line="400" w:lineRule="exact"/>
        <w:ind w:firstLine="460" w:firstLineChars="192"/>
        <w:rPr>
          <w:rFonts w:ascii="宋体"/>
          <w:sz w:val="24"/>
        </w:rPr>
      </w:pPr>
      <w:r>
        <w:rPr>
          <w:rFonts w:hint="eastAsia" w:ascii="宋体"/>
          <w:sz w:val="24"/>
        </w:rPr>
        <w:t>18.6 投标文件正本和副本应当采取胶装方式装订成册，不得散装或者活页装订。</w:t>
      </w:r>
      <w:r>
        <w:rPr>
          <w:rFonts w:hint="eastAsia" w:ascii="宋体"/>
          <w:b/>
          <w:sz w:val="24"/>
        </w:rPr>
        <w:t>（实质性要求）</w:t>
      </w:r>
    </w:p>
    <w:p>
      <w:pPr>
        <w:tabs>
          <w:tab w:val="left" w:pos="1080"/>
        </w:tabs>
        <w:spacing w:line="400" w:lineRule="exact"/>
        <w:ind w:firstLine="460" w:firstLineChars="192"/>
        <w:rPr>
          <w:rFonts w:ascii="宋体"/>
          <w:sz w:val="24"/>
        </w:rPr>
      </w:pPr>
      <w:r>
        <w:rPr>
          <w:rFonts w:hint="eastAsia" w:ascii="宋体"/>
          <w:sz w:val="24"/>
        </w:rPr>
        <w:t>18.7 投标文件应根据招标文件的要求制作，签署、盖章和内容应完整。</w:t>
      </w:r>
    </w:p>
    <w:p>
      <w:pPr>
        <w:tabs>
          <w:tab w:val="left" w:pos="1080"/>
        </w:tabs>
        <w:spacing w:line="400" w:lineRule="exact"/>
        <w:ind w:firstLine="460" w:firstLineChars="192"/>
        <w:rPr>
          <w:rFonts w:ascii="宋体"/>
          <w:sz w:val="24"/>
        </w:rPr>
      </w:pPr>
      <w:r>
        <w:rPr>
          <w:rFonts w:hint="eastAsia" w:ascii="宋体"/>
          <w:sz w:val="24"/>
        </w:rPr>
        <w:t>18.8 投标文件统一用A4幅面纸印制，逐页编码。</w:t>
      </w:r>
    </w:p>
    <w:p>
      <w:pPr>
        <w:tabs>
          <w:tab w:val="left" w:pos="1080"/>
        </w:tabs>
        <w:spacing w:line="400" w:lineRule="exact"/>
        <w:ind w:firstLine="460" w:firstLineChars="192"/>
        <w:rPr>
          <w:rFonts w:ascii="宋体"/>
          <w:sz w:val="24"/>
        </w:rPr>
      </w:pPr>
      <w:r>
        <w:rPr>
          <w:rFonts w:hint="eastAsia" w:ascii="宋体"/>
          <w:sz w:val="24"/>
        </w:rPr>
        <w:t>18.9 本次招标要求的复印件是指对图文进行复制后的文件，包括扫描、复印、影印等方式复制的材料。</w:t>
      </w:r>
    </w:p>
    <w:p>
      <w:pPr>
        <w:pStyle w:val="6"/>
        <w:spacing w:line="400" w:lineRule="exact"/>
        <w:ind w:firstLine="482" w:firstLineChars="200"/>
        <w:rPr>
          <w:rFonts w:ascii="宋体"/>
          <w:sz w:val="24"/>
          <w:szCs w:val="24"/>
        </w:rPr>
      </w:pPr>
      <w:bookmarkStart w:id="87" w:name="_Toc89075877"/>
      <w:bookmarkStart w:id="88" w:name="_Toc77400781"/>
      <w:bookmarkStart w:id="89" w:name="_Toc183582226"/>
      <w:bookmarkStart w:id="90" w:name="_Toc183682363"/>
      <w:bookmarkStart w:id="91" w:name="_Toc308164803"/>
      <w:bookmarkStart w:id="92" w:name="_Toc217446053"/>
      <w:r>
        <w:rPr>
          <w:rFonts w:hint="eastAsia" w:ascii="宋体"/>
          <w:bCs w:val="0"/>
          <w:sz w:val="24"/>
          <w:szCs w:val="24"/>
        </w:rPr>
        <w:t>19.</w:t>
      </w:r>
      <w:r>
        <w:rPr>
          <w:rFonts w:hint="eastAsia" w:ascii="宋体"/>
          <w:sz w:val="24"/>
          <w:szCs w:val="24"/>
        </w:rPr>
        <w:t>投标文件的密封和标</w:t>
      </w:r>
      <w:bookmarkEnd w:id="87"/>
      <w:bookmarkEnd w:id="88"/>
      <w:bookmarkEnd w:id="89"/>
      <w:bookmarkEnd w:id="90"/>
      <w:r>
        <w:rPr>
          <w:rFonts w:hint="eastAsia" w:ascii="宋体"/>
          <w:sz w:val="24"/>
          <w:szCs w:val="24"/>
        </w:rPr>
        <w:t>注</w:t>
      </w:r>
      <w:bookmarkEnd w:id="91"/>
      <w:bookmarkEnd w:id="92"/>
    </w:p>
    <w:p>
      <w:pPr>
        <w:tabs>
          <w:tab w:val="left" w:pos="1080"/>
        </w:tabs>
        <w:spacing w:line="400" w:lineRule="exact"/>
        <w:ind w:firstLine="460" w:firstLineChars="192"/>
        <w:rPr>
          <w:rFonts w:ascii="宋体"/>
          <w:sz w:val="24"/>
        </w:rPr>
      </w:pPr>
      <w:bookmarkStart w:id="93" w:name="_Toc183682364"/>
      <w:bookmarkStart w:id="94" w:name="_Toc183582227"/>
      <w:bookmarkStart w:id="95" w:name="_Toc217446054"/>
      <w:bookmarkStart w:id="96" w:name="_Toc308164804"/>
      <w:r>
        <w:rPr>
          <w:rFonts w:hint="eastAsia" w:ascii="宋体"/>
          <w:sz w:val="24"/>
        </w:rPr>
        <w:t>19.1 投标文件包括“资格性投标文件”</w:t>
      </w:r>
      <w:r>
        <w:rPr>
          <w:rFonts w:hint="eastAsia" w:hAnsi="宋体"/>
          <w:sz w:val="24"/>
        </w:rPr>
        <w:t>、“电子文档”</w:t>
      </w:r>
      <w:r>
        <w:rPr>
          <w:rFonts w:hint="eastAsia" w:ascii="宋体"/>
          <w:sz w:val="24"/>
        </w:rPr>
        <w:t>和用于开标唱标单独提交的“开标一览表”。投标文件均应当密封，其中用于开标唱标单独提交的“开标一览表”应单独密封。</w:t>
      </w:r>
    </w:p>
    <w:p>
      <w:pPr>
        <w:tabs>
          <w:tab w:val="left" w:pos="1080"/>
        </w:tabs>
        <w:spacing w:line="400" w:lineRule="exact"/>
        <w:ind w:firstLine="460" w:firstLineChars="192"/>
        <w:rPr>
          <w:rFonts w:ascii="宋体"/>
          <w:sz w:val="24"/>
        </w:rPr>
      </w:pPr>
      <w:r>
        <w:rPr>
          <w:rFonts w:hint="eastAsia" w:ascii="宋体"/>
          <w:sz w:val="24"/>
        </w:rPr>
        <w:t>19.2投标文件包括正本、副本和用于开标唱标单独提交的“开标一览表”等。投标文件应当密封，其中，用于开标唱标单独提交的“开标一览表”单独密封。投标文件的密封袋上至少应当注明投标人名称、招标编号、项目名称及分包号（如涉及）。</w:t>
      </w:r>
    </w:p>
    <w:p>
      <w:pPr>
        <w:pStyle w:val="6"/>
        <w:spacing w:line="400" w:lineRule="exact"/>
        <w:ind w:firstLine="482" w:firstLineChars="200"/>
        <w:rPr>
          <w:rFonts w:ascii="宋体"/>
          <w:bCs w:val="0"/>
          <w:sz w:val="24"/>
          <w:szCs w:val="24"/>
        </w:rPr>
      </w:pPr>
      <w:r>
        <w:rPr>
          <w:rFonts w:hint="eastAsia" w:ascii="宋体"/>
          <w:bCs w:val="0"/>
          <w:sz w:val="24"/>
          <w:szCs w:val="24"/>
        </w:rPr>
        <w:t>20</w:t>
      </w:r>
      <w:r>
        <w:rPr>
          <w:rFonts w:hint="eastAsia" w:ascii="宋体"/>
          <w:bCs w:val="0"/>
          <w:sz w:val="28"/>
          <w:szCs w:val="28"/>
        </w:rPr>
        <w:t>．</w:t>
      </w:r>
      <w:r>
        <w:rPr>
          <w:rFonts w:hint="eastAsia" w:ascii="宋体"/>
          <w:bCs w:val="0"/>
          <w:sz w:val="24"/>
          <w:szCs w:val="24"/>
        </w:rPr>
        <w:t>投标文件的</w:t>
      </w:r>
      <w:bookmarkEnd w:id="93"/>
      <w:bookmarkEnd w:id="94"/>
      <w:r>
        <w:rPr>
          <w:rFonts w:hint="eastAsia" w:ascii="宋体"/>
          <w:bCs w:val="0"/>
          <w:sz w:val="24"/>
          <w:szCs w:val="24"/>
        </w:rPr>
        <w:t>递交</w:t>
      </w:r>
      <w:bookmarkEnd w:id="95"/>
      <w:bookmarkEnd w:id="96"/>
    </w:p>
    <w:p>
      <w:pPr>
        <w:tabs>
          <w:tab w:val="left" w:pos="1095"/>
        </w:tabs>
        <w:spacing w:line="400" w:lineRule="exact"/>
        <w:ind w:firstLine="460" w:firstLineChars="192"/>
        <w:rPr>
          <w:rFonts w:ascii="宋体"/>
          <w:sz w:val="24"/>
        </w:rPr>
      </w:pPr>
      <w:r>
        <w:rPr>
          <w:rFonts w:hint="eastAsia" w:ascii="宋体"/>
          <w:sz w:val="24"/>
        </w:rPr>
        <w:t>20.1 投标人应在招标文件规定的投标截止时间前，将投标文件按招标文件的规定密封后送达开标地点。投标截止时间以后送达的投标文件将不予接收，招标采购单位将告知投标人不予接收的原因。</w:t>
      </w:r>
    </w:p>
    <w:p>
      <w:pPr>
        <w:tabs>
          <w:tab w:val="left" w:pos="1095"/>
        </w:tabs>
        <w:spacing w:line="400" w:lineRule="exact"/>
        <w:ind w:firstLine="460" w:firstLineChars="192"/>
        <w:rPr>
          <w:rFonts w:ascii="宋体"/>
          <w:sz w:val="24"/>
        </w:rPr>
      </w:pPr>
      <w:r>
        <w:rPr>
          <w:rFonts w:hint="eastAsia" w:ascii="宋体"/>
          <w:sz w:val="24"/>
        </w:rPr>
        <w:t xml:space="preserve">注：投标人在递交投标文件时，请用正楷填写本招标文件附件二“递交投标文件签收表”然后将签收表和投标文件一并递交给本招标代理机构项目工作人员。 </w:t>
      </w:r>
    </w:p>
    <w:p>
      <w:pPr>
        <w:tabs>
          <w:tab w:val="left" w:pos="1095"/>
        </w:tabs>
        <w:spacing w:line="400" w:lineRule="exact"/>
        <w:ind w:firstLine="460" w:firstLineChars="192"/>
        <w:rPr>
          <w:rFonts w:ascii="宋体"/>
          <w:sz w:val="24"/>
        </w:rPr>
      </w:pPr>
      <w:r>
        <w:rPr>
          <w:rFonts w:hint="eastAsia" w:ascii="宋体"/>
          <w:sz w:val="24"/>
        </w:rPr>
        <w:t>20.2递交投标文件时，报名供应商名称和招标文件的文号、分包号应当与投标供应商名称和招标文件的文号、分包号一致。但是，投标文件实质内容报名供应商名称和招标文件的文号、分包号一致，只是封面文字错误的，可以在评标过程中当面予以澄清，以有效的澄清材料作为认定投标文件是否有效的依据。</w:t>
      </w:r>
    </w:p>
    <w:p>
      <w:pPr>
        <w:tabs>
          <w:tab w:val="left" w:pos="1095"/>
        </w:tabs>
        <w:spacing w:line="400" w:lineRule="exact"/>
        <w:ind w:firstLine="460" w:firstLineChars="192"/>
        <w:rPr>
          <w:rFonts w:ascii="宋体"/>
          <w:sz w:val="24"/>
        </w:rPr>
      </w:pPr>
      <w:r>
        <w:rPr>
          <w:rFonts w:hint="eastAsia" w:ascii="宋体"/>
          <w:sz w:val="24"/>
        </w:rPr>
        <w:t>20.3本次招标不接收邮寄的投标文件。</w:t>
      </w:r>
    </w:p>
    <w:p>
      <w:pPr>
        <w:pStyle w:val="6"/>
        <w:spacing w:line="400" w:lineRule="exact"/>
        <w:ind w:firstLine="482" w:firstLineChars="200"/>
        <w:rPr>
          <w:rFonts w:ascii="宋体"/>
          <w:bCs w:val="0"/>
          <w:sz w:val="24"/>
          <w:szCs w:val="24"/>
        </w:rPr>
      </w:pPr>
      <w:bookmarkStart w:id="97" w:name="_Toc183582228"/>
      <w:bookmarkStart w:id="98" w:name="_Toc183682365"/>
      <w:bookmarkStart w:id="99" w:name="_Toc217446055"/>
      <w:r>
        <w:rPr>
          <w:rFonts w:hint="eastAsia" w:ascii="宋体"/>
          <w:bCs w:val="0"/>
          <w:sz w:val="24"/>
          <w:szCs w:val="24"/>
        </w:rPr>
        <w:t>21．投标文件的修改和撤</w:t>
      </w:r>
      <w:bookmarkEnd w:id="97"/>
      <w:bookmarkEnd w:id="98"/>
      <w:r>
        <w:rPr>
          <w:rFonts w:hint="eastAsia" w:ascii="宋体"/>
          <w:bCs w:val="0"/>
          <w:sz w:val="24"/>
          <w:szCs w:val="24"/>
        </w:rPr>
        <w:t>回</w:t>
      </w:r>
      <w:bookmarkEnd w:id="99"/>
    </w:p>
    <w:p>
      <w:pPr>
        <w:spacing w:line="400" w:lineRule="exact"/>
        <w:ind w:firstLine="470" w:firstLineChars="196"/>
        <w:rPr>
          <w:rFonts w:ascii="宋体"/>
          <w:sz w:val="24"/>
        </w:rPr>
      </w:pPr>
      <w:r>
        <w:rPr>
          <w:rFonts w:hint="eastAsia" w:ascii="宋体"/>
          <w:sz w:val="24"/>
        </w:rPr>
        <w:t>21.1 投标人在递交了投标文件后，可以修改或撤回其投标文件，但必须在规定的投标截止时间前，以书面形式通知采购代理机构。</w:t>
      </w:r>
    </w:p>
    <w:p>
      <w:pPr>
        <w:spacing w:line="400" w:lineRule="exact"/>
        <w:ind w:firstLine="470" w:firstLineChars="196"/>
        <w:rPr>
          <w:rFonts w:ascii="宋体"/>
          <w:sz w:val="24"/>
        </w:rPr>
      </w:pPr>
      <w:r>
        <w:rPr>
          <w:rFonts w:hint="eastAsia" w:ascii="宋体"/>
          <w:sz w:val="24"/>
        </w:rPr>
        <w:t>21.2 投标人的修改书或撤回通知书，应由其法定代表人/单位负责人或授权代表签署并盖单位印章。修改书应按投标须知第19条规定进行密封和标注，并在密封袋上标注“修改”字样。</w:t>
      </w:r>
    </w:p>
    <w:p>
      <w:pPr>
        <w:spacing w:line="400" w:lineRule="exact"/>
        <w:ind w:firstLine="480"/>
        <w:rPr>
          <w:rFonts w:ascii="宋体"/>
          <w:sz w:val="24"/>
        </w:rPr>
      </w:pPr>
      <w:r>
        <w:rPr>
          <w:rFonts w:hint="eastAsia" w:ascii="宋体"/>
          <w:sz w:val="24"/>
        </w:rPr>
        <w:t>21.3 在投标截止时间之后，投标人不得对其递交的投标文件做任何修改，撤回投标的，将按照有关规定进行相应处理。</w:t>
      </w:r>
    </w:p>
    <w:p>
      <w:pPr>
        <w:pStyle w:val="4"/>
        <w:spacing w:line="400" w:lineRule="exact"/>
        <w:jc w:val="center"/>
      </w:pPr>
      <w:bookmarkStart w:id="100" w:name="_Toc183582231"/>
      <w:bookmarkStart w:id="101" w:name="_Toc217446056"/>
      <w:bookmarkStart w:id="102" w:name="_Toc77400782"/>
      <w:bookmarkStart w:id="103" w:name="_Toc308164805"/>
      <w:bookmarkStart w:id="104" w:name="_Toc183682368"/>
      <w:bookmarkStart w:id="105" w:name="_Toc89075878"/>
      <w:r>
        <w:rPr>
          <w:rFonts w:hint="eastAsia"/>
        </w:rPr>
        <w:t>五、开标和中标</w:t>
      </w:r>
      <w:bookmarkEnd w:id="100"/>
      <w:bookmarkEnd w:id="101"/>
      <w:bookmarkEnd w:id="102"/>
      <w:bookmarkEnd w:id="103"/>
      <w:bookmarkEnd w:id="104"/>
      <w:bookmarkEnd w:id="105"/>
    </w:p>
    <w:p>
      <w:pPr>
        <w:pStyle w:val="6"/>
        <w:spacing w:line="400" w:lineRule="exact"/>
        <w:ind w:firstLine="482" w:firstLineChars="200"/>
        <w:rPr>
          <w:rFonts w:ascii="宋体"/>
          <w:bCs w:val="0"/>
          <w:sz w:val="24"/>
        </w:rPr>
      </w:pPr>
      <w:bookmarkStart w:id="106" w:name="_Toc217446057"/>
      <w:bookmarkStart w:id="107" w:name="_Toc183582232"/>
      <w:bookmarkStart w:id="108" w:name="_Toc308164806"/>
      <w:bookmarkStart w:id="109" w:name="_Toc183682369"/>
      <w:r>
        <w:rPr>
          <w:rFonts w:hint="eastAsia" w:ascii="宋体"/>
          <w:bCs w:val="0"/>
          <w:sz w:val="24"/>
        </w:rPr>
        <w:t>22．开标</w:t>
      </w:r>
      <w:bookmarkEnd w:id="106"/>
      <w:bookmarkEnd w:id="107"/>
      <w:bookmarkEnd w:id="108"/>
      <w:bookmarkEnd w:id="109"/>
    </w:p>
    <w:p>
      <w:pPr>
        <w:spacing w:before="120" w:line="400" w:lineRule="exact"/>
        <w:ind w:firstLine="480" w:firstLineChars="200"/>
        <w:rPr>
          <w:rFonts w:ascii="宋体"/>
          <w:sz w:val="24"/>
        </w:rPr>
      </w:pPr>
      <w:r>
        <w:rPr>
          <w:rFonts w:hint="eastAsia" w:ascii="宋体"/>
          <w:sz w:val="24"/>
        </w:rPr>
        <w:t>22.1 开标在招标文件规定的时间和地点公开进行，采购人、投标人应派代表参加并签到以证明其出席。开标由采购代理机构主持，邀请投标人参加。评标委员会成员不参加开标活动。</w:t>
      </w:r>
    </w:p>
    <w:p>
      <w:pPr>
        <w:spacing w:line="400" w:lineRule="exact"/>
        <w:ind w:firstLine="480" w:firstLineChars="200"/>
        <w:rPr>
          <w:rFonts w:ascii="宋体"/>
          <w:sz w:val="24"/>
        </w:rPr>
      </w:pPr>
      <w:r>
        <w:rPr>
          <w:rFonts w:hint="eastAsia" w:ascii="宋体"/>
          <w:sz w:val="24"/>
        </w:rPr>
        <w:t>22.2 开标时，可根据具体情况邀请有关监督管理部门对开标活动进行现场监督。</w:t>
      </w:r>
    </w:p>
    <w:p>
      <w:pPr>
        <w:spacing w:line="400" w:lineRule="exact"/>
        <w:ind w:firstLine="480" w:firstLineChars="200"/>
        <w:rPr>
          <w:rFonts w:ascii="宋体"/>
          <w:sz w:val="24"/>
        </w:rPr>
      </w:pPr>
      <w:r>
        <w:rPr>
          <w:rFonts w:hint="eastAsia" w:ascii="宋体"/>
          <w:sz w:val="24"/>
        </w:rPr>
        <w:t>22.3 开标时，由投标人或者其推选的代表检查其自己递交的投标文件的密封情况，经确认无误后，由招标工作人员将投标人单独递交的“开标一览表”当众拆封，并由唱标人员按照招标文件规定的内容进行宣读。</w:t>
      </w:r>
    </w:p>
    <w:p>
      <w:pPr>
        <w:spacing w:line="400" w:lineRule="exact"/>
        <w:ind w:firstLine="480" w:firstLineChars="200"/>
        <w:rPr>
          <w:rFonts w:ascii="宋体"/>
          <w:sz w:val="24"/>
        </w:rPr>
      </w:pPr>
      <w:r>
        <w:rPr>
          <w:rFonts w:hint="eastAsia" w:ascii="宋体"/>
          <w:sz w:val="24"/>
        </w:rPr>
        <w:t>投标人或者其推选的代表确认投标文件情况，仅限于确认其自己递交的投标文件的密封情况，不代表对其他投标人的投标文件的密封情况确认。投标人或者其推选的代表对其他投标人的投标文件密封情况有异议的，应当当场反映开标主持人或者现场监督人员，要求开标现场记录人员予以记录，并在评标时予以认定处理，但不得干扰、阻挠开标工作的正常进行。</w:t>
      </w:r>
    </w:p>
    <w:p>
      <w:pPr>
        <w:spacing w:line="400" w:lineRule="exact"/>
        <w:ind w:firstLine="480" w:firstLineChars="200"/>
        <w:rPr>
          <w:rFonts w:ascii="宋体"/>
          <w:sz w:val="24"/>
        </w:rPr>
      </w:pPr>
      <w:r>
        <w:rPr>
          <w:rFonts w:hint="eastAsia" w:ascii="宋体"/>
          <w:sz w:val="24"/>
        </w:rPr>
        <w:t>22.4 投标文件中相关内容与“开标一览表”不一致的，以“开标一览表”为准。对不同文字文本投标文件的解释发生异议的，以中文文本为准。</w:t>
      </w:r>
    </w:p>
    <w:p>
      <w:pPr>
        <w:spacing w:line="400" w:lineRule="exact"/>
        <w:ind w:firstLine="480" w:firstLineChars="200"/>
        <w:rPr>
          <w:rFonts w:ascii="宋体"/>
          <w:sz w:val="24"/>
        </w:rPr>
      </w:pPr>
      <w:r>
        <w:rPr>
          <w:rFonts w:hint="eastAsia" w:ascii="宋体"/>
          <w:sz w:val="24"/>
        </w:rPr>
        <w:t>22.5 所有投标唱标完毕，如投标人代表对宣读的“开标一览表”上的内容有异议的，应在获得开标会主持人同意后当场提出。如确实属于唱标人员宣读错了的，当场予以更正。</w:t>
      </w:r>
    </w:p>
    <w:p>
      <w:pPr>
        <w:spacing w:line="400" w:lineRule="exact"/>
        <w:ind w:firstLine="480" w:firstLineChars="200"/>
        <w:rPr>
          <w:rFonts w:ascii="宋体"/>
          <w:sz w:val="24"/>
        </w:rPr>
      </w:pPr>
      <w:r>
        <w:rPr>
          <w:rFonts w:hint="eastAsia" w:ascii="宋体"/>
          <w:sz w:val="24"/>
        </w:rPr>
        <w:t>22.6 投标人未参加开标的，视同认可开标结果。</w:t>
      </w:r>
    </w:p>
    <w:p>
      <w:pPr>
        <w:pStyle w:val="6"/>
        <w:spacing w:line="400" w:lineRule="exact"/>
        <w:ind w:firstLine="482" w:firstLineChars="200"/>
        <w:rPr>
          <w:rFonts w:ascii="宋体"/>
          <w:sz w:val="24"/>
        </w:rPr>
      </w:pPr>
      <w:bookmarkStart w:id="110" w:name="_Toc308164807"/>
      <w:bookmarkStart w:id="111" w:name="_Toc217446058"/>
      <w:r>
        <w:rPr>
          <w:rFonts w:hint="eastAsia" w:ascii="宋体"/>
          <w:sz w:val="24"/>
        </w:rPr>
        <w:t>23. 开标程序</w:t>
      </w:r>
      <w:bookmarkEnd w:id="110"/>
      <w:bookmarkEnd w:id="111"/>
    </w:p>
    <w:p>
      <w:pPr>
        <w:spacing w:line="400" w:lineRule="exact"/>
        <w:ind w:firstLine="480" w:firstLineChars="200"/>
        <w:rPr>
          <w:rFonts w:ascii="宋体"/>
          <w:sz w:val="24"/>
        </w:rPr>
      </w:pPr>
      <w:r>
        <w:rPr>
          <w:rFonts w:hint="eastAsia" w:ascii="宋体"/>
          <w:sz w:val="24"/>
        </w:rPr>
        <w:t>23.1 开标会主持人按照招标文件规定的开标时间宣布开标，按照规定要求主持开标会。开标将按以下程序进行：</w:t>
      </w:r>
    </w:p>
    <w:p>
      <w:pPr>
        <w:spacing w:line="400" w:lineRule="exact"/>
        <w:ind w:firstLine="480" w:firstLineChars="200"/>
        <w:rPr>
          <w:rFonts w:ascii="宋体"/>
          <w:sz w:val="24"/>
        </w:rPr>
      </w:pPr>
      <w:r>
        <w:rPr>
          <w:rFonts w:hint="eastAsia" w:ascii="宋体"/>
          <w:sz w:val="24"/>
        </w:rPr>
        <w:t>（1）宣布开标会开始。当众宣布参加开标会主持人、唱标人、会议记录人以及根据情况邀请的现场监督人等工作人员，根据“供应商签到表”宣布参加投标的供应商名单。</w:t>
      </w:r>
    </w:p>
    <w:p>
      <w:pPr>
        <w:spacing w:line="400" w:lineRule="exact"/>
        <w:ind w:firstLine="480" w:firstLineChars="200"/>
        <w:rPr>
          <w:rFonts w:ascii="宋体"/>
          <w:sz w:val="24"/>
        </w:rPr>
      </w:pPr>
      <w:r>
        <w:rPr>
          <w:rFonts w:hint="eastAsia" w:ascii="宋体"/>
          <w:sz w:val="24"/>
        </w:rPr>
        <w:t>（2）根据投标人或者其推选的代表对投标文件密封的检查结果，当众宣布投标文件的密封情况。</w:t>
      </w:r>
    </w:p>
    <w:p>
      <w:pPr>
        <w:spacing w:line="400" w:lineRule="exact"/>
        <w:ind w:firstLine="480" w:firstLineChars="200"/>
        <w:rPr>
          <w:rFonts w:ascii="宋体"/>
          <w:sz w:val="24"/>
        </w:rPr>
      </w:pPr>
      <w:r>
        <w:rPr>
          <w:rFonts w:hint="eastAsia" w:ascii="宋体"/>
          <w:sz w:val="24"/>
        </w:rPr>
        <w:t>（3）开标唱标。主持人宣布开标后，由现场工作人员按任意顺序对投标人的投标文件当众进行拆封，由唱标人员宣读投标人名称、投标价格（价格折扣）、或招标文件允许提供的备选投标方案和投标文件的其他主要内容。未宣读的投标价格（价格折扣）或招标文件允许提供的备选投标方案等实质内容，评标时不予承认。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应当当场提出，并要求会议记录人在开标记录中予以记录，或者另行提供书面异议资料，不签字又不提出异议的，视同认可唱标内容和结果，且不得干扰、阻挠开（唱）标、评标工作。</w:t>
      </w:r>
    </w:p>
    <w:p>
      <w:pPr>
        <w:spacing w:line="400" w:lineRule="exact"/>
        <w:ind w:firstLine="480" w:firstLineChars="200"/>
        <w:rPr>
          <w:rFonts w:ascii="宋体"/>
          <w:sz w:val="24"/>
        </w:rPr>
      </w:pPr>
      <w:r>
        <w:rPr>
          <w:rFonts w:hint="eastAsia" w:ascii="宋体"/>
          <w:sz w:val="24"/>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评标结果投标人在中国采购与招标网上查询。</w:t>
      </w:r>
    </w:p>
    <w:p>
      <w:pPr>
        <w:pStyle w:val="6"/>
        <w:spacing w:line="400" w:lineRule="exact"/>
        <w:ind w:firstLine="482" w:firstLineChars="200"/>
        <w:rPr>
          <w:rFonts w:ascii="宋体"/>
          <w:sz w:val="24"/>
        </w:rPr>
      </w:pPr>
      <w:bookmarkStart w:id="112" w:name="_Toc183582238"/>
      <w:bookmarkStart w:id="113" w:name="_Toc183682375"/>
      <w:bookmarkStart w:id="114" w:name="_Toc217446063"/>
      <w:bookmarkStart w:id="115" w:name="_Toc308164809"/>
      <w:r>
        <w:rPr>
          <w:rFonts w:hint="eastAsia" w:ascii="宋体"/>
          <w:sz w:val="24"/>
        </w:rPr>
        <w:t>24.评标情况公告</w:t>
      </w:r>
    </w:p>
    <w:p>
      <w:pPr>
        <w:spacing w:line="400" w:lineRule="exact"/>
        <w:ind w:firstLine="480" w:firstLineChars="200"/>
        <w:rPr>
          <w:rFonts w:ascii="宋体"/>
          <w:sz w:val="24"/>
        </w:rPr>
      </w:pPr>
      <w:r>
        <w:rPr>
          <w:rFonts w:hint="eastAsia" w:ascii="宋体"/>
          <w:sz w:val="24"/>
        </w:rPr>
        <w:t>所有供应商投标文件资格性、符合性检查情况、采用综合评分法时的总得分和分项汇总得分情况、评标结果等将在中国采购与招标网上采购结果公告栏中予以公告。</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25.采购人确定中标人过程中，发现中标候选人有下列情形之一的，应当不予确定其为中标人：</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（1）发现中标候选人存在禁止参加本项目采购活动的违法行为的；</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（2）中标候选人因不可抗力，不能继续参加政府采购活动；</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（3）中标候选人无偿赠与或者低于成本价竞争；</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（4）中标候选人提供虚假材料；</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（5</w:t>
      </w:r>
      <w:r>
        <w:rPr>
          <w:rFonts w:ascii="宋体" w:hAnsi="宋体" w:eastAsia="宋体"/>
          <w:b w:val="0"/>
          <w:sz w:val="24"/>
          <w:szCs w:val="24"/>
        </w:rPr>
        <w:t>）</w:t>
      </w:r>
      <w:r>
        <w:rPr>
          <w:rFonts w:hint="eastAsia" w:ascii="宋体" w:hAnsi="宋体" w:eastAsia="宋体"/>
          <w:b w:val="0"/>
          <w:sz w:val="24"/>
          <w:szCs w:val="24"/>
        </w:rPr>
        <w:t>中标候选人恶意串通。</w:t>
      </w:r>
    </w:p>
    <w:p>
      <w:pPr>
        <w:pStyle w:val="6"/>
        <w:spacing w:line="400" w:lineRule="exact"/>
        <w:ind w:firstLine="482" w:firstLineChars="200"/>
        <w:rPr>
          <w:rFonts w:ascii="宋体"/>
          <w:bCs w:val="0"/>
          <w:sz w:val="24"/>
          <w:szCs w:val="24"/>
        </w:rPr>
      </w:pPr>
      <w:r>
        <w:rPr>
          <w:rFonts w:hint="eastAsia" w:ascii="宋体"/>
          <w:bCs w:val="0"/>
          <w:sz w:val="24"/>
          <w:szCs w:val="24"/>
        </w:rPr>
        <w:t>26.中标通知</w:t>
      </w:r>
      <w:bookmarkEnd w:id="112"/>
      <w:bookmarkEnd w:id="113"/>
      <w:r>
        <w:rPr>
          <w:rFonts w:hint="eastAsia" w:ascii="宋体"/>
          <w:bCs w:val="0"/>
          <w:sz w:val="24"/>
          <w:szCs w:val="24"/>
        </w:rPr>
        <w:t>书</w:t>
      </w:r>
      <w:bookmarkEnd w:id="114"/>
      <w:bookmarkEnd w:id="115"/>
    </w:p>
    <w:p>
      <w:pPr>
        <w:tabs>
          <w:tab w:val="left" w:pos="7665"/>
        </w:tabs>
        <w:spacing w:line="400" w:lineRule="exact"/>
        <w:ind w:firstLine="480" w:firstLineChars="200"/>
        <w:rPr>
          <w:rFonts w:ascii="宋体"/>
          <w:sz w:val="24"/>
        </w:rPr>
      </w:pPr>
      <w:r>
        <w:rPr>
          <w:rFonts w:hint="eastAsia" w:ascii="宋体"/>
          <w:sz w:val="24"/>
        </w:rPr>
        <w:t>26</w:t>
      </w:r>
      <w:r>
        <w:rPr>
          <w:rFonts w:hint="eastAsia" w:ascii="宋体"/>
          <w:bCs/>
          <w:sz w:val="24"/>
        </w:rPr>
        <w:t>.</w:t>
      </w:r>
      <w:r>
        <w:rPr>
          <w:rFonts w:hint="eastAsia" w:ascii="宋体"/>
          <w:sz w:val="24"/>
        </w:rPr>
        <w:t>1 中标通知书为签订采购合同的依据之一，是合同的有效组成部分。</w:t>
      </w:r>
    </w:p>
    <w:p>
      <w:pPr>
        <w:tabs>
          <w:tab w:val="left" w:pos="7665"/>
        </w:tabs>
        <w:spacing w:line="400" w:lineRule="exact"/>
        <w:ind w:firstLine="480"/>
        <w:rPr>
          <w:rFonts w:ascii="宋体"/>
          <w:sz w:val="24"/>
        </w:rPr>
      </w:pPr>
      <w:r>
        <w:rPr>
          <w:rFonts w:hint="eastAsia" w:ascii="宋体"/>
          <w:sz w:val="24"/>
        </w:rPr>
        <w:t>26.2 中标通知书对采购人和中标人均具有法律效力。中标通知书发出后，采购人改变中标结果，或者中标人无正当理由放弃中标的，应当承担相应的法律责任。</w:t>
      </w:r>
    </w:p>
    <w:p>
      <w:pPr>
        <w:tabs>
          <w:tab w:val="left" w:pos="7665"/>
        </w:tabs>
        <w:spacing w:line="400" w:lineRule="exact"/>
        <w:ind w:firstLine="480"/>
        <w:rPr>
          <w:rFonts w:ascii="宋体"/>
          <w:sz w:val="24"/>
        </w:rPr>
      </w:pPr>
      <w:r>
        <w:rPr>
          <w:rFonts w:hint="eastAsia" w:ascii="宋体"/>
          <w:sz w:val="24"/>
        </w:rPr>
        <w:t>26．3中标人的投标文件本应作为无效投标处理或者有政府采购法律法规规章制度规定的中标无效情形的，招标采购单位在取得有权主体的认定以后，将宣布发出的中标通知书无效，并收回发出的中标通知书（中标人也应当交回），依法重新确定中标人或者重新开展采购活动。</w:t>
      </w:r>
    </w:p>
    <w:p>
      <w:pPr>
        <w:tabs>
          <w:tab w:val="left" w:pos="7665"/>
        </w:tabs>
        <w:spacing w:line="400" w:lineRule="exact"/>
        <w:ind w:firstLine="480"/>
        <w:rPr>
          <w:rFonts w:ascii="宋体"/>
          <w:sz w:val="24"/>
        </w:rPr>
      </w:pPr>
      <w:r>
        <w:rPr>
          <w:rFonts w:hint="eastAsia" w:ascii="宋体"/>
          <w:sz w:val="24"/>
        </w:rPr>
        <w:t>26.4中标公告发出后，中标供应商自行领取中标通知书的，可凭有效身份证明证件到采购代理机构办理。</w:t>
      </w:r>
    </w:p>
    <w:p>
      <w:pPr>
        <w:pStyle w:val="4"/>
        <w:spacing w:line="400" w:lineRule="exact"/>
        <w:jc w:val="center"/>
        <w:rPr>
          <w:rFonts w:ascii="黑体"/>
          <w:szCs w:val="28"/>
        </w:rPr>
      </w:pPr>
      <w:bookmarkStart w:id="116" w:name="_Toc308164810"/>
      <w:bookmarkStart w:id="117" w:name="_Toc217446064"/>
      <w:bookmarkStart w:id="118" w:name="_Toc183682377"/>
      <w:bookmarkStart w:id="119" w:name="_Toc183582240"/>
      <w:r>
        <w:rPr>
          <w:rFonts w:hint="eastAsia" w:ascii="黑体"/>
          <w:szCs w:val="28"/>
        </w:rPr>
        <w:t>六、签订及履行合同和验收</w:t>
      </w:r>
      <w:bookmarkEnd w:id="116"/>
      <w:bookmarkEnd w:id="117"/>
    </w:p>
    <w:p>
      <w:pPr>
        <w:pStyle w:val="6"/>
        <w:spacing w:line="400" w:lineRule="exact"/>
        <w:ind w:firstLine="482" w:firstLineChars="200"/>
        <w:rPr>
          <w:rFonts w:ascii="宋体"/>
          <w:b w:val="0"/>
          <w:sz w:val="24"/>
          <w:szCs w:val="24"/>
        </w:rPr>
      </w:pPr>
      <w:bookmarkStart w:id="120" w:name="_Toc217446065"/>
      <w:bookmarkStart w:id="121" w:name="_Toc308164811"/>
      <w:r>
        <w:rPr>
          <w:rFonts w:hint="eastAsia" w:ascii="宋体"/>
          <w:sz w:val="24"/>
        </w:rPr>
        <w:t>27.</w:t>
      </w:r>
      <w:r>
        <w:rPr>
          <w:rFonts w:hint="eastAsia" w:ascii="宋体"/>
          <w:sz w:val="24"/>
          <w:szCs w:val="24"/>
        </w:rPr>
        <w:t>签订合同</w:t>
      </w:r>
      <w:bookmarkEnd w:id="120"/>
      <w:bookmarkEnd w:id="121"/>
    </w:p>
    <w:p>
      <w:pPr>
        <w:spacing w:line="400" w:lineRule="exact"/>
        <w:ind w:firstLine="480" w:firstLineChars="200"/>
        <w:rPr>
          <w:rFonts w:ascii="宋体"/>
          <w:sz w:val="24"/>
        </w:rPr>
      </w:pPr>
      <w:r>
        <w:rPr>
          <w:rFonts w:hint="eastAsia" w:ascii="宋体"/>
          <w:sz w:val="24"/>
        </w:rPr>
        <w:t>27.1 中标人应在中标通知书发出之日起三十日内与采购人签订采购合同。由于中标人的原因逾期未与采购人签订采购合同的，将视为放弃中标，取消其中标资格并将按相关规定进行处理。</w:t>
      </w:r>
    </w:p>
    <w:p>
      <w:pPr>
        <w:spacing w:line="400" w:lineRule="exact"/>
        <w:ind w:firstLine="420" w:firstLineChars="175"/>
        <w:rPr>
          <w:rFonts w:ascii="宋体"/>
          <w:sz w:val="24"/>
        </w:rPr>
      </w:pPr>
      <w:r>
        <w:rPr>
          <w:rFonts w:hint="eastAsia" w:ascii="宋体"/>
          <w:sz w:val="24"/>
        </w:rPr>
        <w:t>27.2 采购人不得向中标人提出任何不合理的要求，作为签订合同的条件，不得与中标人私下订立背离合同实质性内容的任何协议，所签订的合同不得对招标文件和中标人投标文件确定的事项进行实质性修改。</w:t>
      </w:r>
    </w:p>
    <w:p>
      <w:pPr>
        <w:spacing w:line="400" w:lineRule="exact"/>
        <w:ind w:firstLine="420" w:firstLineChars="175"/>
        <w:rPr>
          <w:rFonts w:ascii="宋体"/>
          <w:sz w:val="24"/>
        </w:rPr>
      </w:pPr>
      <w:r>
        <w:rPr>
          <w:rFonts w:hint="eastAsia" w:ascii="宋体"/>
          <w:sz w:val="24"/>
        </w:rPr>
        <w:t>27.3 中标人拒绝与采购人签订合同的，采购人可以按照评审报告推荐的中标候选人名单排序，确定下一候选人为中标供应商，也可以重新开展采购活动。</w:t>
      </w:r>
    </w:p>
    <w:p>
      <w:pPr>
        <w:spacing w:line="400" w:lineRule="exact"/>
        <w:ind w:firstLine="420" w:firstLineChars="175"/>
        <w:rPr>
          <w:rFonts w:ascii="宋体"/>
          <w:sz w:val="24"/>
        </w:rPr>
      </w:pPr>
      <w:r>
        <w:rPr>
          <w:rFonts w:hint="eastAsia" w:ascii="宋体"/>
          <w:sz w:val="24"/>
        </w:rPr>
        <w:t>27.4 中标人在合同签订之后三个工作日内，将签订的合同（一式壹份）送采购代理机构。中标人应及时到采购代理机构办理。（详见须知附表中联系方式）</w:t>
      </w:r>
    </w:p>
    <w:p>
      <w:pPr>
        <w:pStyle w:val="4"/>
        <w:spacing w:line="400" w:lineRule="exact"/>
        <w:ind w:firstLine="482" w:firstLineChars="200"/>
        <w:rPr>
          <w:rFonts w:ascii="宋体" w:eastAsia="宋体"/>
          <w:sz w:val="24"/>
          <w:szCs w:val="24"/>
        </w:rPr>
      </w:pPr>
      <w:r>
        <w:rPr>
          <w:rFonts w:hint="eastAsia" w:ascii="宋体" w:eastAsia="宋体"/>
          <w:sz w:val="24"/>
          <w:szCs w:val="24"/>
        </w:rPr>
        <w:t>28. 合同分包（实质性要求）</w:t>
      </w:r>
    </w:p>
    <w:p>
      <w:pPr>
        <w:spacing w:line="400" w:lineRule="exact"/>
        <w:ind w:firstLine="480" w:firstLineChars="200"/>
        <w:rPr>
          <w:rFonts w:ascii="宋体"/>
          <w:sz w:val="24"/>
        </w:rPr>
      </w:pPr>
      <w:r>
        <w:rPr>
          <w:rFonts w:hint="eastAsia" w:ascii="宋体"/>
          <w:sz w:val="24"/>
        </w:rPr>
        <w:t>28.1 经采购人同意，中标人可以依法采取分包方式履行合同。这种要求应当在合同签订之前征得采购人同意，并且分包供应商履行的分包项目的品牌、规格型号及技术要求等，必须与中标的一致。</w:t>
      </w:r>
    </w:p>
    <w:p>
      <w:pPr>
        <w:spacing w:line="400" w:lineRule="exact"/>
        <w:ind w:firstLine="480" w:firstLineChars="200"/>
        <w:rPr>
          <w:rFonts w:ascii="宋体"/>
          <w:sz w:val="24"/>
        </w:rPr>
      </w:pPr>
      <w:r>
        <w:rPr>
          <w:rFonts w:hint="eastAsia" w:ascii="宋体"/>
          <w:sz w:val="24"/>
        </w:rPr>
        <w:t>分包履行合同的部分应当为采购项目的非主体、非关键性工作，不属于中标人的主要合同义务。投标人根据招标文件的规定和采购项目的实际情况，拟在中标后将中标项目的非主体、非关键性工作分包的，应当在投标文件中载明分包承担主体，分包承担主体应当具备相应资质条件且不得再次分包。</w:t>
      </w:r>
    </w:p>
    <w:p>
      <w:pPr>
        <w:spacing w:line="400" w:lineRule="exact"/>
        <w:ind w:firstLine="480" w:firstLineChars="200"/>
        <w:rPr>
          <w:rFonts w:ascii="宋体"/>
          <w:sz w:val="24"/>
        </w:rPr>
      </w:pPr>
      <w:r>
        <w:rPr>
          <w:rFonts w:hint="eastAsia" w:ascii="宋体"/>
          <w:sz w:val="24"/>
        </w:rPr>
        <w:t>28.2 采购合同实行分包履行的，中标人就采购项目和分包项目向采购人负责，分包供应商就分包项目承担责任。</w:t>
      </w:r>
    </w:p>
    <w:p>
      <w:pPr>
        <w:spacing w:line="400" w:lineRule="exact"/>
        <w:ind w:firstLine="540" w:firstLineChars="225"/>
        <w:rPr>
          <w:rFonts w:ascii="宋体"/>
          <w:sz w:val="24"/>
        </w:rPr>
      </w:pPr>
      <w:r>
        <w:rPr>
          <w:rFonts w:hint="eastAsia" w:ascii="宋体"/>
          <w:sz w:val="24"/>
        </w:rPr>
        <w:t>28.3 中小企业依据《政府采购促进中小企业发展暂行办法》（财库[2011]181号）规定的政策获取政府采购合同后，小型、微型企业不得分包或转包给大型、中型企业，中型企业不得分包或转包给大型企业。</w:t>
      </w:r>
    </w:p>
    <w:p>
      <w:pPr>
        <w:pStyle w:val="4"/>
        <w:spacing w:line="400" w:lineRule="exact"/>
        <w:ind w:firstLine="482" w:firstLineChars="200"/>
        <w:rPr>
          <w:rFonts w:ascii="宋体" w:eastAsia="宋体"/>
          <w:sz w:val="24"/>
          <w:szCs w:val="24"/>
        </w:rPr>
      </w:pPr>
      <w:r>
        <w:rPr>
          <w:rFonts w:hint="eastAsia" w:ascii="宋体" w:eastAsia="宋体"/>
          <w:sz w:val="24"/>
          <w:szCs w:val="24"/>
        </w:rPr>
        <w:t>29.合同转包（实质性要求）</w:t>
      </w:r>
    </w:p>
    <w:p>
      <w:pPr>
        <w:spacing w:line="400" w:lineRule="exact"/>
        <w:ind w:firstLine="540" w:firstLineChars="225"/>
        <w:rPr>
          <w:rFonts w:ascii="宋体"/>
          <w:sz w:val="24"/>
        </w:rPr>
      </w:pPr>
      <w:r>
        <w:rPr>
          <w:rFonts w:hint="eastAsia" w:ascii="宋体"/>
          <w:sz w:val="24"/>
        </w:rPr>
        <w:t>本采购项目严禁中标人将任何采购合同义务转包。本项目所称转包，是指中标人将采购合同义务转让给第三人，并退出现有采购合同当事人双方的权利义务关系，受让人（即第三人）成为采购合同的另一方当事人的行为。</w:t>
      </w:r>
    </w:p>
    <w:p>
      <w:pPr>
        <w:spacing w:line="400" w:lineRule="exact"/>
        <w:ind w:firstLine="540" w:firstLineChars="225"/>
        <w:rPr>
          <w:rFonts w:ascii="宋体"/>
          <w:sz w:val="24"/>
        </w:rPr>
      </w:pPr>
      <w:r>
        <w:rPr>
          <w:rFonts w:hint="eastAsia" w:ascii="宋体"/>
          <w:sz w:val="24"/>
        </w:rPr>
        <w:t>中标人转包的，视同拒绝履行采购合同义务，将依法追究法律责任。</w:t>
      </w:r>
    </w:p>
    <w:p>
      <w:pPr>
        <w:pStyle w:val="4"/>
        <w:spacing w:line="400" w:lineRule="exact"/>
        <w:ind w:firstLine="482" w:firstLineChars="200"/>
        <w:rPr>
          <w:rFonts w:ascii="宋体" w:eastAsia="宋体"/>
          <w:sz w:val="24"/>
          <w:szCs w:val="24"/>
        </w:rPr>
      </w:pPr>
      <w:bookmarkStart w:id="122" w:name="_Toc217446066"/>
      <w:r>
        <w:rPr>
          <w:rFonts w:hint="eastAsia" w:ascii="宋体" w:eastAsia="宋体"/>
          <w:sz w:val="24"/>
          <w:szCs w:val="24"/>
        </w:rPr>
        <w:t>30.</w:t>
      </w:r>
      <w:bookmarkEnd w:id="122"/>
      <w:r>
        <w:rPr>
          <w:rFonts w:hint="eastAsia" w:ascii="宋体" w:eastAsia="宋体"/>
          <w:sz w:val="24"/>
          <w:szCs w:val="24"/>
        </w:rPr>
        <w:t xml:space="preserve"> 补充合同</w:t>
      </w:r>
    </w:p>
    <w:p>
      <w:pPr>
        <w:spacing w:line="400" w:lineRule="exact"/>
        <w:ind w:firstLine="480" w:firstLineChars="200"/>
        <w:rPr>
          <w:rFonts w:ascii="宋体"/>
          <w:sz w:val="24"/>
        </w:rPr>
      </w:pPr>
      <w:r>
        <w:rPr>
          <w:rFonts w:hint="eastAsia" w:ascii="宋体"/>
          <w:sz w:val="24"/>
        </w:rPr>
        <w:t xml:space="preserve">采购合同履行过程中，采购人需要追加与合同标的相同的货物或者服务的，在不改变合同其他条款的前提下，可以与中标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pStyle w:val="6"/>
        <w:spacing w:line="400" w:lineRule="exact"/>
        <w:ind w:firstLine="482" w:firstLineChars="200"/>
        <w:rPr>
          <w:rFonts w:ascii="宋体"/>
          <w:b w:val="0"/>
          <w:sz w:val="24"/>
          <w:szCs w:val="24"/>
        </w:rPr>
      </w:pPr>
      <w:bookmarkStart w:id="123" w:name="_Toc217446068"/>
      <w:bookmarkStart w:id="124" w:name="_Toc308164812"/>
      <w:r>
        <w:rPr>
          <w:rFonts w:hint="eastAsia" w:ascii="宋体"/>
          <w:sz w:val="24"/>
          <w:szCs w:val="24"/>
        </w:rPr>
        <w:t>31</w:t>
      </w:r>
      <w:r>
        <w:rPr>
          <w:rFonts w:hint="eastAsia" w:ascii="宋体"/>
          <w:b w:val="0"/>
          <w:sz w:val="24"/>
          <w:szCs w:val="24"/>
        </w:rPr>
        <w:t xml:space="preserve">. </w:t>
      </w:r>
      <w:r>
        <w:rPr>
          <w:rFonts w:hint="eastAsia" w:ascii="宋体"/>
          <w:sz w:val="24"/>
          <w:szCs w:val="24"/>
        </w:rPr>
        <w:t>履约保证金</w:t>
      </w:r>
      <w:bookmarkEnd w:id="123"/>
      <w:bookmarkEnd w:id="124"/>
    </w:p>
    <w:p>
      <w:pPr>
        <w:spacing w:line="400" w:lineRule="exact"/>
        <w:ind w:firstLine="480" w:firstLineChars="200"/>
        <w:rPr>
          <w:rFonts w:ascii="宋体"/>
          <w:sz w:val="24"/>
        </w:rPr>
      </w:pPr>
      <w:r>
        <w:rPr>
          <w:rFonts w:hint="eastAsia" w:ascii="宋体"/>
          <w:sz w:val="24"/>
        </w:rPr>
        <w:t>31.1 中标人应在合同签订之前交纳招标文件规定数额的履约保证金。</w:t>
      </w:r>
    </w:p>
    <w:p>
      <w:pPr>
        <w:spacing w:line="400" w:lineRule="exact"/>
        <w:ind w:firstLine="480" w:firstLineChars="200"/>
        <w:rPr>
          <w:rFonts w:ascii="宋体"/>
          <w:sz w:val="24"/>
        </w:rPr>
      </w:pPr>
      <w:r>
        <w:rPr>
          <w:rFonts w:hint="eastAsia" w:ascii="宋体"/>
          <w:sz w:val="24"/>
        </w:rPr>
        <w:t>31.2 如果中标人在规定的合同签订时间内，没有按照招标文件的规定交纳履约保证金，且又无正当理由的，将视为放弃中标。</w:t>
      </w:r>
    </w:p>
    <w:p>
      <w:pPr>
        <w:pStyle w:val="6"/>
        <w:spacing w:line="400" w:lineRule="exact"/>
        <w:ind w:firstLine="482" w:firstLineChars="200"/>
        <w:rPr>
          <w:rFonts w:ascii="宋体"/>
          <w:b w:val="0"/>
          <w:sz w:val="24"/>
          <w:szCs w:val="24"/>
        </w:rPr>
      </w:pPr>
      <w:bookmarkStart w:id="125" w:name="_Toc217446069"/>
      <w:bookmarkStart w:id="126" w:name="_Toc308164813"/>
      <w:r>
        <w:rPr>
          <w:rFonts w:hint="eastAsia" w:ascii="宋体"/>
          <w:sz w:val="24"/>
          <w:szCs w:val="24"/>
        </w:rPr>
        <w:t>32. 履行合同</w:t>
      </w:r>
      <w:bookmarkEnd w:id="125"/>
      <w:bookmarkEnd w:id="126"/>
    </w:p>
    <w:p>
      <w:pPr>
        <w:spacing w:line="400" w:lineRule="exact"/>
        <w:ind w:firstLine="480" w:firstLineChars="200"/>
        <w:rPr>
          <w:rFonts w:ascii="宋体"/>
          <w:sz w:val="24"/>
        </w:rPr>
      </w:pPr>
      <w:r>
        <w:rPr>
          <w:rFonts w:hint="eastAsia" w:ascii="宋体"/>
          <w:sz w:val="24"/>
        </w:rPr>
        <w:t>32.1 中标人与采购人签订合同后，合同双方应严格执行合同条款，履行合同规定的义务，保证合同的顺利完成。</w:t>
      </w:r>
    </w:p>
    <w:p>
      <w:pPr>
        <w:spacing w:line="400" w:lineRule="exact"/>
        <w:ind w:firstLine="480" w:firstLineChars="200"/>
        <w:rPr>
          <w:rFonts w:ascii="宋体"/>
          <w:sz w:val="24"/>
        </w:rPr>
      </w:pPr>
      <w:r>
        <w:rPr>
          <w:rFonts w:hint="eastAsia" w:ascii="宋体"/>
          <w:sz w:val="24"/>
        </w:rPr>
        <w:t>32.2 在合同履行过程中，如发生合同纠纷，合同双方应按照《合同法》的有关规定进行处理。</w:t>
      </w:r>
    </w:p>
    <w:p>
      <w:pPr>
        <w:pStyle w:val="6"/>
        <w:spacing w:line="400" w:lineRule="exact"/>
        <w:ind w:firstLine="482" w:firstLineChars="200"/>
        <w:rPr>
          <w:rFonts w:ascii="宋体"/>
          <w:sz w:val="24"/>
          <w:szCs w:val="24"/>
        </w:rPr>
      </w:pPr>
      <w:bookmarkStart w:id="127" w:name="_Toc217446077"/>
      <w:bookmarkStart w:id="128" w:name="_Toc308164818"/>
      <w:bookmarkStart w:id="129" w:name="_Toc217446071"/>
      <w:r>
        <w:rPr>
          <w:rFonts w:hint="eastAsia" w:ascii="宋体"/>
          <w:sz w:val="24"/>
          <w:szCs w:val="24"/>
        </w:rPr>
        <w:t>34.资金支付</w:t>
      </w:r>
      <w:bookmarkEnd w:id="127"/>
      <w:bookmarkEnd w:id="128"/>
    </w:p>
    <w:p>
      <w:pPr>
        <w:spacing w:line="400" w:lineRule="exact"/>
        <w:ind w:firstLine="480" w:firstLineChars="200"/>
        <w:rPr>
          <w:rFonts w:ascii="宋体"/>
          <w:sz w:val="24"/>
        </w:rPr>
      </w:pPr>
      <w:r>
        <w:rPr>
          <w:rFonts w:hint="eastAsia" w:ascii="宋体"/>
          <w:sz w:val="24"/>
        </w:rPr>
        <w:t>采购人将按照采购合同规定，及时向中标供应商支付采购资金。本项目采购资金付款详见第六章商务要求中付款方式。</w:t>
      </w:r>
    </w:p>
    <w:bookmarkEnd w:id="118"/>
    <w:bookmarkEnd w:id="119"/>
    <w:bookmarkEnd w:id="129"/>
    <w:p>
      <w:pPr>
        <w:pStyle w:val="4"/>
        <w:spacing w:line="400" w:lineRule="exact"/>
        <w:jc w:val="center"/>
        <w:rPr>
          <w:szCs w:val="28"/>
        </w:rPr>
      </w:pPr>
      <w:bookmarkStart w:id="130" w:name="_Toc308164815"/>
      <w:bookmarkStart w:id="131" w:name="_Toc217446074"/>
      <w:bookmarkStart w:id="132" w:name="_Toc183582243"/>
      <w:bookmarkStart w:id="133" w:name="_Toc183682380"/>
      <w:r>
        <w:rPr>
          <w:rFonts w:hint="eastAsia"/>
          <w:szCs w:val="28"/>
        </w:rPr>
        <w:t>七、投标纪律要求</w:t>
      </w:r>
      <w:bookmarkEnd w:id="130"/>
      <w:bookmarkEnd w:id="131"/>
    </w:p>
    <w:p>
      <w:pPr>
        <w:pStyle w:val="6"/>
        <w:spacing w:line="400" w:lineRule="exact"/>
        <w:ind w:firstLine="482" w:firstLineChars="200"/>
        <w:rPr>
          <w:rFonts w:ascii="宋体"/>
          <w:bCs w:val="0"/>
          <w:sz w:val="24"/>
          <w:szCs w:val="24"/>
        </w:rPr>
      </w:pPr>
      <w:bookmarkStart w:id="134" w:name="_Toc217446075"/>
      <w:bookmarkStart w:id="135" w:name="_Toc308164816"/>
      <w:r>
        <w:rPr>
          <w:rFonts w:hint="eastAsia" w:ascii="宋体"/>
          <w:sz w:val="24"/>
        </w:rPr>
        <w:t xml:space="preserve">35. </w:t>
      </w:r>
      <w:r>
        <w:rPr>
          <w:rFonts w:hint="eastAsia" w:ascii="宋体"/>
          <w:bCs w:val="0"/>
          <w:sz w:val="24"/>
          <w:szCs w:val="24"/>
        </w:rPr>
        <w:t>投标人</w:t>
      </w:r>
      <w:bookmarkEnd w:id="134"/>
      <w:bookmarkEnd w:id="135"/>
      <w:r>
        <w:rPr>
          <w:rFonts w:hint="eastAsia" w:ascii="宋体"/>
          <w:bCs w:val="0"/>
          <w:sz w:val="24"/>
          <w:szCs w:val="24"/>
        </w:rPr>
        <w:t>纪律要求</w:t>
      </w:r>
    </w:p>
    <w:p>
      <w:pPr>
        <w:pStyle w:val="5"/>
        <w:spacing w:line="400" w:lineRule="exact"/>
        <w:ind w:firstLine="480"/>
        <w:rPr>
          <w:rFonts w:ascii="宋体"/>
          <w:sz w:val="24"/>
        </w:rPr>
      </w:pPr>
      <w:r>
        <w:rPr>
          <w:rFonts w:hint="eastAsia" w:ascii="宋体"/>
          <w:sz w:val="24"/>
        </w:rPr>
        <w:t>投标人应当遵循公平竞争的原则，不得恶意串通，不得妨碍其他投标人的竞争行为，不得损害采购人或者其他投标人的合法权益。</w:t>
      </w:r>
    </w:p>
    <w:p>
      <w:pPr>
        <w:pStyle w:val="5"/>
        <w:spacing w:line="400" w:lineRule="exact"/>
        <w:ind w:firstLine="480"/>
        <w:rPr>
          <w:rFonts w:ascii="宋体"/>
          <w:sz w:val="24"/>
        </w:rPr>
      </w:pPr>
      <w:r>
        <w:rPr>
          <w:rFonts w:hint="eastAsia" w:ascii="宋体"/>
          <w:sz w:val="24"/>
        </w:rPr>
        <w:t>在评标过程中发现投标人有上述情形的，评标委员会应当认定其投标无效，并书面报告本级财政部门。</w:t>
      </w:r>
    </w:p>
    <w:p>
      <w:pPr>
        <w:spacing w:line="400" w:lineRule="exact"/>
        <w:ind w:firstLine="480" w:firstLineChars="200"/>
        <w:rPr>
          <w:rFonts w:ascii="宋体"/>
          <w:sz w:val="24"/>
        </w:rPr>
      </w:pPr>
      <w:r>
        <w:rPr>
          <w:rFonts w:hint="eastAsia" w:ascii="宋体"/>
          <w:sz w:val="24"/>
        </w:rPr>
        <w:t>35.1 投标人参加本项目投标不得有下列情形：</w:t>
      </w:r>
    </w:p>
    <w:p>
      <w:pPr>
        <w:spacing w:line="400" w:lineRule="exact"/>
        <w:ind w:firstLine="480" w:firstLineChars="200"/>
        <w:rPr>
          <w:rFonts w:ascii="宋体"/>
          <w:sz w:val="24"/>
        </w:rPr>
      </w:pPr>
      <w:r>
        <w:rPr>
          <w:rFonts w:hint="eastAsia" w:ascii="宋体"/>
          <w:sz w:val="24"/>
        </w:rPr>
        <w:t>（1）提供虚假材料谋取中标；</w:t>
      </w:r>
    </w:p>
    <w:p>
      <w:pPr>
        <w:spacing w:line="400" w:lineRule="exact"/>
        <w:ind w:firstLine="480" w:firstLineChars="200"/>
        <w:rPr>
          <w:rFonts w:ascii="宋体"/>
          <w:sz w:val="24"/>
        </w:rPr>
      </w:pPr>
      <w:r>
        <w:rPr>
          <w:rFonts w:hint="eastAsia" w:ascii="宋体"/>
          <w:sz w:val="24"/>
        </w:rPr>
        <w:t>（2）采取不正当手段诋毁、排挤其他投标人；</w:t>
      </w:r>
    </w:p>
    <w:p>
      <w:pPr>
        <w:spacing w:line="400" w:lineRule="exact"/>
        <w:ind w:firstLine="480" w:firstLineChars="200"/>
        <w:rPr>
          <w:rFonts w:ascii="宋体"/>
          <w:sz w:val="24"/>
        </w:rPr>
      </w:pPr>
      <w:r>
        <w:rPr>
          <w:rFonts w:hint="eastAsia" w:ascii="宋体"/>
          <w:sz w:val="24"/>
        </w:rPr>
        <w:t>（3）与招标采购单位、其他投标人恶意串通；</w:t>
      </w:r>
    </w:p>
    <w:p>
      <w:pPr>
        <w:spacing w:line="400" w:lineRule="exact"/>
        <w:ind w:firstLine="480" w:firstLineChars="200"/>
        <w:rPr>
          <w:rFonts w:ascii="宋体"/>
          <w:sz w:val="24"/>
        </w:rPr>
      </w:pPr>
      <w:r>
        <w:rPr>
          <w:rFonts w:hint="eastAsia" w:ascii="宋体"/>
          <w:sz w:val="24"/>
        </w:rPr>
        <w:t>（4）向招标采购单位、评标委员会成员行贿或者提供其他不正当利益；</w:t>
      </w:r>
    </w:p>
    <w:p>
      <w:pPr>
        <w:spacing w:line="400" w:lineRule="exact"/>
        <w:ind w:firstLine="480" w:firstLineChars="200"/>
        <w:rPr>
          <w:rFonts w:ascii="宋体"/>
          <w:sz w:val="24"/>
        </w:rPr>
      </w:pPr>
      <w:r>
        <w:rPr>
          <w:rFonts w:hint="eastAsia" w:ascii="宋体"/>
          <w:sz w:val="24"/>
        </w:rPr>
        <w:t>（5）在招标过程中与招标采购单位进行协商谈判；</w:t>
      </w:r>
    </w:p>
    <w:p>
      <w:pPr>
        <w:spacing w:line="400" w:lineRule="exact"/>
        <w:ind w:firstLine="480" w:firstLineChars="200"/>
        <w:rPr>
          <w:rFonts w:ascii="宋体"/>
          <w:sz w:val="24"/>
        </w:rPr>
      </w:pPr>
      <w:r>
        <w:rPr>
          <w:rFonts w:hint="eastAsia" w:ascii="宋体"/>
          <w:sz w:val="24"/>
        </w:rPr>
        <w:t>（6）中标或者成交后无正当理由拒不与采购人签订政府采购合同；</w:t>
      </w:r>
    </w:p>
    <w:p>
      <w:pPr>
        <w:spacing w:line="400" w:lineRule="exact"/>
        <w:ind w:firstLine="480" w:firstLineChars="200"/>
        <w:rPr>
          <w:rFonts w:ascii="宋体"/>
          <w:sz w:val="24"/>
        </w:rPr>
      </w:pPr>
      <w:r>
        <w:rPr>
          <w:rFonts w:hint="eastAsia" w:ascii="宋体"/>
          <w:sz w:val="24"/>
        </w:rPr>
        <w:t>（7）未按照采购文件确定的事项签订政府采购合同；</w:t>
      </w:r>
    </w:p>
    <w:p>
      <w:pPr>
        <w:spacing w:line="400" w:lineRule="exact"/>
        <w:ind w:firstLine="480" w:firstLineChars="200"/>
        <w:rPr>
          <w:rFonts w:ascii="宋体"/>
          <w:sz w:val="24"/>
        </w:rPr>
      </w:pPr>
      <w:r>
        <w:rPr>
          <w:rFonts w:hint="eastAsia" w:ascii="宋体"/>
          <w:sz w:val="24"/>
        </w:rPr>
        <w:t>（8）将政府采购合同转包或者违规分包；</w:t>
      </w:r>
    </w:p>
    <w:p>
      <w:pPr>
        <w:spacing w:line="400" w:lineRule="exact"/>
        <w:ind w:firstLine="480" w:firstLineChars="200"/>
        <w:rPr>
          <w:rFonts w:ascii="宋体"/>
          <w:sz w:val="24"/>
        </w:rPr>
      </w:pPr>
      <w:r>
        <w:rPr>
          <w:rFonts w:hint="eastAsia" w:ascii="宋体"/>
          <w:sz w:val="24"/>
        </w:rPr>
        <w:t>（9）提供假冒伪劣产品；</w:t>
      </w:r>
    </w:p>
    <w:p>
      <w:pPr>
        <w:spacing w:line="400" w:lineRule="exact"/>
        <w:ind w:firstLine="480" w:firstLineChars="200"/>
        <w:rPr>
          <w:rFonts w:ascii="宋体"/>
          <w:sz w:val="24"/>
        </w:rPr>
      </w:pPr>
      <w:r>
        <w:rPr>
          <w:rFonts w:hint="eastAsia" w:ascii="宋体"/>
          <w:sz w:val="24"/>
        </w:rPr>
        <w:t>（10）擅自变更、中止或者终止政府采购合同；</w:t>
      </w:r>
    </w:p>
    <w:p>
      <w:pPr>
        <w:spacing w:line="400" w:lineRule="exact"/>
        <w:ind w:firstLine="480" w:firstLineChars="200"/>
        <w:rPr>
          <w:rFonts w:ascii="宋体"/>
          <w:sz w:val="24"/>
        </w:rPr>
      </w:pPr>
      <w:r>
        <w:rPr>
          <w:rFonts w:hint="eastAsia" w:ascii="宋体"/>
          <w:sz w:val="24"/>
        </w:rPr>
        <w:t>（11）拒绝有关部门的监督检查或者向监督检查部门提供虚假情况；</w:t>
      </w:r>
    </w:p>
    <w:p>
      <w:pPr>
        <w:spacing w:line="400" w:lineRule="exact"/>
        <w:ind w:firstLine="480" w:firstLineChars="200"/>
        <w:rPr>
          <w:rFonts w:ascii="宋体"/>
          <w:sz w:val="24"/>
        </w:rPr>
      </w:pPr>
      <w:r>
        <w:rPr>
          <w:rFonts w:hint="eastAsia" w:ascii="宋体"/>
          <w:sz w:val="24"/>
        </w:rPr>
        <w:t>（12）法律法规规定的其他情形。</w:t>
      </w:r>
    </w:p>
    <w:p>
      <w:pPr>
        <w:spacing w:line="400" w:lineRule="exact"/>
        <w:ind w:firstLine="480" w:firstLineChars="200"/>
        <w:rPr>
          <w:rFonts w:ascii="宋体"/>
          <w:sz w:val="24"/>
        </w:rPr>
      </w:pPr>
      <w:r>
        <w:rPr>
          <w:rFonts w:hint="eastAsia" w:ascii="宋体"/>
          <w:sz w:val="24"/>
        </w:rPr>
        <w:t>投标人有上述情形的，按照规定追究法律责任，具备（1）-（10）条情形之一的，同时将取消中标资格或者认定中标无效。</w:t>
      </w:r>
      <w:bookmarkEnd w:id="51"/>
    </w:p>
    <w:p>
      <w:pPr>
        <w:spacing w:line="400" w:lineRule="exact"/>
        <w:ind w:firstLine="480" w:firstLineChars="200"/>
        <w:rPr>
          <w:rFonts w:ascii="宋体"/>
          <w:sz w:val="24"/>
        </w:rPr>
      </w:pPr>
      <w:bookmarkStart w:id="136" w:name="PO_默认文件内容_23"/>
      <w:r>
        <w:rPr>
          <w:rFonts w:hint="eastAsia" w:ascii="宋体"/>
          <w:sz w:val="24"/>
        </w:rPr>
        <w:t>35.2 投标人有下列情形之一的，视为投标人串通投标，其投标无效：</w:t>
      </w:r>
    </w:p>
    <w:p>
      <w:pPr>
        <w:spacing w:line="400" w:lineRule="exact"/>
        <w:ind w:firstLine="480" w:firstLineChars="200"/>
        <w:rPr>
          <w:rFonts w:ascii="宋体"/>
          <w:sz w:val="24"/>
        </w:rPr>
      </w:pPr>
      <w:r>
        <w:rPr>
          <w:rFonts w:hint="eastAsia" w:ascii="宋体"/>
          <w:sz w:val="24"/>
        </w:rPr>
        <w:t>（1）不同投标人的投标文件由同一单位或者个人编制；</w:t>
      </w:r>
    </w:p>
    <w:p>
      <w:pPr>
        <w:spacing w:line="400" w:lineRule="exact"/>
        <w:ind w:firstLine="480" w:firstLineChars="200"/>
        <w:rPr>
          <w:rFonts w:ascii="宋体"/>
          <w:sz w:val="24"/>
        </w:rPr>
      </w:pPr>
      <w:r>
        <w:rPr>
          <w:rFonts w:hint="eastAsia" w:ascii="宋体"/>
          <w:sz w:val="24"/>
        </w:rPr>
        <w:t>（2）不同投标人委托同一单位或者个人办理投标事宜；</w:t>
      </w:r>
    </w:p>
    <w:p>
      <w:pPr>
        <w:spacing w:line="400" w:lineRule="exact"/>
        <w:ind w:firstLine="480" w:firstLineChars="200"/>
        <w:rPr>
          <w:rFonts w:ascii="宋体"/>
          <w:sz w:val="24"/>
        </w:rPr>
      </w:pPr>
      <w:r>
        <w:rPr>
          <w:rFonts w:hint="eastAsia" w:ascii="宋体"/>
          <w:sz w:val="24"/>
        </w:rPr>
        <w:t>（3）不同投标人的投标文件载明的项目管理成员或者联系人员为同一人；</w:t>
      </w:r>
    </w:p>
    <w:p>
      <w:pPr>
        <w:spacing w:line="400" w:lineRule="exact"/>
        <w:ind w:firstLine="480" w:firstLineChars="200"/>
        <w:rPr>
          <w:rFonts w:ascii="宋体"/>
          <w:sz w:val="24"/>
        </w:rPr>
      </w:pPr>
      <w:r>
        <w:rPr>
          <w:rFonts w:hint="eastAsia" w:ascii="宋体"/>
          <w:sz w:val="24"/>
        </w:rPr>
        <w:t>（4）不同投标人的投标文件异常一致或者投标报价呈规律性差异；</w:t>
      </w:r>
    </w:p>
    <w:p>
      <w:pPr>
        <w:spacing w:line="400" w:lineRule="exact"/>
        <w:ind w:firstLine="480" w:firstLineChars="200"/>
        <w:rPr>
          <w:rFonts w:ascii="宋体"/>
          <w:sz w:val="24"/>
        </w:rPr>
      </w:pPr>
      <w:r>
        <w:rPr>
          <w:rFonts w:hint="eastAsia" w:ascii="宋体"/>
          <w:sz w:val="24"/>
        </w:rPr>
        <w:t>（5）不同投标人的投标文件相互混装；</w:t>
      </w:r>
    </w:p>
    <w:p>
      <w:pPr>
        <w:spacing w:line="400" w:lineRule="exact"/>
        <w:ind w:firstLine="480" w:firstLineChars="200"/>
        <w:rPr>
          <w:rFonts w:ascii="宋体"/>
          <w:sz w:val="24"/>
        </w:rPr>
      </w:pPr>
      <w:r>
        <w:rPr>
          <w:rFonts w:hint="eastAsia" w:ascii="宋体"/>
          <w:sz w:val="24"/>
        </w:rPr>
        <w:t>（6）不同投标人的投标保证金从同一单位或者个人的账户转出。</w:t>
      </w:r>
    </w:p>
    <w:bookmarkEnd w:id="136"/>
    <w:p>
      <w:pPr>
        <w:pStyle w:val="4"/>
        <w:spacing w:beforeLines="50" w:afterLines="50" w:line="400" w:lineRule="exact"/>
        <w:jc w:val="center"/>
        <w:rPr>
          <w:rFonts w:ascii="黑体"/>
          <w:bCs w:val="0"/>
          <w:szCs w:val="28"/>
        </w:rPr>
      </w:pPr>
      <w:bookmarkStart w:id="137" w:name="_Toc308164819"/>
      <w:bookmarkStart w:id="138" w:name="_Toc217446078"/>
      <w:bookmarkStart w:id="139" w:name="PO_默认文件内容_34"/>
      <w:r>
        <w:rPr>
          <w:rFonts w:hint="eastAsia" w:ascii="黑体"/>
          <w:bCs w:val="0"/>
          <w:szCs w:val="28"/>
        </w:rPr>
        <w:t>八、询问、质疑和投诉</w:t>
      </w:r>
      <w:bookmarkEnd w:id="137"/>
      <w:bookmarkEnd w:id="138"/>
      <w:bookmarkStart w:id="140" w:name="_Toc217446079"/>
    </w:p>
    <w:bookmarkEnd w:id="132"/>
    <w:bookmarkEnd w:id="133"/>
    <w:bookmarkEnd w:id="140"/>
    <w:p>
      <w:pPr>
        <w:widowControl/>
        <w:spacing w:beforeLines="50" w:afterLines="50" w:line="400" w:lineRule="exact"/>
        <w:ind w:firstLine="480" w:firstLineChars="200"/>
        <w:jc w:val="left"/>
        <w:outlineLvl w:val="1"/>
        <w:rPr>
          <w:rFonts w:ascii="宋体"/>
          <w:sz w:val="24"/>
        </w:rPr>
      </w:pPr>
      <w:r>
        <w:rPr>
          <w:rFonts w:hint="eastAsia" w:ascii="宋体"/>
          <w:sz w:val="24"/>
        </w:rPr>
        <w:t>36．询问、质疑、投诉的接收和处理严格按照《中华人民共和国政府采购法》、《中华人民共和国政府采购法实施条例》、《政府采购货物和服务招标投标管理办法》、《政府采购质疑和投诉办法》、《财政部关于加强政府采购供应商投诉受理审查工作的通知》和《四川省政府采购供应商投诉处理工作规程》的规定办理。</w:t>
      </w:r>
    </w:p>
    <w:p>
      <w:pPr>
        <w:pStyle w:val="3"/>
        <w:spacing w:line="240" w:lineRule="atLeast"/>
        <w:ind w:firstLine="2530" w:firstLineChars="700"/>
        <w:rPr>
          <w:rFonts w:ascii="华文中宋" w:hAnsi="华文中宋" w:eastAsia="华文中宋"/>
          <w:sz w:val="36"/>
          <w:szCs w:val="36"/>
        </w:rPr>
      </w:pPr>
      <w:bookmarkStart w:id="141" w:name="_Toc513065348"/>
      <w:bookmarkStart w:id="142" w:name="_Toc1368"/>
      <w:bookmarkStart w:id="143" w:name="_Toc217446083"/>
      <w:r>
        <w:rPr>
          <w:rFonts w:hint="eastAsia" w:ascii="华文中宋" w:hAnsi="华文中宋" w:eastAsia="华文中宋"/>
          <w:sz w:val="36"/>
          <w:szCs w:val="36"/>
        </w:rPr>
        <w:t>第三章  投标文件格式</w:t>
      </w:r>
      <w:bookmarkEnd w:id="141"/>
      <w:bookmarkEnd w:id="142"/>
      <w:bookmarkStart w:id="144" w:name="_Toc308164821"/>
      <w:bookmarkStart w:id="145" w:name="_Toc217446082"/>
    </w:p>
    <w:p>
      <w:pPr>
        <w:widowControl/>
        <w:spacing w:line="360" w:lineRule="atLeast"/>
        <w:ind w:firstLine="470" w:firstLineChars="196"/>
        <w:outlineLvl w:val="1"/>
        <w:rPr>
          <w:rFonts w:ascii="宋体"/>
          <w:sz w:val="24"/>
        </w:rPr>
      </w:pPr>
      <w:r>
        <w:rPr>
          <w:rFonts w:hint="eastAsia" w:ascii="宋体"/>
          <w:sz w:val="24"/>
        </w:rPr>
        <w:t>一、本章所制投标文件格式，除格式中明确将该格式作为实质性要求的，一律不具有强制性，但是，投标人投标文件相关资料和本章所制格式不一致的，评标委员会将在评分时以投标文件不规范予以扣分处理。</w:t>
      </w:r>
    </w:p>
    <w:p>
      <w:pPr>
        <w:widowControl/>
        <w:spacing w:line="360" w:lineRule="atLeast"/>
        <w:ind w:firstLine="470" w:firstLineChars="196"/>
        <w:outlineLvl w:val="1"/>
        <w:rPr>
          <w:rFonts w:ascii="宋体"/>
          <w:sz w:val="24"/>
        </w:rPr>
      </w:pPr>
      <w:r>
        <w:rPr>
          <w:rFonts w:hint="eastAsia" w:ascii="宋体"/>
          <w:sz w:val="24"/>
        </w:rPr>
        <w:t>二、本章所制投标文件格式有关表格中的备注栏，由投标人根据自身投标情况作解释性说明，不作为必填项。</w:t>
      </w:r>
    </w:p>
    <w:p>
      <w:pPr>
        <w:widowControl/>
        <w:spacing w:line="360" w:lineRule="atLeast"/>
        <w:ind w:firstLine="470" w:firstLineChars="196"/>
        <w:outlineLvl w:val="1"/>
        <w:rPr>
          <w:rFonts w:ascii="宋体"/>
          <w:sz w:val="24"/>
        </w:rPr>
      </w:pPr>
      <w:r>
        <w:rPr>
          <w:rFonts w:hint="eastAsia" w:ascii="宋体"/>
          <w:sz w:val="24"/>
        </w:rPr>
        <w:t>三、本章所制投标文件格式中需要填写的相关内容事项，可能会与本采购项目无关，在不改变投标文件原义、不影响本项目采购需求的情况下，投标人可以不予填写，但应当注明。</w:t>
      </w:r>
    </w:p>
    <w:bookmarkEnd w:id="139"/>
    <w:p>
      <w:pPr>
        <w:tabs>
          <w:tab w:val="left" w:pos="900"/>
        </w:tabs>
        <w:spacing w:line="360" w:lineRule="auto"/>
        <w:rPr>
          <w:rFonts w:ascii="黑体" w:eastAsia="黑体"/>
          <w:b/>
          <w:sz w:val="32"/>
          <w:szCs w:val="32"/>
        </w:rPr>
      </w:pPr>
      <w:r>
        <w:rPr>
          <w:rFonts w:hint="eastAsia" w:ascii="黑体" w:eastAsia="黑体"/>
          <w:b/>
          <w:sz w:val="32"/>
          <w:szCs w:val="32"/>
        </w:rPr>
        <w:br w:type="page"/>
      </w:r>
      <w:bookmarkEnd w:id="143"/>
      <w:bookmarkEnd w:id="144"/>
      <w:bookmarkEnd w:id="145"/>
      <w:bookmarkStart w:id="146" w:name="_Toc28495"/>
      <w:bookmarkStart w:id="147" w:name="PO_默认文件内容_26"/>
    </w:p>
    <w:p>
      <w:pPr>
        <w:pStyle w:val="4"/>
        <w:spacing w:line="400" w:lineRule="exact"/>
        <w:jc w:val="center"/>
        <w:rPr>
          <w:rFonts w:ascii="黑体"/>
        </w:rPr>
      </w:pPr>
      <w:bookmarkStart w:id="148" w:name="_Toc501031131"/>
      <w:bookmarkStart w:id="149" w:name="_Toc513065349"/>
      <w:r>
        <w:rPr>
          <w:rFonts w:hint="eastAsia" w:ascii="黑体"/>
        </w:rPr>
        <w:t>一、投标函</w:t>
      </w:r>
      <w:bookmarkEnd w:id="148"/>
    </w:p>
    <w:p>
      <w:pPr>
        <w:pStyle w:val="152"/>
        <w:spacing w:line="460" w:lineRule="exact"/>
        <w:ind w:left="1" w:firstLine="666" w:firstLineChars="196"/>
        <w:rPr>
          <w:szCs w:val="21"/>
        </w:rPr>
      </w:pPr>
    </w:p>
    <w:p>
      <w:pPr>
        <w:pStyle w:val="23"/>
        <w:spacing w:line="400" w:lineRule="exact"/>
        <w:rPr>
          <w:bCs/>
          <w:sz w:val="24"/>
        </w:rPr>
      </w:pPr>
      <w:r>
        <w:rPr>
          <w:rFonts w:hint="eastAsia"/>
          <w:bCs/>
          <w:sz w:val="24"/>
        </w:rPr>
        <w:t>__________________（</w:t>
      </w:r>
      <w:r>
        <w:rPr>
          <w:rFonts w:hint="eastAsia" w:ascii="宋体" w:hAnsi="宋体"/>
          <w:sz w:val="24"/>
        </w:rPr>
        <w:t>采购代理机构</w:t>
      </w:r>
      <w:r>
        <w:rPr>
          <w:rFonts w:hint="eastAsia"/>
          <w:bCs/>
          <w:sz w:val="24"/>
        </w:rPr>
        <w:t>名称）：</w:t>
      </w:r>
    </w:p>
    <w:p>
      <w:pPr>
        <w:pStyle w:val="23"/>
        <w:spacing w:line="400" w:lineRule="exact"/>
        <w:ind w:firstLine="480" w:firstLineChars="200"/>
        <w:rPr>
          <w:bCs/>
          <w:sz w:val="24"/>
        </w:rPr>
      </w:pPr>
      <w:r>
        <w:rPr>
          <w:rFonts w:hint="eastAsia"/>
          <w:bCs/>
          <w:sz w:val="24"/>
        </w:rPr>
        <w:t>我方全面研究了 “</w:t>
      </w:r>
      <w:r>
        <w:rPr>
          <w:rFonts w:hint="eastAsia"/>
          <w:bCs/>
          <w:sz w:val="24"/>
          <w:u w:val="single"/>
        </w:rPr>
        <w:t xml:space="preserve">               </w:t>
      </w:r>
      <w:r>
        <w:rPr>
          <w:rFonts w:hint="eastAsia"/>
          <w:bCs/>
          <w:sz w:val="24"/>
        </w:rPr>
        <w:t>”招标文件（项目编号），决定参加贵单位组织的本项目投标。我方授权</w:t>
      </w:r>
      <w:r>
        <w:rPr>
          <w:rFonts w:hint="eastAsia"/>
          <w:bCs/>
          <w:sz w:val="24"/>
          <w:u w:val="single"/>
        </w:rPr>
        <w:t xml:space="preserve">                  </w:t>
      </w:r>
      <w:r>
        <w:rPr>
          <w:rFonts w:hint="eastAsia"/>
          <w:bCs/>
          <w:sz w:val="24"/>
        </w:rPr>
        <w:t>（姓名、职务）代表我方                        （投标单位的名称）全权处理本项目投标的有关事宜。</w:t>
      </w:r>
    </w:p>
    <w:p>
      <w:pPr>
        <w:pStyle w:val="23"/>
        <w:spacing w:line="400" w:lineRule="exact"/>
        <w:ind w:firstLine="540" w:firstLineChars="225"/>
        <w:rPr>
          <w:bCs/>
          <w:sz w:val="24"/>
        </w:rPr>
      </w:pPr>
      <w:r>
        <w:rPr>
          <w:rFonts w:hint="eastAsia"/>
          <w:bCs/>
          <w:sz w:val="24"/>
        </w:rPr>
        <w:t>1、一旦我方中标，我方将严格履行合同规定的责任和义务，保证于合同签字生效后</w:t>
      </w:r>
      <w:r>
        <w:rPr>
          <w:rFonts w:hint="eastAsia"/>
          <w:bCs/>
          <w:sz w:val="24"/>
          <w:u w:val="single"/>
        </w:rPr>
        <w:t xml:space="preserve"> </w:t>
      </w:r>
      <w:r>
        <w:rPr>
          <w:rFonts w:hint="eastAsia"/>
          <w:bCs/>
          <w:sz w:val="24"/>
        </w:rPr>
        <w:t>日内完成项目的安装、调试，并交付采购人验收、使用。</w:t>
      </w:r>
    </w:p>
    <w:p>
      <w:pPr>
        <w:pStyle w:val="23"/>
        <w:spacing w:line="400" w:lineRule="exact"/>
        <w:ind w:firstLine="480" w:firstLineChars="200"/>
        <w:rPr>
          <w:bCs/>
          <w:sz w:val="24"/>
        </w:rPr>
      </w:pPr>
      <w:r>
        <w:rPr>
          <w:rFonts w:hint="eastAsia"/>
          <w:bCs/>
          <w:sz w:val="24"/>
        </w:rPr>
        <w:t>2、我方为本项目提交的投标文件正本1份，资格证明文件1份、电子文档（U盘）1份，用于开标唱标的“开标一览表”一式两份。</w:t>
      </w:r>
    </w:p>
    <w:p>
      <w:pPr>
        <w:pStyle w:val="23"/>
        <w:spacing w:line="400" w:lineRule="exact"/>
        <w:ind w:firstLine="480" w:firstLineChars="200"/>
        <w:rPr>
          <w:bCs/>
          <w:sz w:val="24"/>
        </w:rPr>
      </w:pPr>
      <w:r>
        <w:rPr>
          <w:rFonts w:hint="eastAsia"/>
          <w:bCs/>
          <w:sz w:val="24"/>
        </w:rPr>
        <w:t>3、我方愿意提供贵中心可能另外要求的，与投标有关的文件资料，并保证我方已提供和将要提供的文件资料是真实、准确的。</w:t>
      </w:r>
    </w:p>
    <w:p>
      <w:pPr>
        <w:pStyle w:val="23"/>
        <w:spacing w:line="400" w:lineRule="exact"/>
        <w:ind w:firstLine="480" w:firstLineChars="200"/>
        <w:rPr>
          <w:bCs/>
          <w:sz w:val="24"/>
        </w:rPr>
      </w:pPr>
      <w:r>
        <w:rPr>
          <w:rFonts w:hint="eastAsia"/>
          <w:bCs/>
          <w:sz w:val="24"/>
        </w:rPr>
        <w:t>4、我方承诺投标有效期为</w:t>
      </w:r>
      <w:r>
        <w:rPr>
          <w:rFonts w:hint="eastAsia"/>
          <w:bCs/>
          <w:sz w:val="24"/>
          <w:u w:val="single"/>
        </w:rPr>
        <w:t xml:space="preserve"> </w:t>
      </w:r>
      <w:r>
        <w:rPr>
          <w:rFonts w:hint="eastAsia"/>
          <w:bCs/>
          <w:sz w:val="24"/>
          <w:u w:val="single"/>
          <w:lang w:val="zh-CN"/>
        </w:rPr>
        <w:t>开标后100</w:t>
      </w:r>
      <w:r>
        <w:rPr>
          <w:rFonts w:hint="eastAsia"/>
          <w:bCs/>
          <w:sz w:val="24"/>
          <w:u w:val="single"/>
        </w:rPr>
        <w:t xml:space="preserve"> </w:t>
      </w:r>
      <w:r>
        <w:rPr>
          <w:rFonts w:hint="eastAsia"/>
          <w:bCs/>
          <w:sz w:val="24"/>
        </w:rPr>
        <w:t>天。</w:t>
      </w:r>
    </w:p>
    <w:p>
      <w:pPr>
        <w:pStyle w:val="23"/>
        <w:spacing w:line="400" w:lineRule="exact"/>
        <w:ind w:firstLine="480" w:firstLineChars="200"/>
        <w:rPr>
          <w:bCs/>
          <w:sz w:val="24"/>
          <w:u w:val="single"/>
        </w:rPr>
      </w:pPr>
    </w:p>
    <w:p>
      <w:pPr>
        <w:pStyle w:val="23"/>
        <w:spacing w:line="400" w:lineRule="exact"/>
        <w:rPr>
          <w:bCs/>
          <w:sz w:val="24"/>
        </w:rPr>
      </w:pPr>
    </w:p>
    <w:p>
      <w:pPr>
        <w:pStyle w:val="23"/>
        <w:spacing w:line="400" w:lineRule="exact"/>
        <w:ind w:firstLine="480" w:firstLineChars="200"/>
        <w:rPr>
          <w:bCs/>
          <w:sz w:val="24"/>
        </w:rPr>
      </w:pPr>
      <w:r>
        <w:rPr>
          <w:rFonts w:hint="eastAsia"/>
          <w:bCs/>
          <w:sz w:val="24"/>
        </w:rPr>
        <w:t>投标人名称（盖单位公章）：</w:t>
      </w:r>
      <w:r>
        <w:rPr>
          <w:rFonts w:hint="eastAsia"/>
          <w:bCs/>
          <w:sz w:val="24"/>
          <w:u w:val="single"/>
        </w:rPr>
        <w:t xml:space="preserve">      　　　　　　　　　　 　　　　　</w:t>
      </w:r>
    </w:p>
    <w:p>
      <w:pPr>
        <w:pStyle w:val="23"/>
        <w:spacing w:line="400" w:lineRule="exact"/>
        <w:ind w:firstLine="480" w:firstLineChars="200"/>
        <w:rPr>
          <w:bCs/>
          <w:sz w:val="24"/>
          <w:u w:val="single"/>
        </w:rPr>
      </w:pPr>
      <w:r>
        <w:rPr>
          <w:rFonts w:hint="eastAsia"/>
          <w:bCs/>
          <w:sz w:val="24"/>
        </w:rPr>
        <w:t>法定代表人或授权代表（签字）：</w:t>
      </w:r>
      <w:r>
        <w:rPr>
          <w:rFonts w:hint="eastAsia"/>
          <w:bCs/>
          <w:sz w:val="24"/>
          <w:u w:val="single"/>
        </w:rPr>
        <w:t>　　　　　　　　　　 　　　　　　</w:t>
      </w:r>
    </w:p>
    <w:p>
      <w:pPr>
        <w:pStyle w:val="23"/>
        <w:spacing w:line="400" w:lineRule="exact"/>
        <w:ind w:firstLine="480" w:firstLineChars="200"/>
        <w:rPr>
          <w:bCs/>
          <w:sz w:val="24"/>
          <w:u w:val="single"/>
        </w:rPr>
      </w:pPr>
      <w:r>
        <w:rPr>
          <w:rFonts w:hint="eastAsia"/>
          <w:bCs/>
          <w:sz w:val="24"/>
        </w:rPr>
        <w:t>通讯地址：</w:t>
      </w:r>
      <w:r>
        <w:rPr>
          <w:rFonts w:hint="eastAsia"/>
          <w:bCs/>
          <w:sz w:val="24"/>
          <w:u w:val="single"/>
        </w:rPr>
        <w:t>　　　　　　　　　　　　　　　　　　　　　　　　　　</w:t>
      </w:r>
    </w:p>
    <w:p>
      <w:pPr>
        <w:pStyle w:val="23"/>
        <w:spacing w:line="400" w:lineRule="exact"/>
        <w:ind w:firstLine="480" w:firstLineChars="200"/>
        <w:rPr>
          <w:bCs/>
          <w:sz w:val="24"/>
        </w:rPr>
      </w:pPr>
      <w:r>
        <w:rPr>
          <w:rFonts w:hint="eastAsia"/>
          <w:bCs/>
          <w:sz w:val="24"/>
        </w:rPr>
        <w:t>邮政编码：</w:t>
      </w:r>
      <w:r>
        <w:rPr>
          <w:rFonts w:hint="eastAsia"/>
          <w:bCs/>
          <w:sz w:val="24"/>
          <w:u w:val="single"/>
        </w:rPr>
        <w:t>　　　　　　　　　　　　　　　　　　　　　　　　　　</w:t>
      </w:r>
    </w:p>
    <w:p>
      <w:pPr>
        <w:pStyle w:val="23"/>
        <w:spacing w:line="400" w:lineRule="exact"/>
        <w:ind w:firstLine="480" w:firstLineChars="200"/>
        <w:rPr>
          <w:bCs/>
          <w:sz w:val="24"/>
        </w:rPr>
      </w:pPr>
      <w:r>
        <w:rPr>
          <w:rFonts w:hint="eastAsia"/>
          <w:bCs/>
          <w:sz w:val="24"/>
        </w:rPr>
        <w:t>联系电话（座机）：</w:t>
      </w:r>
      <w:r>
        <w:rPr>
          <w:rFonts w:hint="eastAsia"/>
          <w:bCs/>
          <w:sz w:val="24"/>
          <w:u w:val="single"/>
        </w:rPr>
        <w:t>　　　　　　　　　</w:t>
      </w:r>
      <w:r>
        <w:rPr>
          <w:rFonts w:hint="eastAsia"/>
          <w:bCs/>
          <w:sz w:val="24"/>
        </w:rPr>
        <w:t>（手机）</w:t>
      </w:r>
      <w:r>
        <w:rPr>
          <w:rFonts w:hint="eastAsia"/>
          <w:bCs/>
          <w:sz w:val="24"/>
          <w:u w:val="single"/>
        </w:rPr>
        <w:t>：　　      　　　　</w:t>
      </w:r>
    </w:p>
    <w:p>
      <w:pPr>
        <w:pStyle w:val="23"/>
        <w:spacing w:line="400" w:lineRule="exact"/>
        <w:ind w:firstLine="480" w:firstLineChars="200"/>
        <w:rPr>
          <w:bCs/>
          <w:sz w:val="24"/>
        </w:rPr>
      </w:pPr>
      <w:r>
        <w:rPr>
          <w:rFonts w:hint="eastAsia"/>
          <w:bCs/>
          <w:sz w:val="24"/>
        </w:rPr>
        <w:t>传    真：</w:t>
      </w:r>
      <w:r>
        <w:rPr>
          <w:rFonts w:hint="eastAsia"/>
          <w:bCs/>
          <w:sz w:val="24"/>
          <w:u w:val="single"/>
        </w:rPr>
        <w:t>　　　　　　　　　　　　　　　　　　　　　　　　　　</w:t>
      </w:r>
    </w:p>
    <w:p>
      <w:pPr>
        <w:pStyle w:val="23"/>
        <w:spacing w:line="400" w:lineRule="exact"/>
        <w:ind w:firstLine="480" w:firstLineChars="200"/>
        <w:rPr>
          <w:bCs/>
          <w:sz w:val="24"/>
        </w:rPr>
      </w:pPr>
      <w:r>
        <w:rPr>
          <w:rFonts w:hint="eastAsia"/>
          <w:bCs/>
          <w:sz w:val="24"/>
        </w:rPr>
        <w:t>日    期：</w:t>
      </w:r>
      <w:r>
        <w:rPr>
          <w:rFonts w:hint="eastAsia"/>
          <w:bCs/>
          <w:sz w:val="24"/>
          <w:u w:val="single"/>
        </w:rPr>
        <w:t>　　　　　　　　　　　　　　　　　　　　　　　　　　</w:t>
      </w:r>
    </w:p>
    <w:p>
      <w:pPr>
        <w:widowControl/>
        <w:spacing w:line="360" w:lineRule="atLeast"/>
        <w:jc w:val="left"/>
        <w:outlineLvl w:val="1"/>
        <w:rPr>
          <w:rFonts w:ascii="宋体"/>
          <w:sz w:val="24"/>
        </w:rPr>
      </w:pPr>
    </w:p>
    <w:p>
      <w:pPr>
        <w:pStyle w:val="4"/>
        <w:spacing w:line="400" w:lineRule="exact"/>
        <w:jc w:val="center"/>
        <w:rPr>
          <w:rFonts w:ascii="黑体"/>
          <w:b w:val="0"/>
          <w:szCs w:val="28"/>
        </w:rPr>
      </w:pPr>
      <w:r>
        <w:rPr>
          <w:rFonts w:ascii="黑体"/>
        </w:rPr>
        <w:br w:type="page"/>
      </w:r>
      <w:bookmarkStart w:id="150" w:name="_Toc501031132"/>
      <w:r>
        <w:rPr>
          <w:rFonts w:hint="eastAsia" w:ascii="黑体"/>
        </w:rPr>
        <w:t>二、法定代表人授权书</w:t>
      </w:r>
      <w:bookmarkEnd w:id="150"/>
    </w:p>
    <w:p>
      <w:pPr>
        <w:spacing w:line="400" w:lineRule="exact"/>
        <w:jc w:val="center"/>
        <w:rPr>
          <w:rFonts w:ascii="宋体" w:hAnsi="宋体"/>
          <w:b/>
          <w:sz w:val="44"/>
        </w:rPr>
      </w:pPr>
    </w:p>
    <w:p>
      <w:pPr>
        <w:spacing w:line="400" w:lineRule="exact"/>
        <w:jc w:val="center"/>
        <w:rPr>
          <w:rFonts w:ascii="宋体" w:hAnsi="宋体"/>
          <w:b/>
          <w:sz w:val="44"/>
        </w:rPr>
      </w:pPr>
    </w:p>
    <w:p>
      <w:pPr>
        <w:spacing w:line="400" w:lineRule="exact"/>
        <w:rPr>
          <w:rFonts w:ascii="宋体" w:hAnsi="宋体"/>
          <w:sz w:val="24"/>
        </w:rPr>
      </w:pPr>
      <w:r>
        <w:rPr>
          <w:rFonts w:hint="eastAsia" w:ascii="宋体" w:hAnsi="宋体"/>
          <w:sz w:val="24"/>
        </w:rPr>
        <w:t>__________________（采购代理机构名称）：</w:t>
      </w:r>
    </w:p>
    <w:p>
      <w:pPr>
        <w:spacing w:line="400" w:lineRule="exact"/>
        <w:ind w:firstLine="480" w:firstLineChars="200"/>
        <w:rPr>
          <w:rFonts w:ascii="宋体" w:hAnsi="宋体"/>
          <w:sz w:val="24"/>
        </w:rPr>
      </w:pPr>
      <w:r>
        <w:rPr>
          <w:rFonts w:hint="eastAsia" w:ascii="宋体" w:hAnsi="宋体"/>
          <w:sz w:val="24"/>
        </w:rPr>
        <w:t>本授权声明：</w:t>
      </w:r>
      <w:r>
        <w:rPr>
          <w:rFonts w:hint="eastAsia" w:ascii="宋体" w:hAnsi="宋体"/>
          <w:sz w:val="24"/>
          <w:u w:val="single"/>
        </w:rPr>
        <w:t xml:space="preserve">                     </w:t>
      </w:r>
      <w:r>
        <w:rPr>
          <w:rFonts w:hint="eastAsia" w:ascii="宋体" w:hAnsi="宋体"/>
          <w:sz w:val="24"/>
        </w:rPr>
        <w:t>（投标人名称）</w:t>
      </w:r>
      <w:r>
        <w:rPr>
          <w:rFonts w:hint="eastAsia" w:ascii="宋体" w:hAnsi="宋体"/>
          <w:sz w:val="24"/>
          <w:u w:val="single"/>
        </w:rPr>
        <w:t xml:space="preserve">          </w:t>
      </w:r>
      <w:r>
        <w:rPr>
          <w:rFonts w:hint="eastAsia" w:ascii="宋体" w:hAnsi="宋体"/>
          <w:sz w:val="24"/>
        </w:rPr>
        <w:t>（法定代表人姓名、职务）授权</w:t>
      </w:r>
      <w:r>
        <w:rPr>
          <w:rFonts w:hint="eastAsia" w:ascii="宋体" w:hAnsi="宋体"/>
          <w:sz w:val="24"/>
          <w:u w:val="single"/>
        </w:rPr>
        <w:t xml:space="preserve">                        </w:t>
      </w:r>
      <w:r>
        <w:rPr>
          <w:rFonts w:hint="eastAsia" w:ascii="宋体" w:hAnsi="宋体"/>
          <w:sz w:val="24"/>
        </w:rPr>
        <w:t xml:space="preserve">（被授权人姓名、职务）为我方 “ </w:t>
      </w:r>
      <w:r>
        <w:rPr>
          <w:rFonts w:hint="eastAsia" w:ascii="宋体" w:hAnsi="宋体"/>
          <w:sz w:val="24"/>
          <w:u w:val="single"/>
        </w:rPr>
        <w:t xml:space="preserve">             </w:t>
      </w:r>
      <w:r>
        <w:rPr>
          <w:rFonts w:hint="eastAsia" w:ascii="宋体" w:hAnsi="宋体"/>
          <w:sz w:val="24"/>
        </w:rPr>
        <w:t>” 项目（项目编号）投标活动的合法代表，以我方名义全权处理该项目有关投标、签订合同以及执行合同等一切事宜。</w:t>
      </w:r>
    </w:p>
    <w:p>
      <w:pPr>
        <w:spacing w:line="400" w:lineRule="exact"/>
        <w:ind w:firstLine="480" w:firstLineChars="200"/>
        <w:rPr>
          <w:rFonts w:ascii="宋体" w:hAnsi="宋体"/>
          <w:sz w:val="24"/>
        </w:rPr>
      </w:pPr>
      <w:r>
        <w:rPr>
          <w:rFonts w:hint="eastAsia" w:ascii="宋体" w:hAnsi="宋体"/>
          <w:sz w:val="24"/>
        </w:rPr>
        <w:t>特此声明。</w:t>
      </w: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ind w:firstLine="480" w:firstLineChars="200"/>
        <w:rPr>
          <w:rFonts w:ascii="宋体" w:hAnsi="宋体"/>
          <w:sz w:val="24"/>
          <w:u w:val="single"/>
        </w:rPr>
      </w:pPr>
      <w:r>
        <w:rPr>
          <w:rFonts w:hint="eastAsia" w:ascii="宋体" w:hAnsi="宋体"/>
          <w:sz w:val="24"/>
        </w:rPr>
        <w:t>法定代表人（签字）：</w:t>
      </w:r>
      <w:r>
        <w:rPr>
          <w:rFonts w:hint="eastAsia" w:ascii="宋体" w:hAnsi="宋体"/>
          <w:sz w:val="24"/>
          <w:u w:val="single"/>
        </w:rPr>
        <w:t xml:space="preserve">　　　　　　　　　　　　　　　　　　　　　 </w:t>
      </w:r>
    </w:p>
    <w:p>
      <w:pPr>
        <w:spacing w:line="400" w:lineRule="exact"/>
        <w:ind w:firstLine="480" w:firstLineChars="200"/>
        <w:rPr>
          <w:rFonts w:ascii="宋体" w:hAnsi="宋体"/>
          <w:sz w:val="24"/>
          <w:u w:val="single"/>
        </w:rPr>
      </w:pPr>
      <w:r>
        <w:rPr>
          <w:rFonts w:hint="eastAsia" w:ascii="宋体" w:hAnsi="宋体"/>
          <w:sz w:val="24"/>
        </w:rPr>
        <w:t>法定代表人身份证号码</w:t>
      </w:r>
      <w:r>
        <w:rPr>
          <w:rFonts w:hint="eastAsia" w:ascii="宋体" w:hAnsi="宋体"/>
          <w:spacing w:val="30"/>
          <w:sz w:val="24"/>
        </w:rPr>
        <w:t>：</w:t>
      </w:r>
      <w:r>
        <w:rPr>
          <w:rFonts w:hint="eastAsia" w:ascii="宋体" w:hAnsi="宋体"/>
          <w:spacing w:val="30"/>
          <w:sz w:val="24"/>
          <w:u w:val="single"/>
        </w:rPr>
        <w:t xml:space="preserve">                    　　   </w:t>
      </w:r>
    </w:p>
    <w:p>
      <w:pPr>
        <w:spacing w:line="400" w:lineRule="exact"/>
        <w:ind w:firstLine="480" w:firstLineChars="200"/>
        <w:rPr>
          <w:rFonts w:ascii="宋体" w:hAnsi="宋体"/>
          <w:sz w:val="24"/>
          <w:u w:val="single"/>
        </w:rPr>
      </w:pPr>
      <w:r>
        <w:rPr>
          <w:rFonts w:hint="eastAsia" w:ascii="宋体" w:hAnsi="宋体"/>
          <w:sz w:val="24"/>
        </w:rPr>
        <w:t>授权代表签字：</w:t>
      </w:r>
      <w:r>
        <w:rPr>
          <w:rFonts w:hint="eastAsia" w:ascii="宋体" w:hAnsi="宋体"/>
          <w:sz w:val="24"/>
          <w:u w:val="single"/>
        </w:rPr>
        <w:t>　　　　　　　　　　　　　　　　　　　　　　　　</w:t>
      </w:r>
    </w:p>
    <w:p>
      <w:pPr>
        <w:spacing w:line="400" w:lineRule="exact"/>
        <w:ind w:firstLine="480" w:firstLineChars="200"/>
        <w:rPr>
          <w:rFonts w:ascii="宋体" w:hAnsi="宋体"/>
          <w:sz w:val="24"/>
          <w:u w:val="single"/>
        </w:rPr>
      </w:pPr>
      <w:r>
        <w:rPr>
          <w:rFonts w:hint="eastAsia" w:ascii="宋体" w:hAnsi="宋体"/>
          <w:sz w:val="24"/>
        </w:rPr>
        <w:t>授权代表身份证号码</w:t>
      </w:r>
      <w:r>
        <w:rPr>
          <w:rFonts w:hint="eastAsia" w:ascii="宋体" w:hAnsi="宋体"/>
          <w:sz w:val="24"/>
          <w:u w:val="single"/>
        </w:rPr>
        <w:t>：　　　　　　　　　　　　　　　　　　　　　</w:t>
      </w:r>
    </w:p>
    <w:p>
      <w:pPr>
        <w:spacing w:line="400" w:lineRule="exact"/>
        <w:ind w:firstLine="480" w:firstLineChars="200"/>
        <w:rPr>
          <w:rFonts w:ascii="宋体" w:hAnsi="宋体"/>
          <w:sz w:val="24"/>
          <w:u w:val="single"/>
        </w:rPr>
      </w:pPr>
      <w:r>
        <w:rPr>
          <w:rFonts w:hint="eastAsia" w:ascii="宋体" w:hAnsi="宋体"/>
          <w:sz w:val="24"/>
        </w:rPr>
        <w:t>投标人名称（盖章）</w:t>
      </w:r>
      <w:r>
        <w:rPr>
          <w:rFonts w:hint="eastAsia" w:ascii="宋体" w:hAnsi="宋体"/>
          <w:sz w:val="24"/>
          <w:u w:val="single"/>
        </w:rPr>
        <w:t>：         　　　　　　　　　　　　　　　　　</w:t>
      </w:r>
    </w:p>
    <w:p>
      <w:pPr>
        <w:spacing w:line="400" w:lineRule="exact"/>
        <w:ind w:firstLine="480" w:firstLineChars="200"/>
        <w:rPr>
          <w:rFonts w:ascii="宋体" w:hAnsi="宋体"/>
          <w:sz w:val="24"/>
          <w:u w:val="single"/>
        </w:rPr>
      </w:pPr>
      <w:r>
        <w:rPr>
          <w:rFonts w:hint="eastAsia" w:ascii="宋体" w:hAnsi="宋体"/>
          <w:sz w:val="24"/>
        </w:rPr>
        <w:t>日    期：</w:t>
      </w:r>
      <w:r>
        <w:rPr>
          <w:rFonts w:hint="eastAsia" w:ascii="宋体" w:hAnsi="宋体"/>
          <w:sz w:val="24"/>
          <w:u w:val="single"/>
        </w:rPr>
        <w:t>　　　　　　　　　　　　　　　　　　　　　　　　　　</w:t>
      </w:r>
    </w:p>
    <w:p>
      <w:pPr>
        <w:spacing w:line="400" w:lineRule="exact"/>
        <w:rPr>
          <w:rFonts w:ascii="宋体" w:hAnsi="宋体"/>
          <w:sz w:val="32"/>
        </w:rPr>
      </w:pPr>
    </w:p>
    <w:p>
      <w:pPr>
        <w:spacing w:line="400" w:lineRule="exact"/>
        <w:ind w:firstLine="708" w:firstLineChars="294"/>
        <w:rPr>
          <w:rFonts w:ascii="宋体" w:hAnsi="宋体"/>
          <w:b/>
          <w:color w:val="FF0000"/>
          <w:sz w:val="24"/>
        </w:rPr>
      </w:pPr>
    </w:p>
    <w:p>
      <w:pPr>
        <w:pStyle w:val="2"/>
        <w:rPr>
          <w:rFonts w:ascii="宋体" w:hAnsi="宋体"/>
          <w:b/>
          <w:color w:val="FF0000"/>
          <w:sz w:val="24"/>
        </w:rPr>
      </w:pPr>
    </w:p>
    <w:p>
      <w:pPr>
        <w:pStyle w:val="2"/>
        <w:rPr>
          <w:rFonts w:ascii="宋体" w:hAnsi="宋体"/>
          <w:b/>
          <w:color w:val="FF0000"/>
          <w:sz w:val="24"/>
        </w:rPr>
      </w:pPr>
    </w:p>
    <w:p>
      <w:pPr>
        <w:pStyle w:val="2"/>
        <w:rPr>
          <w:rFonts w:ascii="宋体" w:hAnsi="宋体"/>
          <w:b/>
          <w:color w:val="FF0000"/>
          <w:sz w:val="24"/>
        </w:rPr>
      </w:pPr>
    </w:p>
    <w:p>
      <w:pPr>
        <w:pStyle w:val="2"/>
        <w:rPr>
          <w:rFonts w:ascii="宋体" w:hAnsi="宋体"/>
          <w:b/>
          <w:color w:val="FF0000"/>
          <w:sz w:val="24"/>
        </w:rPr>
      </w:pPr>
    </w:p>
    <w:p>
      <w:pPr>
        <w:pStyle w:val="2"/>
        <w:rPr>
          <w:rFonts w:ascii="宋体" w:hAnsi="宋体"/>
          <w:b/>
          <w:color w:val="FF0000"/>
          <w:sz w:val="24"/>
        </w:rPr>
      </w:pPr>
    </w:p>
    <w:p>
      <w:pPr>
        <w:spacing w:line="400" w:lineRule="exact"/>
        <w:rPr>
          <w:rFonts w:ascii="宋体" w:hAnsi="宋体"/>
          <w:b/>
          <w:sz w:val="28"/>
          <w:szCs w:val="28"/>
        </w:rPr>
      </w:pPr>
    </w:p>
    <w:p>
      <w:pPr>
        <w:spacing w:line="400" w:lineRule="exact"/>
        <w:rPr>
          <w:rFonts w:ascii="宋体" w:hAnsi="宋体"/>
          <w:b/>
          <w:sz w:val="28"/>
          <w:szCs w:val="28"/>
        </w:rPr>
      </w:pPr>
    </w:p>
    <w:p>
      <w:pPr>
        <w:spacing w:line="400" w:lineRule="exact"/>
        <w:rPr>
          <w:rFonts w:ascii="宋体" w:hAnsi="宋体"/>
          <w:b/>
          <w:sz w:val="28"/>
          <w:szCs w:val="28"/>
        </w:rPr>
      </w:pPr>
    </w:p>
    <w:p>
      <w:pPr>
        <w:ind w:firstLine="2880" w:firstLineChars="1200"/>
        <w:rPr>
          <w:rFonts w:ascii="仿宋" w:hAnsi="仿宋" w:eastAsia="仿宋" w:cs="仿宋"/>
          <w:b/>
          <w:sz w:val="24"/>
        </w:rPr>
      </w:pPr>
      <w:bookmarkStart w:id="151" w:name="_Toc501031134"/>
      <w:bookmarkStart w:id="152" w:name="_Toc217446085"/>
      <w:r>
        <w:rPr>
          <w:rFonts w:hint="eastAsia" w:ascii="宋体" w:hAnsi="宋体" w:cs="宋体"/>
          <w:bCs/>
          <w:sz w:val="24"/>
        </w:rPr>
        <w:t>三、</w:t>
      </w:r>
      <w:bookmarkEnd w:id="151"/>
      <w:bookmarkEnd w:id="152"/>
      <w:r>
        <w:rPr>
          <w:rFonts w:hint="eastAsia" w:ascii="宋体" w:hAnsi="宋体" w:cs="宋体"/>
          <w:b/>
          <w:sz w:val="24"/>
        </w:rPr>
        <w:t>开标一览表</w:t>
      </w:r>
    </w:p>
    <w:p>
      <w:pPr>
        <w:ind w:left="1675" w:hanging="1675" w:hangingChars="695"/>
        <w:jc w:val="center"/>
        <w:rPr>
          <w:rFonts w:ascii="仿宋" w:hAnsi="仿宋" w:eastAsia="仿宋" w:cs="仿宋"/>
          <w:b/>
          <w:sz w:val="24"/>
        </w:rPr>
      </w:pPr>
    </w:p>
    <w:p>
      <w:pPr>
        <w:jc w:val="center"/>
        <w:rPr>
          <w:rFonts w:ascii="宋体" w:hAnsi="宋体"/>
          <w:b/>
          <w:sz w:val="36"/>
          <w:szCs w:val="36"/>
        </w:rPr>
      </w:pPr>
    </w:p>
    <w:p>
      <w:pPr>
        <w:spacing w:line="480" w:lineRule="exact"/>
        <w:ind w:firstLine="436" w:firstLineChars="182"/>
        <w:rPr>
          <w:rFonts w:ascii="宋体" w:hAnsi="宋体"/>
          <w:sz w:val="24"/>
        </w:rPr>
      </w:pPr>
      <w:r>
        <w:rPr>
          <w:rFonts w:hint="eastAsia" w:ascii="宋体" w:hAnsi="宋体"/>
          <w:sz w:val="24"/>
        </w:rPr>
        <w:t>采购项目名称：</w:t>
      </w:r>
    </w:p>
    <w:p>
      <w:pPr>
        <w:spacing w:line="480" w:lineRule="exact"/>
        <w:ind w:firstLine="436" w:firstLineChars="182"/>
        <w:rPr>
          <w:rFonts w:ascii="宋体" w:hAnsi="宋体"/>
          <w:sz w:val="24"/>
        </w:rPr>
      </w:pPr>
      <w:r>
        <w:rPr>
          <w:rFonts w:hint="eastAsia" w:ascii="宋体" w:hAnsi="宋体"/>
          <w:sz w:val="24"/>
        </w:rPr>
        <w:t>采购项目编号：</w:t>
      </w:r>
    </w:p>
    <w:p>
      <w:pPr>
        <w:spacing w:line="480" w:lineRule="exact"/>
        <w:rPr>
          <w:rFonts w:ascii="宋体" w:hAnsi="宋体"/>
          <w:color w:val="0000FF"/>
          <w:sz w:val="24"/>
        </w:rPr>
      </w:pPr>
      <w:r>
        <w:rPr>
          <w:rFonts w:hint="eastAsia" w:ascii="宋体" w:hAnsi="宋体"/>
          <w:color w:val="0000FF"/>
          <w:sz w:val="24"/>
        </w:rPr>
        <w:br w:type="textWrapping"/>
      </w:r>
    </w:p>
    <w:tbl>
      <w:tblPr>
        <w:tblStyle w:val="40"/>
        <w:tblW w:w="9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1772"/>
        <w:gridCol w:w="1327"/>
        <w:gridCol w:w="1362"/>
        <w:gridCol w:w="1588"/>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trPr>
        <w:tc>
          <w:tcPr>
            <w:tcW w:w="1772" w:type="dxa"/>
          </w:tcPr>
          <w:p>
            <w:pPr>
              <w:spacing w:line="480" w:lineRule="exact"/>
              <w:jc w:val="center"/>
              <w:rPr>
                <w:rFonts w:ascii="宋体" w:hAnsi="宋体"/>
                <w:color w:val="000000" w:themeColor="text1"/>
                <w:sz w:val="24"/>
              </w:rPr>
            </w:pPr>
            <w:r>
              <w:rPr>
                <w:rFonts w:hint="eastAsia" w:ascii="宋体" w:hAnsi="宋体"/>
                <w:color w:val="000000" w:themeColor="text1"/>
                <w:sz w:val="24"/>
              </w:rPr>
              <w:t>序号</w:t>
            </w:r>
          </w:p>
        </w:tc>
        <w:tc>
          <w:tcPr>
            <w:tcW w:w="1772" w:type="dxa"/>
          </w:tcPr>
          <w:p>
            <w:pPr>
              <w:spacing w:line="480" w:lineRule="exact"/>
              <w:jc w:val="center"/>
              <w:rPr>
                <w:rFonts w:hint="eastAsia" w:ascii="宋体" w:hAnsi="宋体" w:eastAsia="宋体" w:cs="Times New Roman"/>
                <w:color w:val="000000" w:themeColor="text1"/>
                <w:kern w:val="0"/>
                <w:sz w:val="24"/>
                <w:szCs w:val="24"/>
                <w:lang w:val="en-US" w:eastAsia="zh-CN" w:bidi="ar-SA"/>
              </w:rPr>
            </w:pPr>
            <w:r>
              <w:rPr>
                <w:rFonts w:hint="eastAsia" w:ascii="宋体" w:hAnsi="宋体" w:eastAsia="宋体" w:cs="Times New Roman"/>
                <w:color w:val="000000" w:themeColor="text1"/>
                <w:kern w:val="0"/>
                <w:sz w:val="24"/>
                <w:szCs w:val="24"/>
                <w:lang w:val="en-US" w:eastAsia="zh-CN" w:bidi="ar-SA"/>
              </w:rPr>
              <w:t>服务内容</w:t>
            </w:r>
          </w:p>
        </w:tc>
        <w:tc>
          <w:tcPr>
            <w:tcW w:w="1327" w:type="dxa"/>
          </w:tcPr>
          <w:p>
            <w:pPr>
              <w:spacing w:line="480" w:lineRule="exact"/>
              <w:jc w:val="center"/>
              <w:rPr>
                <w:rFonts w:hint="eastAsia" w:ascii="宋体" w:hAnsi="宋体" w:eastAsia="宋体" w:cs="Times New Roman"/>
                <w:color w:val="000000" w:themeColor="text1"/>
                <w:kern w:val="0"/>
                <w:sz w:val="24"/>
                <w:szCs w:val="24"/>
                <w:lang w:val="en-US" w:eastAsia="zh-CN" w:bidi="ar-SA"/>
              </w:rPr>
            </w:pPr>
            <w:r>
              <w:rPr>
                <w:rFonts w:hint="eastAsia" w:ascii="宋体" w:hAnsi="宋体" w:eastAsia="宋体" w:cs="Times New Roman"/>
                <w:color w:val="000000" w:themeColor="text1"/>
                <w:kern w:val="0"/>
                <w:sz w:val="24"/>
                <w:szCs w:val="24"/>
                <w:lang w:val="en-US" w:eastAsia="zh-CN" w:bidi="ar-SA"/>
              </w:rPr>
              <w:t>揽收单价</w:t>
            </w:r>
          </w:p>
          <w:p>
            <w:pPr>
              <w:pStyle w:val="2"/>
              <w:rPr>
                <w:rFonts w:hint="eastAsia" w:ascii="宋体" w:hAnsi="宋体" w:eastAsia="宋体" w:cs="Times New Roman"/>
                <w:color w:val="000000" w:themeColor="text1"/>
                <w:kern w:val="0"/>
                <w:sz w:val="24"/>
                <w:szCs w:val="24"/>
                <w:lang w:val="en-US" w:eastAsia="zh-CN" w:bidi="ar-SA"/>
              </w:rPr>
            </w:pPr>
            <w:r>
              <w:rPr>
                <w:rFonts w:hint="eastAsia" w:ascii="宋体" w:hAnsi="宋体" w:eastAsia="宋体" w:cs="Times New Roman"/>
                <w:color w:val="000000" w:themeColor="text1"/>
                <w:kern w:val="0"/>
                <w:sz w:val="24"/>
                <w:szCs w:val="24"/>
                <w:lang w:val="en-US" w:eastAsia="zh-CN" w:bidi="ar-SA"/>
              </w:rPr>
              <w:t>（元/件）</w:t>
            </w:r>
          </w:p>
        </w:tc>
        <w:tc>
          <w:tcPr>
            <w:tcW w:w="1362" w:type="dxa"/>
          </w:tcPr>
          <w:p>
            <w:pPr>
              <w:spacing w:line="480" w:lineRule="exact"/>
              <w:jc w:val="center"/>
              <w:rPr>
                <w:rFonts w:hint="default" w:ascii="宋体" w:hAnsi="宋体"/>
                <w:color w:val="000000" w:themeColor="text1"/>
                <w:sz w:val="24"/>
                <w:lang w:val="en-US"/>
              </w:rPr>
            </w:pPr>
            <w:r>
              <w:rPr>
                <w:rFonts w:hint="eastAsia" w:ascii="宋体" w:hAnsi="宋体"/>
                <w:color w:val="000000" w:themeColor="text1"/>
                <w:sz w:val="24"/>
                <w:lang w:val="en-US" w:eastAsia="zh-CN"/>
              </w:rPr>
              <w:t>重量计价(元/吨）</w:t>
            </w:r>
          </w:p>
        </w:tc>
        <w:tc>
          <w:tcPr>
            <w:tcW w:w="1588" w:type="dxa"/>
          </w:tcPr>
          <w:p>
            <w:pPr>
              <w:spacing w:line="480" w:lineRule="exact"/>
              <w:jc w:val="center"/>
              <w:rPr>
                <w:rFonts w:ascii="宋体" w:hAnsi="宋体"/>
                <w:color w:val="000000" w:themeColor="text1"/>
                <w:sz w:val="24"/>
              </w:rPr>
            </w:pPr>
            <w:r>
              <w:rPr>
                <w:rFonts w:hint="eastAsia" w:ascii="宋体" w:hAnsi="宋体"/>
                <w:color w:val="000000" w:themeColor="text1"/>
                <w:sz w:val="24"/>
              </w:rPr>
              <w:t>服务期限</w:t>
            </w:r>
          </w:p>
        </w:tc>
        <w:tc>
          <w:tcPr>
            <w:tcW w:w="1675" w:type="dxa"/>
          </w:tcPr>
          <w:p>
            <w:pPr>
              <w:spacing w:line="480" w:lineRule="exact"/>
              <w:jc w:val="center"/>
              <w:rPr>
                <w:rFonts w:ascii="宋体" w:hAnsi="宋体"/>
                <w:color w:val="000000" w:themeColor="text1"/>
                <w:sz w:val="24"/>
              </w:rPr>
            </w:pPr>
            <w:r>
              <w:rPr>
                <w:rFonts w:hint="eastAsia" w:ascii="宋体" w:hAnsi="宋体"/>
                <w:color w:val="000000" w:themeColor="text1"/>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1772" w:type="dxa"/>
          </w:tcPr>
          <w:p>
            <w:pPr>
              <w:spacing w:line="480" w:lineRule="exact"/>
              <w:rPr>
                <w:rFonts w:ascii="宋体" w:hAnsi="宋体"/>
                <w:color w:val="0000FF"/>
                <w:sz w:val="24"/>
              </w:rPr>
            </w:pPr>
          </w:p>
        </w:tc>
        <w:tc>
          <w:tcPr>
            <w:tcW w:w="1772" w:type="dxa"/>
          </w:tcPr>
          <w:p>
            <w:pPr>
              <w:spacing w:line="480" w:lineRule="exact"/>
              <w:rPr>
                <w:rFonts w:ascii="宋体" w:hAnsi="宋体"/>
                <w:color w:val="0000FF"/>
                <w:sz w:val="24"/>
              </w:rPr>
            </w:pPr>
          </w:p>
        </w:tc>
        <w:tc>
          <w:tcPr>
            <w:tcW w:w="1327" w:type="dxa"/>
          </w:tcPr>
          <w:p>
            <w:pPr>
              <w:spacing w:line="480" w:lineRule="exact"/>
              <w:jc w:val="center"/>
              <w:rPr>
                <w:rFonts w:hint="eastAsia" w:ascii="宋体" w:hAnsi="宋体"/>
                <w:color w:val="000000" w:themeColor="text1"/>
                <w:sz w:val="24"/>
              </w:rPr>
            </w:pPr>
          </w:p>
        </w:tc>
        <w:tc>
          <w:tcPr>
            <w:tcW w:w="1362" w:type="dxa"/>
          </w:tcPr>
          <w:p>
            <w:pPr>
              <w:spacing w:line="480" w:lineRule="exact"/>
              <w:jc w:val="center"/>
              <w:rPr>
                <w:rFonts w:hint="eastAsia" w:ascii="宋体" w:hAnsi="宋体"/>
                <w:color w:val="000000" w:themeColor="text1"/>
                <w:sz w:val="24"/>
              </w:rPr>
            </w:pPr>
          </w:p>
        </w:tc>
        <w:tc>
          <w:tcPr>
            <w:tcW w:w="1588" w:type="dxa"/>
          </w:tcPr>
          <w:p>
            <w:pPr>
              <w:spacing w:line="480" w:lineRule="exact"/>
              <w:rPr>
                <w:rFonts w:ascii="宋体" w:hAnsi="宋体"/>
                <w:color w:val="0000FF"/>
                <w:sz w:val="24"/>
              </w:rPr>
            </w:pPr>
          </w:p>
        </w:tc>
        <w:tc>
          <w:tcPr>
            <w:tcW w:w="1675" w:type="dxa"/>
          </w:tcPr>
          <w:p>
            <w:pPr>
              <w:spacing w:line="480" w:lineRule="exact"/>
              <w:rPr>
                <w:rFonts w:ascii="宋体" w:hAnsi="宋体"/>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772" w:type="dxa"/>
          </w:tcPr>
          <w:p>
            <w:pPr>
              <w:spacing w:line="480" w:lineRule="exact"/>
              <w:rPr>
                <w:rFonts w:ascii="宋体" w:hAnsi="宋体"/>
                <w:color w:val="0000FF"/>
                <w:sz w:val="24"/>
              </w:rPr>
            </w:pPr>
          </w:p>
        </w:tc>
        <w:tc>
          <w:tcPr>
            <w:tcW w:w="1772" w:type="dxa"/>
          </w:tcPr>
          <w:p>
            <w:pPr>
              <w:spacing w:line="480" w:lineRule="exact"/>
              <w:rPr>
                <w:rFonts w:ascii="宋体" w:hAnsi="宋体"/>
                <w:color w:val="0000FF"/>
                <w:sz w:val="24"/>
              </w:rPr>
            </w:pPr>
          </w:p>
        </w:tc>
        <w:tc>
          <w:tcPr>
            <w:tcW w:w="1327" w:type="dxa"/>
          </w:tcPr>
          <w:p>
            <w:pPr>
              <w:spacing w:line="480" w:lineRule="exact"/>
              <w:jc w:val="center"/>
              <w:rPr>
                <w:rFonts w:hint="eastAsia" w:ascii="宋体" w:hAnsi="宋体"/>
                <w:color w:val="000000" w:themeColor="text1"/>
                <w:sz w:val="24"/>
              </w:rPr>
            </w:pPr>
          </w:p>
        </w:tc>
        <w:tc>
          <w:tcPr>
            <w:tcW w:w="1362" w:type="dxa"/>
          </w:tcPr>
          <w:p>
            <w:pPr>
              <w:spacing w:line="480" w:lineRule="exact"/>
              <w:jc w:val="center"/>
              <w:rPr>
                <w:rFonts w:hint="eastAsia" w:ascii="宋体" w:hAnsi="宋体"/>
                <w:color w:val="000000" w:themeColor="text1"/>
                <w:sz w:val="24"/>
              </w:rPr>
            </w:pPr>
          </w:p>
        </w:tc>
        <w:tc>
          <w:tcPr>
            <w:tcW w:w="1588" w:type="dxa"/>
          </w:tcPr>
          <w:p>
            <w:pPr>
              <w:spacing w:line="480" w:lineRule="exact"/>
              <w:rPr>
                <w:rFonts w:ascii="宋体" w:hAnsi="宋体"/>
                <w:color w:val="0000FF"/>
                <w:sz w:val="24"/>
              </w:rPr>
            </w:pPr>
          </w:p>
        </w:tc>
        <w:tc>
          <w:tcPr>
            <w:tcW w:w="1675" w:type="dxa"/>
          </w:tcPr>
          <w:p>
            <w:pPr>
              <w:spacing w:line="480" w:lineRule="exact"/>
              <w:rPr>
                <w:rFonts w:ascii="宋体" w:hAnsi="宋体"/>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772" w:type="dxa"/>
          </w:tcPr>
          <w:p>
            <w:pPr>
              <w:spacing w:line="480" w:lineRule="exact"/>
              <w:rPr>
                <w:rFonts w:ascii="宋体" w:hAnsi="宋体"/>
                <w:color w:val="0000FF"/>
                <w:sz w:val="24"/>
              </w:rPr>
            </w:pPr>
          </w:p>
        </w:tc>
        <w:tc>
          <w:tcPr>
            <w:tcW w:w="1772" w:type="dxa"/>
          </w:tcPr>
          <w:p>
            <w:pPr>
              <w:spacing w:line="480" w:lineRule="exact"/>
              <w:rPr>
                <w:rFonts w:ascii="宋体" w:hAnsi="宋体"/>
                <w:color w:val="0000FF"/>
                <w:sz w:val="24"/>
              </w:rPr>
            </w:pPr>
          </w:p>
        </w:tc>
        <w:tc>
          <w:tcPr>
            <w:tcW w:w="1327" w:type="dxa"/>
          </w:tcPr>
          <w:p>
            <w:pPr>
              <w:spacing w:line="480" w:lineRule="exact"/>
              <w:rPr>
                <w:rFonts w:ascii="宋体" w:hAnsi="宋体"/>
                <w:color w:val="0000FF"/>
                <w:sz w:val="24"/>
              </w:rPr>
            </w:pPr>
          </w:p>
        </w:tc>
        <w:tc>
          <w:tcPr>
            <w:tcW w:w="1362" w:type="dxa"/>
          </w:tcPr>
          <w:p>
            <w:pPr>
              <w:spacing w:line="480" w:lineRule="exact"/>
              <w:rPr>
                <w:rFonts w:ascii="宋体" w:hAnsi="宋体"/>
                <w:color w:val="0000FF"/>
                <w:sz w:val="24"/>
              </w:rPr>
            </w:pPr>
          </w:p>
        </w:tc>
        <w:tc>
          <w:tcPr>
            <w:tcW w:w="1588" w:type="dxa"/>
          </w:tcPr>
          <w:p>
            <w:pPr>
              <w:spacing w:line="480" w:lineRule="exact"/>
              <w:rPr>
                <w:rFonts w:ascii="宋体" w:hAnsi="宋体"/>
                <w:color w:val="0000FF"/>
                <w:sz w:val="24"/>
              </w:rPr>
            </w:pPr>
          </w:p>
        </w:tc>
        <w:tc>
          <w:tcPr>
            <w:tcW w:w="1675" w:type="dxa"/>
          </w:tcPr>
          <w:p>
            <w:pPr>
              <w:spacing w:line="480" w:lineRule="exact"/>
              <w:rPr>
                <w:rFonts w:ascii="宋体" w:hAnsi="宋体"/>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496" w:type="dxa"/>
            <w:gridSpan w:val="6"/>
          </w:tcPr>
          <w:p>
            <w:pPr>
              <w:spacing w:line="480" w:lineRule="exact"/>
              <w:rPr>
                <w:rFonts w:ascii="宋体" w:hAnsi="宋体"/>
                <w:color w:val="000000" w:themeColor="text1"/>
                <w:sz w:val="24"/>
              </w:rPr>
            </w:pPr>
            <w:r>
              <w:rPr>
                <w:rFonts w:hint="eastAsia" w:ascii="宋体" w:hAnsi="宋体"/>
                <w:color w:val="000000" w:themeColor="text1"/>
                <w:sz w:val="24"/>
              </w:rPr>
              <w:t>投标报价人民币：小写                   （大写）</w:t>
            </w:r>
          </w:p>
        </w:tc>
      </w:tr>
    </w:tbl>
    <w:p>
      <w:pPr>
        <w:spacing w:line="480" w:lineRule="exact"/>
        <w:rPr>
          <w:rFonts w:hint="eastAsia" w:ascii="宋体" w:hAnsi="宋体" w:cs="宋体"/>
          <w:color w:val="000000"/>
          <w:sz w:val="24"/>
        </w:rPr>
      </w:pPr>
      <w:r>
        <w:rPr>
          <w:rFonts w:hint="eastAsia" w:ascii="宋体" w:hAnsi="宋体" w:cs="宋体"/>
          <w:color w:val="000000"/>
          <w:sz w:val="24"/>
        </w:rPr>
        <w:t>注：1.报价应是最终用户验收合格后的总价，包括</w:t>
      </w:r>
      <w:r>
        <w:rPr>
          <w:rFonts w:hint="eastAsia" w:ascii="宋体"/>
          <w:sz w:val="24"/>
        </w:rPr>
        <w:t>招标文件规定的其它费用。</w:t>
      </w:r>
    </w:p>
    <w:p>
      <w:pPr>
        <w:numPr>
          <w:ilvl w:val="0"/>
          <w:numId w:val="3"/>
        </w:numPr>
        <w:spacing w:line="360" w:lineRule="auto"/>
        <w:ind w:firstLine="480" w:firstLineChars="200"/>
        <w:rPr>
          <w:rFonts w:hint="eastAsia" w:ascii="宋体" w:hAnsi="宋体" w:cs="宋体"/>
          <w:color w:val="000000"/>
          <w:sz w:val="24"/>
        </w:rPr>
      </w:pPr>
      <w:r>
        <w:rPr>
          <w:rFonts w:hint="eastAsia" w:ascii="宋体" w:hAnsi="宋体" w:cs="宋体"/>
          <w:color w:val="000000"/>
          <w:sz w:val="24"/>
        </w:rPr>
        <w:t>“开标一览表”为多页的，每页均需由法定代表人或授权代表签字并盖投标人印章。</w:t>
      </w:r>
    </w:p>
    <w:p>
      <w:pPr>
        <w:numPr>
          <w:ilvl w:val="0"/>
          <w:numId w:val="0"/>
        </w:numPr>
        <w:spacing w:line="360" w:lineRule="auto"/>
        <w:ind w:firstLine="480" w:firstLineChars="200"/>
        <w:rPr>
          <w:rFonts w:hint="default" w:ascii="宋体" w:hAnsi="宋体" w:cs="宋体"/>
          <w:color w:val="000000"/>
          <w:sz w:val="24"/>
          <w:lang w:val="en-US" w:eastAsia="zh-CN"/>
        </w:rPr>
      </w:pPr>
      <w:r>
        <w:rPr>
          <w:rFonts w:hint="eastAsia" w:ascii="宋体" w:hAnsi="宋体" w:cs="宋体"/>
          <w:color w:val="000000"/>
          <w:sz w:val="24"/>
          <w:lang w:val="en-US" w:eastAsia="zh-CN"/>
        </w:rPr>
        <w:t>3.投标人报价的揽收单价不能超过0.13元/件，重量计价不能超过为170元/吨。</w:t>
      </w:r>
    </w:p>
    <w:p>
      <w:pPr>
        <w:pStyle w:val="2"/>
      </w:pPr>
    </w:p>
    <w:p>
      <w:pPr>
        <w:spacing w:line="480" w:lineRule="exact"/>
        <w:rPr>
          <w:rFonts w:ascii="宋体" w:hAnsi="宋体"/>
          <w:color w:val="0000FF"/>
          <w:sz w:val="24"/>
        </w:rPr>
      </w:pPr>
    </w:p>
    <w:p>
      <w:pPr>
        <w:pStyle w:val="2"/>
        <w:rPr>
          <w:rFonts w:ascii="宋体" w:hAnsi="宋体" w:cs="宋体"/>
          <w:color w:val="000000"/>
          <w:sz w:val="24"/>
        </w:rPr>
      </w:pPr>
    </w:p>
    <w:p>
      <w:pPr>
        <w:pStyle w:val="2"/>
        <w:rPr>
          <w:rFonts w:ascii="宋体" w:hAnsi="宋体" w:cs="宋体"/>
          <w:color w:val="000000"/>
          <w:sz w:val="24"/>
        </w:rPr>
      </w:pPr>
    </w:p>
    <w:p>
      <w:pPr>
        <w:spacing w:line="480" w:lineRule="exact"/>
        <w:ind w:firstLine="480" w:firstLineChars="200"/>
        <w:jc w:val="left"/>
        <w:rPr>
          <w:rFonts w:ascii="宋体" w:hAnsi="宋体" w:cs="宋体"/>
          <w:color w:val="000000"/>
          <w:sz w:val="24"/>
        </w:rPr>
      </w:pPr>
      <w:r>
        <w:rPr>
          <w:rFonts w:hint="eastAsia" w:ascii="宋体" w:hAnsi="宋体" w:cs="宋体"/>
          <w:color w:val="000000"/>
          <w:sz w:val="24"/>
        </w:rPr>
        <w:t>投标人名称：        （盖章）</w:t>
      </w:r>
    </w:p>
    <w:p>
      <w:pPr>
        <w:adjustRightInd w:val="0"/>
        <w:spacing w:line="400" w:lineRule="exact"/>
        <w:ind w:firstLine="480" w:firstLineChars="200"/>
        <w:jc w:val="left"/>
        <w:rPr>
          <w:rFonts w:ascii="宋体" w:hAnsi="宋体" w:cs="宋体"/>
          <w:color w:val="000000"/>
          <w:sz w:val="24"/>
        </w:rPr>
      </w:pPr>
      <w:r>
        <w:rPr>
          <w:rFonts w:hint="eastAsia" w:ascii="宋体" w:hAnsi="宋体" w:cs="宋体"/>
          <w:color w:val="000000"/>
          <w:sz w:val="24"/>
        </w:rPr>
        <w:t>法定代表人或授权代表（签字）：</w:t>
      </w:r>
    </w:p>
    <w:p>
      <w:pPr>
        <w:adjustRightInd w:val="0"/>
        <w:spacing w:line="400" w:lineRule="exact"/>
        <w:ind w:firstLine="480" w:firstLineChars="200"/>
        <w:jc w:val="left"/>
        <w:rPr>
          <w:rFonts w:ascii="仿宋" w:hAnsi="仿宋" w:eastAsia="仿宋" w:cs="仿宋"/>
          <w:color w:val="000000"/>
          <w:sz w:val="24"/>
        </w:rPr>
        <w:sectPr>
          <w:pgSz w:w="11907" w:h="16840"/>
          <w:pgMar w:top="1304" w:right="1304" w:bottom="1327" w:left="1304" w:header="851" w:footer="992" w:gutter="0"/>
          <w:cols w:space="720" w:num="1"/>
          <w:docGrid w:linePitch="312" w:charSpace="0"/>
        </w:sectPr>
      </w:pPr>
      <w:r>
        <w:rPr>
          <w:rFonts w:hint="eastAsia" w:ascii="宋体" w:hAnsi="宋体" w:cs="宋体"/>
          <w:color w:val="000000"/>
          <w:sz w:val="24"/>
        </w:rPr>
        <w:t>投标日期</w:t>
      </w:r>
    </w:p>
    <w:p>
      <w:pPr>
        <w:pStyle w:val="4"/>
        <w:spacing w:line="400" w:lineRule="exact"/>
        <w:ind w:firstLine="2570" w:firstLineChars="800"/>
        <w:rPr>
          <w:rFonts w:ascii="黑体"/>
          <w:b w:val="0"/>
          <w:szCs w:val="28"/>
        </w:rPr>
      </w:pPr>
      <w:bookmarkStart w:id="153" w:name="_Toc501031137"/>
      <w:bookmarkStart w:id="154" w:name="_Toc217446088"/>
      <w:r>
        <w:rPr>
          <w:rFonts w:hint="eastAsia" w:ascii="黑体"/>
        </w:rPr>
        <w:t>四、投标人基本情况表</w:t>
      </w:r>
      <w:bookmarkEnd w:id="153"/>
      <w:bookmarkEnd w:id="154"/>
    </w:p>
    <w:p>
      <w:pPr>
        <w:autoSpaceDE w:val="0"/>
        <w:autoSpaceDN w:val="0"/>
        <w:adjustRightInd w:val="0"/>
        <w:spacing w:beforeLines="50" w:afterLines="50" w:line="400" w:lineRule="exact"/>
        <w:jc w:val="center"/>
        <w:rPr>
          <w:rFonts w:ascii="宋体" w:hAnsi="宋体"/>
          <w:kern w:val="0"/>
          <w:sz w:val="20"/>
        </w:rPr>
      </w:pPr>
    </w:p>
    <w:tbl>
      <w:tblPr>
        <w:tblStyle w:val="39"/>
        <w:tblW w:w="9570"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707"/>
        <w:gridCol w:w="1075"/>
        <w:gridCol w:w="1389"/>
        <w:gridCol w:w="1394"/>
        <w:gridCol w:w="8"/>
        <w:gridCol w:w="1476"/>
        <w:gridCol w:w="178"/>
        <w:gridCol w:w="1126"/>
        <w:gridCol w:w="1217"/>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6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投标人名称</w:t>
            </w:r>
          </w:p>
        </w:tc>
        <w:tc>
          <w:tcPr>
            <w:tcW w:w="7863" w:type="dxa"/>
            <w:gridSpan w:val="8"/>
            <w:vAlign w:val="center"/>
          </w:tcPr>
          <w:p>
            <w:pPr>
              <w:autoSpaceDE w:val="0"/>
              <w:autoSpaceDN w:val="0"/>
              <w:adjustRightInd w:val="0"/>
              <w:spacing w:line="400" w:lineRule="exact"/>
              <w:jc w:val="center"/>
              <w:rPr>
                <w:rFonts w:ascii="宋体" w:hAnsi="宋体"/>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6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注册地址</w:t>
            </w:r>
          </w:p>
        </w:tc>
        <w:tc>
          <w:tcPr>
            <w:tcW w:w="3866" w:type="dxa"/>
            <w:gridSpan w:val="4"/>
            <w:vAlign w:val="center"/>
          </w:tcPr>
          <w:p>
            <w:pPr>
              <w:autoSpaceDE w:val="0"/>
              <w:autoSpaceDN w:val="0"/>
              <w:adjustRightInd w:val="0"/>
              <w:spacing w:line="400" w:lineRule="exact"/>
              <w:jc w:val="center"/>
              <w:rPr>
                <w:rFonts w:ascii="宋体" w:hAnsi="宋体"/>
                <w:kern w:val="0"/>
                <w:szCs w:val="21"/>
              </w:rPr>
            </w:pPr>
          </w:p>
        </w:tc>
        <w:tc>
          <w:tcPr>
            <w:tcW w:w="1476"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邮政编码</w:t>
            </w:r>
          </w:p>
        </w:tc>
        <w:tc>
          <w:tcPr>
            <w:tcW w:w="2521" w:type="dxa"/>
            <w:gridSpan w:val="3"/>
            <w:vAlign w:val="center"/>
          </w:tcPr>
          <w:p>
            <w:pPr>
              <w:autoSpaceDE w:val="0"/>
              <w:autoSpaceDN w:val="0"/>
              <w:adjustRightInd w:val="0"/>
              <w:spacing w:line="400" w:lineRule="exact"/>
              <w:jc w:val="center"/>
              <w:rPr>
                <w:rFonts w:ascii="宋体" w:hAnsi="宋体"/>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2" w:hRule="atLeast"/>
        </w:trPr>
        <w:tc>
          <w:tcPr>
            <w:tcW w:w="1707" w:type="dxa"/>
            <w:vMerge w:val="restart"/>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联系方式</w:t>
            </w:r>
          </w:p>
        </w:tc>
        <w:tc>
          <w:tcPr>
            <w:tcW w:w="1075"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联系人</w:t>
            </w:r>
          </w:p>
        </w:tc>
        <w:tc>
          <w:tcPr>
            <w:tcW w:w="2783" w:type="dxa"/>
            <w:gridSpan w:val="2"/>
            <w:vAlign w:val="center"/>
          </w:tcPr>
          <w:p>
            <w:pPr>
              <w:autoSpaceDE w:val="0"/>
              <w:autoSpaceDN w:val="0"/>
              <w:adjustRightInd w:val="0"/>
              <w:spacing w:line="400" w:lineRule="exact"/>
              <w:jc w:val="center"/>
              <w:rPr>
                <w:rFonts w:ascii="宋体" w:hAnsi="宋体"/>
                <w:kern w:val="0"/>
                <w:szCs w:val="21"/>
              </w:rPr>
            </w:pPr>
          </w:p>
        </w:tc>
        <w:tc>
          <w:tcPr>
            <w:tcW w:w="1484" w:type="dxa"/>
            <w:gridSpan w:val="2"/>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电话</w:t>
            </w:r>
          </w:p>
        </w:tc>
        <w:tc>
          <w:tcPr>
            <w:tcW w:w="2521" w:type="dxa"/>
            <w:gridSpan w:val="3"/>
            <w:vAlign w:val="center"/>
          </w:tcPr>
          <w:p>
            <w:pPr>
              <w:autoSpaceDE w:val="0"/>
              <w:autoSpaceDN w:val="0"/>
              <w:adjustRightInd w:val="0"/>
              <w:spacing w:line="400" w:lineRule="exact"/>
              <w:jc w:val="center"/>
              <w:rPr>
                <w:rFonts w:ascii="宋体" w:hAnsi="宋体"/>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148" w:hRule="atLeast"/>
        </w:trPr>
        <w:tc>
          <w:tcPr>
            <w:tcW w:w="1707" w:type="dxa"/>
            <w:vMerge w:val="continue"/>
            <w:vAlign w:val="center"/>
          </w:tcPr>
          <w:p>
            <w:pPr>
              <w:autoSpaceDE w:val="0"/>
              <w:autoSpaceDN w:val="0"/>
              <w:adjustRightInd w:val="0"/>
              <w:spacing w:line="400" w:lineRule="exact"/>
              <w:jc w:val="center"/>
              <w:rPr>
                <w:rFonts w:ascii="宋体" w:hAnsi="宋体"/>
                <w:kern w:val="0"/>
                <w:szCs w:val="21"/>
              </w:rPr>
            </w:pPr>
          </w:p>
        </w:tc>
        <w:tc>
          <w:tcPr>
            <w:tcW w:w="1075"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传真</w:t>
            </w:r>
          </w:p>
        </w:tc>
        <w:tc>
          <w:tcPr>
            <w:tcW w:w="2783" w:type="dxa"/>
            <w:gridSpan w:val="2"/>
            <w:vAlign w:val="center"/>
          </w:tcPr>
          <w:p>
            <w:pPr>
              <w:autoSpaceDE w:val="0"/>
              <w:autoSpaceDN w:val="0"/>
              <w:adjustRightInd w:val="0"/>
              <w:spacing w:line="400" w:lineRule="exact"/>
              <w:jc w:val="center"/>
              <w:rPr>
                <w:rFonts w:ascii="宋体" w:hAnsi="宋体"/>
                <w:kern w:val="0"/>
                <w:szCs w:val="21"/>
              </w:rPr>
            </w:pPr>
          </w:p>
        </w:tc>
        <w:tc>
          <w:tcPr>
            <w:tcW w:w="1484" w:type="dxa"/>
            <w:gridSpan w:val="2"/>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网址</w:t>
            </w:r>
          </w:p>
        </w:tc>
        <w:tc>
          <w:tcPr>
            <w:tcW w:w="2521" w:type="dxa"/>
            <w:gridSpan w:val="3"/>
            <w:vAlign w:val="center"/>
          </w:tcPr>
          <w:p>
            <w:pPr>
              <w:autoSpaceDE w:val="0"/>
              <w:autoSpaceDN w:val="0"/>
              <w:adjustRightInd w:val="0"/>
              <w:spacing w:line="400" w:lineRule="exact"/>
              <w:jc w:val="center"/>
              <w:rPr>
                <w:rFonts w:ascii="宋体" w:hAnsi="宋体"/>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组织结构</w:t>
            </w:r>
          </w:p>
        </w:tc>
        <w:tc>
          <w:tcPr>
            <w:tcW w:w="7863" w:type="dxa"/>
            <w:gridSpan w:val="8"/>
            <w:vAlign w:val="center"/>
          </w:tcPr>
          <w:p>
            <w:pPr>
              <w:autoSpaceDE w:val="0"/>
              <w:autoSpaceDN w:val="0"/>
              <w:adjustRightInd w:val="0"/>
              <w:spacing w:line="400" w:lineRule="exact"/>
              <w:jc w:val="center"/>
              <w:rPr>
                <w:rFonts w:ascii="宋体" w:hAnsi="宋体"/>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46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法定代表人</w:t>
            </w:r>
          </w:p>
        </w:tc>
        <w:tc>
          <w:tcPr>
            <w:tcW w:w="1075"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姓名</w:t>
            </w:r>
          </w:p>
        </w:tc>
        <w:tc>
          <w:tcPr>
            <w:tcW w:w="1389" w:type="dxa"/>
            <w:vAlign w:val="center"/>
          </w:tcPr>
          <w:p>
            <w:pPr>
              <w:autoSpaceDE w:val="0"/>
              <w:autoSpaceDN w:val="0"/>
              <w:adjustRightInd w:val="0"/>
              <w:spacing w:line="400" w:lineRule="exact"/>
              <w:jc w:val="center"/>
              <w:rPr>
                <w:rFonts w:ascii="宋体" w:hAnsi="宋体"/>
                <w:kern w:val="0"/>
                <w:szCs w:val="21"/>
              </w:rPr>
            </w:pPr>
          </w:p>
        </w:tc>
        <w:tc>
          <w:tcPr>
            <w:tcW w:w="1394"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技术职称</w:t>
            </w:r>
          </w:p>
        </w:tc>
        <w:tc>
          <w:tcPr>
            <w:tcW w:w="1484" w:type="dxa"/>
            <w:gridSpan w:val="2"/>
            <w:vAlign w:val="center"/>
          </w:tcPr>
          <w:p>
            <w:pPr>
              <w:autoSpaceDE w:val="0"/>
              <w:autoSpaceDN w:val="0"/>
              <w:adjustRightInd w:val="0"/>
              <w:spacing w:line="400" w:lineRule="exact"/>
              <w:jc w:val="center"/>
              <w:rPr>
                <w:rFonts w:ascii="宋体" w:hAnsi="宋体"/>
                <w:kern w:val="0"/>
                <w:szCs w:val="21"/>
              </w:rPr>
            </w:pPr>
          </w:p>
        </w:tc>
        <w:tc>
          <w:tcPr>
            <w:tcW w:w="1304" w:type="dxa"/>
            <w:gridSpan w:val="2"/>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电话</w:t>
            </w:r>
          </w:p>
        </w:tc>
        <w:tc>
          <w:tcPr>
            <w:tcW w:w="1217" w:type="dxa"/>
            <w:vAlign w:val="center"/>
          </w:tcPr>
          <w:p>
            <w:pPr>
              <w:autoSpaceDE w:val="0"/>
              <w:autoSpaceDN w:val="0"/>
              <w:adjustRightInd w:val="0"/>
              <w:spacing w:line="400" w:lineRule="exact"/>
              <w:jc w:val="center"/>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44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技术负责人</w:t>
            </w:r>
          </w:p>
        </w:tc>
        <w:tc>
          <w:tcPr>
            <w:tcW w:w="1075"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姓名</w:t>
            </w:r>
          </w:p>
        </w:tc>
        <w:tc>
          <w:tcPr>
            <w:tcW w:w="1389" w:type="dxa"/>
            <w:vAlign w:val="center"/>
          </w:tcPr>
          <w:p>
            <w:pPr>
              <w:autoSpaceDE w:val="0"/>
              <w:autoSpaceDN w:val="0"/>
              <w:adjustRightInd w:val="0"/>
              <w:spacing w:line="400" w:lineRule="exact"/>
              <w:jc w:val="center"/>
              <w:rPr>
                <w:rFonts w:ascii="宋体" w:hAnsi="宋体"/>
                <w:kern w:val="0"/>
                <w:szCs w:val="21"/>
              </w:rPr>
            </w:pPr>
          </w:p>
        </w:tc>
        <w:tc>
          <w:tcPr>
            <w:tcW w:w="1394"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技术职称</w:t>
            </w:r>
          </w:p>
        </w:tc>
        <w:tc>
          <w:tcPr>
            <w:tcW w:w="1484" w:type="dxa"/>
            <w:gridSpan w:val="2"/>
            <w:vAlign w:val="center"/>
          </w:tcPr>
          <w:p>
            <w:pPr>
              <w:autoSpaceDE w:val="0"/>
              <w:autoSpaceDN w:val="0"/>
              <w:adjustRightInd w:val="0"/>
              <w:spacing w:line="400" w:lineRule="exact"/>
              <w:jc w:val="center"/>
              <w:rPr>
                <w:rFonts w:ascii="宋体" w:hAnsi="宋体"/>
                <w:kern w:val="0"/>
                <w:szCs w:val="21"/>
              </w:rPr>
            </w:pPr>
          </w:p>
        </w:tc>
        <w:tc>
          <w:tcPr>
            <w:tcW w:w="1304" w:type="dxa"/>
            <w:gridSpan w:val="2"/>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电话</w:t>
            </w:r>
          </w:p>
        </w:tc>
        <w:tc>
          <w:tcPr>
            <w:tcW w:w="1217" w:type="dxa"/>
            <w:vAlign w:val="center"/>
          </w:tcPr>
          <w:p>
            <w:pPr>
              <w:autoSpaceDE w:val="0"/>
              <w:autoSpaceDN w:val="0"/>
              <w:adjustRightInd w:val="0"/>
              <w:spacing w:line="400" w:lineRule="exact"/>
              <w:jc w:val="center"/>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成立时间</w:t>
            </w:r>
          </w:p>
        </w:tc>
        <w:tc>
          <w:tcPr>
            <w:tcW w:w="2464" w:type="dxa"/>
            <w:gridSpan w:val="2"/>
            <w:vAlign w:val="center"/>
          </w:tcPr>
          <w:p>
            <w:pPr>
              <w:autoSpaceDE w:val="0"/>
              <w:autoSpaceDN w:val="0"/>
              <w:adjustRightInd w:val="0"/>
              <w:spacing w:line="400" w:lineRule="exact"/>
              <w:jc w:val="center"/>
              <w:rPr>
                <w:rFonts w:ascii="宋体" w:hAnsi="宋体"/>
                <w:kern w:val="0"/>
                <w:szCs w:val="21"/>
              </w:rPr>
            </w:pPr>
          </w:p>
        </w:tc>
        <w:tc>
          <w:tcPr>
            <w:tcW w:w="5399" w:type="dxa"/>
            <w:gridSpan w:val="6"/>
            <w:vAlign w:val="center"/>
          </w:tcPr>
          <w:p>
            <w:pPr>
              <w:autoSpaceDE w:val="0"/>
              <w:autoSpaceDN w:val="0"/>
              <w:adjustRightInd w:val="0"/>
              <w:spacing w:line="400" w:lineRule="exact"/>
              <w:ind w:firstLine="1470" w:firstLineChars="700"/>
              <w:rPr>
                <w:rFonts w:ascii="宋体" w:hAnsi="宋体"/>
                <w:kern w:val="0"/>
                <w:szCs w:val="21"/>
              </w:rPr>
            </w:pPr>
            <w:r>
              <w:rPr>
                <w:rFonts w:hint="eastAsia" w:ascii="宋体" w:hAnsi="宋体"/>
                <w:kern w:val="0"/>
                <w:szCs w:val="21"/>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6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企业资质等级</w:t>
            </w:r>
          </w:p>
        </w:tc>
        <w:tc>
          <w:tcPr>
            <w:tcW w:w="2464" w:type="dxa"/>
            <w:gridSpan w:val="2"/>
            <w:vAlign w:val="center"/>
          </w:tcPr>
          <w:p>
            <w:pPr>
              <w:autoSpaceDE w:val="0"/>
              <w:autoSpaceDN w:val="0"/>
              <w:adjustRightInd w:val="0"/>
              <w:spacing w:line="400" w:lineRule="exact"/>
              <w:jc w:val="center"/>
              <w:rPr>
                <w:rFonts w:ascii="宋体" w:hAnsi="宋体"/>
                <w:kern w:val="0"/>
                <w:szCs w:val="21"/>
              </w:rPr>
            </w:pPr>
          </w:p>
        </w:tc>
        <w:tc>
          <w:tcPr>
            <w:tcW w:w="1394" w:type="dxa"/>
            <w:vMerge w:val="restart"/>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其中</w:t>
            </w:r>
          </w:p>
        </w:tc>
        <w:tc>
          <w:tcPr>
            <w:tcW w:w="1662" w:type="dxa"/>
            <w:gridSpan w:val="3"/>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项目经理</w:t>
            </w:r>
          </w:p>
        </w:tc>
        <w:tc>
          <w:tcPr>
            <w:tcW w:w="2343" w:type="dxa"/>
            <w:gridSpan w:val="2"/>
            <w:vAlign w:val="center"/>
          </w:tcPr>
          <w:p>
            <w:pPr>
              <w:autoSpaceDE w:val="0"/>
              <w:autoSpaceDN w:val="0"/>
              <w:adjustRightInd w:val="0"/>
              <w:spacing w:line="400" w:lineRule="exact"/>
              <w:jc w:val="center"/>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营业执照号</w:t>
            </w:r>
          </w:p>
        </w:tc>
        <w:tc>
          <w:tcPr>
            <w:tcW w:w="2464" w:type="dxa"/>
            <w:gridSpan w:val="2"/>
            <w:vAlign w:val="center"/>
          </w:tcPr>
          <w:p>
            <w:pPr>
              <w:autoSpaceDE w:val="0"/>
              <w:autoSpaceDN w:val="0"/>
              <w:adjustRightInd w:val="0"/>
              <w:spacing w:line="400" w:lineRule="exact"/>
              <w:jc w:val="center"/>
              <w:rPr>
                <w:rFonts w:ascii="宋体" w:hAnsi="宋体"/>
                <w:kern w:val="0"/>
                <w:szCs w:val="21"/>
              </w:rPr>
            </w:pPr>
          </w:p>
        </w:tc>
        <w:tc>
          <w:tcPr>
            <w:tcW w:w="1394" w:type="dxa"/>
            <w:vMerge w:val="continue"/>
            <w:vAlign w:val="center"/>
          </w:tcPr>
          <w:p>
            <w:pPr>
              <w:autoSpaceDE w:val="0"/>
              <w:autoSpaceDN w:val="0"/>
              <w:adjustRightInd w:val="0"/>
              <w:spacing w:line="400" w:lineRule="exact"/>
              <w:jc w:val="center"/>
              <w:rPr>
                <w:rFonts w:ascii="宋体" w:hAnsi="宋体"/>
                <w:kern w:val="0"/>
                <w:szCs w:val="21"/>
              </w:rPr>
            </w:pPr>
          </w:p>
        </w:tc>
        <w:tc>
          <w:tcPr>
            <w:tcW w:w="1662" w:type="dxa"/>
            <w:gridSpan w:val="3"/>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高级职称人员</w:t>
            </w:r>
          </w:p>
        </w:tc>
        <w:tc>
          <w:tcPr>
            <w:tcW w:w="2343" w:type="dxa"/>
            <w:gridSpan w:val="2"/>
            <w:vAlign w:val="center"/>
          </w:tcPr>
          <w:p>
            <w:pPr>
              <w:autoSpaceDE w:val="0"/>
              <w:autoSpaceDN w:val="0"/>
              <w:adjustRightInd w:val="0"/>
              <w:spacing w:line="400" w:lineRule="exact"/>
              <w:jc w:val="center"/>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注册资金</w:t>
            </w:r>
          </w:p>
        </w:tc>
        <w:tc>
          <w:tcPr>
            <w:tcW w:w="2464" w:type="dxa"/>
            <w:gridSpan w:val="2"/>
            <w:vAlign w:val="center"/>
          </w:tcPr>
          <w:p>
            <w:pPr>
              <w:autoSpaceDE w:val="0"/>
              <w:autoSpaceDN w:val="0"/>
              <w:adjustRightInd w:val="0"/>
              <w:spacing w:line="400" w:lineRule="exact"/>
              <w:jc w:val="center"/>
              <w:rPr>
                <w:rFonts w:ascii="宋体" w:hAnsi="宋体"/>
                <w:kern w:val="0"/>
                <w:szCs w:val="21"/>
              </w:rPr>
            </w:pPr>
          </w:p>
        </w:tc>
        <w:tc>
          <w:tcPr>
            <w:tcW w:w="1394" w:type="dxa"/>
            <w:vMerge w:val="continue"/>
            <w:vAlign w:val="center"/>
          </w:tcPr>
          <w:p>
            <w:pPr>
              <w:autoSpaceDE w:val="0"/>
              <w:autoSpaceDN w:val="0"/>
              <w:adjustRightInd w:val="0"/>
              <w:spacing w:line="400" w:lineRule="exact"/>
              <w:jc w:val="center"/>
              <w:rPr>
                <w:rFonts w:ascii="宋体" w:hAnsi="宋体"/>
                <w:kern w:val="0"/>
                <w:szCs w:val="21"/>
              </w:rPr>
            </w:pPr>
          </w:p>
        </w:tc>
        <w:tc>
          <w:tcPr>
            <w:tcW w:w="1662" w:type="dxa"/>
            <w:gridSpan w:val="3"/>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中级职称人员</w:t>
            </w:r>
          </w:p>
        </w:tc>
        <w:tc>
          <w:tcPr>
            <w:tcW w:w="2343" w:type="dxa"/>
            <w:gridSpan w:val="2"/>
            <w:vAlign w:val="center"/>
          </w:tcPr>
          <w:p>
            <w:pPr>
              <w:autoSpaceDE w:val="0"/>
              <w:autoSpaceDN w:val="0"/>
              <w:adjustRightInd w:val="0"/>
              <w:spacing w:line="400" w:lineRule="exact"/>
              <w:jc w:val="center"/>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6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开户银行</w:t>
            </w:r>
          </w:p>
        </w:tc>
        <w:tc>
          <w:tcPr>
            <w:tcW w:w="2464" w:type="dxa"/>
            <w:gridSpan w:val="2"/>
            <w:vAlign w:val="center"/>
          </w:tcPr>
          <w:p>
            <w:pPr>
              <w:autoSpaceDE w:val="0"/>
              <w:autoSpaceDN w:val="0"/>
              <w:adjustRightInd w:val="0"/>
              <w:spacing w:line="400" w:lineRule="exact"/>
              <w:jc w:val="center"/>
              <w:rPr>
                <w:rFonts w:ascii="宋体" w:hAnsi="宋体"/>
                <w:kern w:val="0"/>
                <w:szCs w:val="21"/>
              </w:rPr>
            </w:pPr>
          </w:p>
        </w:tc>
        <w:tc>
          <w:tcPr>
            <w:tcW w:w="1394" w:type="dxa"/>
            <w:vMerge w:val="continue"/>
            <w:vAlign w:val="center"/>
          </w:tcPr>
          <w:p>
            <w:pPr>
              <w:autoSpaceDE w:val="0"/>
              <w:autoSpaceDN w:val="0"/>
              <w:adjustRightInd w:val="0"/>
              <w:spacing w:line="400" w:lineRule="exact"/>
              <w:jc w:val="center"/>
              <w:rPr>
                <w:rFonts w:ascii="宋体" w:hAnsi="宋体"/>
                <w:kern w:val="0"/>
                <w:szCs w:val="21"/>
              </w:rPr>
            </w:pPr>
          </w:p>
        </w:tc>
        <w:tc>
          <w:tcPr>
            <w:tcW w:w="1662" w:type="dxa"/>
            <w:gridSpan w:val="3"/>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初级职称人员</w:t>
            </w:r>
          </w:p>
        </w:tc>
        <w:tc>
          <w:tcPr>
            <w:tcW w:w="2343" w:type="dxa"/>
            <w:gridSpan w:val="2"/>
            <w:vAlign w:val="center"/>
          </w:tcPr>
          <w:p>
            <w:pPr>
              <w:autoSpaceDE w:val="0"/>
              <w:autoSpaceDN w:val="0"/>
              <w:adjustRightInd w:val="0"/>
              <w:spacing w:line="400" w:lineRule="exact"/>
              <w:jc w:val="center"/>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账号</w:t>
            </w:r>
          </w:p>
        </w:tc>
        <w:tc>
          <w:tcPr>
            <w:tcW w:w="2464" w:type="dxa"/>
            <w:gridSpan w:val="2"/>
            <w:vAlign w:val="center"/>
          </w:tcPr>
          <w:p>
            <w:pPr>
              <w:autoSpaceDE w:val="0"/>
              <w:autoSpaceDN w:val="0"/>
              <w:adjustRightInd w:val="0"/>
              <w:spacing w:line="400" w:lineRule="exact"/>
              <w:jc w:val="center"/>
              <w:rPr>
                <w:rFonts w:ascii="宋体" w:hAnsi="宋体"/>
                <w:kern w:val="0"/>
                <w:szCs w:val="21"/>
              </w:rPr>
            </w:pPr>
          </w:p>
        </w:tc>
        <w:tc>
          <w:tcPr>
            <w:tcW w:w="1394" w:type="dxa"/>
            <w:vMerge w:val="continue"/>
            <w:vAlign w:val="center"/>
          </w:tcPr>
          <w:p>
            <w:pPr>
              <w:autoSpaceDE w:val="0"/>
              <w:autoSpaceDN w:val="0"/>
              <w:adjustRightInd w:val="0"/>
              <w:spacing w:line="400" w:lineRule="exact"/>
              <w:jc w:val="center"/>
              <w:rPr>
                <w:rFonts w:ascii="宋体" w:hAnsi="宋体"/>
                <w:kern w:val="0"/>
                <w:szCs w:val="21"/>
              </w:rPr>
            </w:pPr>
          </w:p>
        </w:tc>
        <w:tc>
          <w:tcPr>
            <w:tcW w:w="1662" w:type="dxa"/>
            <w:gridSpan w:val="3"/>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技工</w:t>
            </w:r>
          </w:p>
        </w:tc>
        <w:tc>
          <w:tcPr>
            <w:tcW w:w="2343" w:type="dxa"/>
            <w:gridSpan w:val="2"/>
            <w:vAlign w:val="center"/>
          </w:tcPr>
          <w:p>
            <w:pPr>
              <w:autoSpaceDE w:val="0"/>
              <w:autoSpaceDN w:val="0"/>
              <w:adjustRightInd w:val="0"/>
              <w:spacing w:line="400" w:lineRule="exact"/>
              <w:jc w:val="center"/>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2442" w:hRule="atLeast"/>
        </w:trPr>
        <w:tc>
          <w:tcPr>
            <w:tcW w:w="1707" w:type="dxa"/>
            <w:vAlign w:val="center"/>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经营范围</w:t>
            </w:r>
          </w:p>
        </w:tc>
        <w:tc>
          <w:tcPr>
            <w:tcW w:w="7863" w:type="dxa"/>
            <w:gridSpan w:val="8"/>
            <w:vAlign w:val="center"/>
          </w:tcPr>
          <w:p>
            <w:pPr>
              <w:autoSpaceDE w:val="0"/>
              <w:autoSpaceDN w:val="0"/>
              <w:adjustRightInd w:val="0"/>
              <w:spacing w:line="400" w:lineRule="exact"/>
              <w:rPr>
                <w:rFonts w:ascii="宋体" w:hAnsi="宋体"/>
                <w:b/>
                <w:bCs/>
                <w:kern w:val="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1072" w:hRule="atLeast"/>
        </w:trPr>
        <w:tc>
          <w:tcPr>
            <w:tcW w:w="1707" w:type="dxa"/>
          </w:tcPr>
          <w:p>
            <w:pPr>
              <w:autoSpaceDE w:val="0"/>
              <w:autoSpaceDN w:val="0"/>
              <w:adjustRightInd w:val="0"/>
              <w:spacing w:line="400" w:lineRule="exact"/>
              <w:jc w:val="center"/>
              <w:rPr>
                <w:rFonts w:ascii="宋体" w:hAnsi="宋体"/>
                <w:kern w:val="0"/>
                <w:szCs w:val="21"/>
              </w:rPr>
            </w:pPr>
            <w:r>
              <w:rPr>
                <w:rFonts w:hint="eastAsia" w:ascii="宋体" w:hAnsi="宋体"/>
                <w:kern w:val="0"/>
                <w:szCs w:val="21"/>
              </w:rPr>
              <w:t>备注</w:t>
            </w:r>
          </w:p>
        </w:tc>
        <w:tc>
          <w:tcPr>
            <w:tcW w:w="7863" w:type="dxa"/>
            <w:gridSpan w:val="8"/>
          </w:tcPr>
          <w:p>
            <w:pPr>
              <w:autoSpaceDE w:val="0"/>
              <w:autoSpaceDN w:val="0"/>
              <w:adjustRightInd w:val="0"/>
              <w:spacing w:line="400" w:lineRule="exact"/>
              <w:jc w:val="left"/>
              <w:rPr>
                <w:rFonts w:ascii="宋体" w:hAnsi="宋体"/>
                <w:kern w:val="0"/>
                <w:szCs w:val="21"/>
              </w:rPr>
            </w:pPr>
          </w:p>
        </w:tc>
      </w:tr>
    </w:tbl>
    <w:p>
      <w:pPr>
        <w:adjustRightInd w:val="0"/>
        <w:spacing w:line="400" w:lineRule="exact"/>
        <w:jc w:val="left"/>
        <w:rPr>
          <w:rFonts w:ascii="宋体" w:hAnsi="宋体"/>
          <w:bCs/>
          <w:sz w:val="24"/>
        </w:rPr>
      </w:pPr>
      <w:r>
        <w:rPr>
          <w:rFonts w:hint="eastAsia" w:ascii="宋体" w:hAnsi="宋体"/>
          <w:bCs/>
          <w:sz w:val="24"/>
        </w:rPr>
        <w:t>投标人名称（盖章）：</w:t>
      </w:r>
      <w:r>
        <w:rPr>
          <w:rFonts w:hint="eastAsia"/>
          <w:bCs/>
          <w:sz w:val="24"/>
          <w:u w:val="single"/>
        </w:rPr>
        <w:t>　　　　　　　　　　　　　　　　　　　　　　　　　　</w:t>
      </w:r>
    </w:p>
    <w:p>
      <w:pPr>
        <w:adjustRightInd w:val="0"/>
        <w:spacing w:line="400" w:lineRule="exact"/>
        <w:ind w:firstLine="420" w:firstLineChars="175"/>
        <w:jc w:val="left"/>
        <w:rPr>
          <w:rFonts w:ascii="宋体" w:hAnsi="宋体"/>
          <w:bCs/>
          <w:sz w:val="24"/>
        </w:rPr>
      </w:pPr>
      <w:r>
        <w:rPr>
          <w:rFonts w:hint="eastAsia" w:ascii="宋体" w:hAnsi="宋体"/>
          <w:sz w:val="24"/>
        </w:rPr>
        <w:t>法定代表人或授权代表（签字）</w:t>
      </w:r>
      <w:r>
        <w:rPr>
          <w:rFonts w:hint="eastAsia" w:ascii="宋体" w:hAnsi="宋体"/>
          <w:bCs/>
          <w:sz w:val="24"/>
        </w:rPr>
        <w:t>：</w:t>
      </w:r>
      <w:r>
        <w:rPr>
          <w:rFonts w:hint="eastAsia"/>
          <w:bCs/>
          <w:sz w:val="24"/>
          <w:u w:val="single"/>
        </w:rPr>
        <w:t>　　　　　　　　　　　　　　　　　　　　　</w:t>
      </w:r>
    </w:p>
    <w:p>
      <w:pPr>
        <w:adjustRightInd w:val="0"/>
        <w:spacing w:line="400" w:lineRule="exact"/>
        <w:ind w:firstLine="420" w:firstLineChars="175"/>
        <w:jc w:val="left"/>
        <w:rPr>
          <w:rFonts w:ascii="宋体" w:hAnsi="宋体"/>
          <w:sz w:val="24"/>
        </w:rPr>
      </w:pPr>
      <w:r>
        <w:rPr>
          <w:rFonts w:hint="eastAsia" w:ascii="宋体" w:hAnsi="宋体"/>
          <w:sz w:val="24"/>
        </w:rPr>
        <w:t>日     期：     年  月  日</w:t>
      </w:r>
    </w:p>
    <w:p>
      <w:pPr>
        <w:adjustRightInd w:val="0"/>
        <w:spacing w:line="400" w:lineRule="exact"/>
        <w:ind w:left="1259" w:leftChars="228" w:hanging="780" w:hangingChars="325"/>
        <w:jc w:val="left"/>
        <w:rPr>
          <w:rFonts w:ascii="黑体"/>
          <w:szCs w:val="28"/>
        </w:rPr>
      </w:pPr>
      <w:r>
        <w:rPr>
          <w:rFonts w:hint="eastAsia" w:ascii="宋体" w:hAnsi="宋体"/>
          <w:bCs/>
          <w:color w:val="C00000"/>
          <w:sz w:val="24"/>
        </w:rPr>
        <w:t>　　　　　　　　　　　　　　　　　　　　　　　　　　　　</w:t>
      </w:r>
      <w:bookmarkStart w:id="155" w:name="_Toc217446089"/>
      <w:bookmarkStart w:id="156" w:name="_Toc501031138"/>
      <w:r>
        <w:rPr>
          <w:rFonts w:hint="eastAsia" w:ascii="宋体" w:hAnsi="宋体"/>
          <w:bCs/>
          <w:color w:val="C00000"/>
          <w:sz w:val="24"/>
        </w:rPr>
        <w:br w:type="textWrapping"/>
      </w:r>
      <w:r>
        <w:rPr>
          <w:rFonts w:hint="eastAsia" w:ascii="宋体" w:hAnsi="宋体" w:cs="Arial"/>
          <w:b/>
        </w:rPr>
        <w:t>五、投标人类似项目业绩一览表</w:t>
      </w:r>
      <w:bookmarkEnd w:id="155"/>
      <w:bookmarkEnd w:id="156"/>
    </w:p>
    <w:p>
      <w:pPr>
        <w:spacing w:line="400" w:lineRule="exact"/>
        <w:rPr>
          <w:rFonts w:ascii="宋体" w:hAnsi="宋体" w:cs="Arial"/>
          <w:sz w:val="24"/>
        </w:rPr>
      </w:pPr>
    </w:p>
    <w:tbl>
      <w:tblPr>
        <w:tblStyle w:val="39"/>
        <w:tblW w:w="8580"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320"/>
        <w:gridCol w:w="1161"/>
        <w:gridCol w:w="1260"/>
        <w:gridCol w:w="9"/>
        <w:gridCol w:w="1356"/>
        <w:gridCol w:w="9"/>
        <w:gridCol w:w="13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tcBorders>
              <w:top w:val="single" w:color="auto" w:sz="4" w:space="0"/>
            </w:tcBorders>
            <w:vAlign w:val="center"/>
          </w:tcPr>
          <w:p>
            <w:pPr>
              <w:spacing w:line="400" w:lineRule="exact"/>
              <w:ind w:firstLine="105" w:firstLineChars="50"/>
              <w:rPr>
                <w:rFonts w:ascii="宋体" w:hAnsi="宋体" w:cs="Arial"/>
                <w:b/>
              </w:rPr>
            </w:pPr>
            <w:r>
              <w:rPr>
                <w:rFonts w:hint="eastAsia" w:ascii="宋体" w:hAnsi="宋体" w:cs="Arial"/>
                <w:b/>
              </w:rPr>
              <w:t>年份</w:t>
            </w:r>
          </w:p>
        </w:tc>
        <w:tc>
          <w:tcPr>
            <w:tcW w:w="1440" w:type="dxa"/>
            <w:vAlign w:val="center"/>
          </w:tcPr>
          <w:p>
            <w:pPr>
              <w:spacing w:line="400" w:lineRule="exact"/>
              <w:jc w:val="center"/>
              <w:rPr>
                <w:rFonts w:ascii="宋体" w:hAnsi="宋体" w:cs="Arial"/>
                <w:b/>
              </w:rPr>
            </w:pPr>
            <w:r>
              <w:rPr>
                <w:rFonts w:hint="eastAsia" w:ascii="宋体" w:hAnsi="宋体" w:cs="Arial"/>
                <w:b/>
              </w:rPr>
              <w:t>用户名称</w:t>
            </w:r>
          </w:p>
        </w:tc>
        <w:tc>
          <w:tcPr>
            <w:tcW w:w="1320" w:type="dxa"/>
            <w:vAlign w:val="center"/>
          </w:tcPr>
          <w:p>
            <w:pPr>
              <w:spacing w:line="400" w:lineRule="exact"/>
              <w:jc w:val="center"/>
              <w:rPr>
                <w:rFonts w:ascii="宋体" w:hAnsi="宋体" w:cs="Arial"/>
                <w:b/>
              </w:rPr>
            </w:pPr>
            <w:r>
              <w:rPr>
                <w:rFonts w:ascii="宋体" w:hAnsi="宋体" w:cs="Arial"/>
                <w:b/>
              </w:rPr>
              <w:t>项目名称</w:t>
            </w:r>
          </w:p>
        </w:tc>
        <w:tc>
          <w:tcPr>
            <w:tcW w:w="1161" w:type="dxa"/>
            <w:vAlign w:val="center"/>
          </w:tcPr>
          <w:p>
            <w:pPr>
              <w:spacing w:line="400" w:lineRule="exact"/>
              <w:jc w:val="center"/>
              <w:rPr>
                <w:rFonts w:ascii="宋体" w:hAnsi="宋体" w:cs="Arial"/>
                <w:b/>
              </w:rPr>
            </w:pPr>
            <w:r>
              <w:rPr>
                <w:rFonts w:ascii="宋体" w:hAnsi="宋体" w:cs="Arial"/>
                <w:b/>
              </w:rPr>
              <w:t>完成时间</w:t>
            </w:r>
          </w:p>
        </w:tc>
        <w:tc>
          <w:tcPr>
            <w:tcW w:w="1260" w:type="dxa"/>
            <w:vAlign w:val="center"/>
          </w:tcPr>
          <w:p>
            <w:pPr>
              <w:spacing w:line="400" w:lineRule="exact"/>
              <w:ind w:firstLine="105" w:firstLineChars="50"/>
              <w:rPr>
                <w:rFonts w:ascii="宋体" w:hAnsi="宋体" w:cs="Arial"/>
                <w:b/>
              </w:rPr>
            </w:pPr>
            <w:r>
              <w:rPr>
                <w:rFonts w:ascii="宋体" w:hAnsi="宋体" w:cs="Arial"/>
                <w:b/>
              </w:rPr>
              <w:t>合同金额</w:t>
            </w:r>
          </w:p>
        </w:tc>
        <w:tc>
          <w:tcPr>
            <w:tcW w:w="1374" w:type="dxa"/>
            <w:gridSpan w:val="3"/>
            <w:tcBorders>
              <w:right w:val="single" w:color="auto" w:sz="4" w:space="0"/>
            </w:tcBorders>
            <w:vAlign w:val="center"/>
          </w:tcPr>
          <w:p>
            <w:pPr>
              <w:spacing w:line="400" w:lineRule="exact"/>
              <w:rPr>
                <w:rFonts w:ascii="宋体" w:hAnsi="宋体" w:cs="Arial"/>
                <w:b/>
              </w:rPr>
            </w:pPr>
            <w:r>
              <w:rPr>
                <w:rFonts w:hint="eastAsia" w:ascii="宋体" w:hAnsi="宋体" w:cs="Arial"/>
                <w:b/>
              </w:rPr>
              <w:t>完成项目质量</w:t>
            </w:r>
          </w:p>
        </w:tc>
        <w:tc>
          <w:tcPr>
            <w:tcW w:w="1305" w:type="dxa"/>
            <w:tcBorders>
              <w:left w:val="single" w:color="auto" w:sz="4" w:space="0"/>
            </w:tcBorders>
            <w:vAlign w:val="center"/>
          </w:tcPr>
          <w:p>
            <w:pPr>
              <w:spacing w:line="400" w:lineRule="exact"/>
              <w:rPr>
                <w:rFonts w:ascii="宋体" w:hAnsi="宋体" w:cs="Arial"/>
                <w:b/>
              </w:rPr>
            </w:pPr>
            <w:r>
              <w:rPr>
                <w:rFonts w:hint="eastAsia" w:ascii="宋体" w:hAnsi="宋体" w:cs="Arial"/>
                <w:b/>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vAlign w:val="center"/>
          </w:tcPr>
          <w:p>
            <w:pPr>
              <w:spacing w:line="400" w:lineRule="exact"/>
              <w:jc w:val="center"/>
              <w:rPr>
                <w:rFonts w:ascii="宋体" w:hAnsi="宋体" w:cs="Arial"/>
              </w:rPr>
            </w:pPr>
          </w:p>
        </w:tc>
        <w:tc>
          <w:tcPr>
            <w:tcW w:w="1440" w:type="dxa"/>
            <w:vAlign w:val="center"/>
          </w:tcPr>
          <w:p>
            <w:pPr>
              <w:spacing w:line="400" w:lineRule="exact"/>
              <w:jc w:val="center"/>
              <w:rPr>
                <w:rFonts w:ascii="宋体" w:hAnsi="宋体" w:cs="Arial"/>
              </w:rPr>
            </w:pPr>
          </w:p>
        </w:tc>
        <w:tc>
          <w:tcPr>
            <w:tcW w:w="1320" w:type="dxa"/>
            <w:vAlign w:val="center"/>
          </w:tcPr>
          <w:p>
            <w:pPr>
              <w:spacing w:line="400" w:lineRule="exact"/>
              <w:jc w:val="center"/>
              <w:rPr>
                <w:rFonts w:ascii="宋体" w:hAnsi="宋体" w:cs="Arial"/>
              </w:rPr>
            </w:pPr>
          </w:p>
        </w:tc>
        <w:tc>
          <w:tcPr>
            <w:tcW w:w="1161" w:type="dxa"/>
            <w:vAlign w:val="center"/>
          </w:tcPr>
          <w:p>
            <w:pPr>
              <w:spacing w:line="400" w:lineRule="exact"/>
              <w:jc w:val="center"/>
              <w:rPr>
                <w:rFonts w:ascii="宋体" w:hAnsi="宋体" w:cs="Arial"/>
              </w:rPr>
            </w:pPr>
          </w:p>
        </w:tc>
        <w:tc>
          <w:tcPr>
            <w:tcW w:w="1260" w:type="dxa"/>
            <w:vAlign w:val="center"/>
          </w:tcPr>
          <w:p>
            <w:pPr>
              <w:spacing w:line="400" w:lineRule="exact"/>
              <w:jc w:val="center"/>
              <w:rPr>
                <w:rFonts w:ascii="宋体" w:hAnsi="宋体" w:cs="Arial"/>
              </w:rPr>
            </w:pPr>
          </w:p>
        </w:tc>
        <w:tc>
          <w:tcPr>
            <w:tcW w:w="1374" w:type="dxa"/>
            <w:gridSpan w:val="3"/>
            <w:tcBorders>
              <w:right w:val="single" w:color="auto" w:sz="4" w:space="0"/>
            </w:tcBorders>
            <w:vAlign w:val="center"/>
          </w:tcPr>
          <w:p>
            <w:pPr>
              <w:spacing w:line="400" w:lineRule="exact"/>
              <w:jc w:val="center"/>
              <w:rPr>
                <w:rFonts w:ascii="宋体" w:hAnsi="宋体" w:cs="Arial"/>
              </w:rPr>
            </w:pPr>
          </w:p>
        </w:tc>
        <w:tc>
          <w:tcPr>
            <w:tcW w:w="1305"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vAlign w:val="center"/>
          </w:tcPr>
          <w:p>
            <w:pPr>
              <w:spacing w:line="400" w:lineRule="exact"/>
              <w:jc w:val="center"/>
              <w:rPr>
                <w:rFonts w:ascii="宋体" w:hAnsi="宋体" w:cs="Arial"/>
              </w:rPr>
            </w:pPr>
          </w:p>
        </w:tc>
        <w:tc>
          <w:tcPr>
            <w:tcW w:w="1440" w:type="dxa"/>
            <w:vAlign w:val="center"/>
          </w:tcPr>
          <w:p>
            <w:pPr>
              <w:spacing w:line="400" w:lineRule="exact"/>
              <w:jc w:val="center"/>
              <w:rPr>
                <w:rFonts w:ascii="宋体" w:hAnsi="宋体" w:cs="Arial"/>
              </w:rPr>
            </w:pPr>
          </w:p>
        </w:tc>
        <w:tc>
          <w:tcPr>
            <w:tcW w:w="1320" w:type="dxa"/>
            <w:vAlign w:val="center"/>
          </w:tcPr>
          <w:p>
            <w:pPr>
              <w:spacing w:line="400" w:lineRule="exact"/>
              <w:jc w:val="center"/>
              <w:rPr>
                <w:rFonts w:ascii="宋体" w:hAnsi="宋体" w:cs="Arial"/>
              </w:rPr>
            </w:pPr>
          </w:p>
        </w:tc>
        <w:tc>
          <w:tcPr>
            <w:tcW w:w="1161" w:type="dxa"/>
            <w:vAlign w:val="center"/>
          </w:tcPr>
          <w:p>
            <w:pPr>
              <w:spacing w:line="400" w:lineRule="exact"/>
              <w:jc w:val="center"/>
              <w:rPr>
                <w:rFonts w:ascii="宋体" w:hAnsi="宋体" w:cs="Arial"/>
              </w:rPr>
            </w:pPr>
          </w:p>
        </w:tc>
        <w:tc>
          <w:tcPr>
            <w:tcW w:w="1260" w:type="dxa"/>
            <w:vAlign w:val="center"/>
          </w:tcPr>
          <w:p>
            <w:pPr>
              <w:spacing w:line="400" w:lineRule="exact"/>
              <w:jc w:val="center"/>
              <w:rPr>
                <w:rFonts w:ascii="宋体" w:hAnsi="宋体" w:cs="Arial"/>
              </w:rPr>
            </w:pPr>
          </w:p>
        </w:tc>
        <w:tc>
          <w:tcPr>
            <w:tcW w:w="1374" w:type="dxa"/>
            <w:gridSpan w:val="3"/>
            <w:tcBorders>
              <w:right w:val="single" w:color="auto" w:sz="4" w:space="0"/>
            </w:tcBorders>
            <w:vAlign w:val="center"/>
          </w:tcPr>
          <w:p>
            <w:pPr>
              <w:spacing w:line="400" w:lineRule="exact"/>
              <w:jc w:val="center"/>
              <w:rPr>
                <w:rFonts w:ascii="宋体" w:hAnsi="宋体" w:cs="Arial"/>
              </w:rPr>
            </w:pPr>
          </w:p>
        </w:tc>
        <w:tc>
          <w:tcPr>
            <w:tcW w:w="1305"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vAlign w:val="center"/>
          </w:tcPr>
          <w:p>
            <w:pPr>
              <w:spacing w:line="400" w:lineRule="exact"/>
              <w:jc w:val="center"/>
              <w:rPr>
                <w:rFonts w:ascii="宋体" w:hAnsi="宋体" w:cs="Arial"/>
              </w:rPr>
            </w:pPr>
          </w:p>
        </w:tc>
        <w:tc>
          <w:tcPr>
            <w:tcW w:w="1440" w:type="dxa"/>
            <w:vAlign w:val="center"/>
          </w:tcPr>
          <w:p>
            <w:pPr>
              <w:spacing w:line="400" w:lineRule="exact"/>
              <w:jc w:val="center"/>
              <w:rPr>
                <w:rFonts w:ascii="宋体" w:hAnsi="宋体" w:cs="Arial"/>
              </w:rPr>
            </w:pPr>
          </w:p>
        </w:tc>
        <w:tc>
          <w:tcPr>
            <w:tcW w:w="1320" w:type="dxa"/>
            <w:vAlign w:val="center"/>
          </w:tcPr>
          <w:p>
            <w:pPr>
              <w:spacing w:line="400" w:lineRule="exact"/>
              <w:jc w:val="center"/>
              <w:rPr>
                <w:rFonts w:ascii="宋体" w:hAnsi="宋体" w:cs="Arial"/>
              </w:rPr>
            </w:pPr>
          </w:p>
        </w:tc>
        <w:tc>
          <w:tcPr>
            <w:tcW w:w="1161" w:type="dxa"/>
            <w:vAlign w:val="center"/>
          </w:tcPr>
          <w:p>
            <w:pPr>
              <w:spacing w:line="400" w:lineRule="exact"/>
              <w:jc w:val="center"/>
              <w:rPr>
                <w:rFonts w:ascii="宋体" w:hAnsi="宋体" w:cs="Arial"/>
              </w:rPr>
            </w:pPr>
          </w:p>
        </w:tc>
        <w:tc>
          <w:tcPr>
            <w:tcW w:w="1260" w:type="dxa"/>
            <w:vAlign w:val="center"/>
          </w:tcPr>
          <w:p>
            <w:pPr>
              <w:spacing w:line="400" w:lineRule="exact"/>
              <w:jc w:val="center"/>
              <w:rPr>
                <w:rFonts w:ascii="宋体" w:hAnsi="宋体" w:cs="Arial"/>
              </w:rPr>
            </w:pPr>
          </w:p>
        </w:tc>
        <w:tc>
          <w:tcPr>
            <w:tcW w:w="1374" w:type="dxa"/>
            <w:gridSpan w:val="3"/>
            <w:tcBorders>
              <w:right w:val="single" w:color="auto" w:sz="4" w:space="0"/>
            </w:tcBorders>
            <w:vAlign w:val="center"/>
          </w:tcPr>
          <w:p>
            <w:pPr>
              <w:spacing w:line="400" w:lineRule="exact"/>
              <w:jc w:val="center"/>
              <w:rPr>
                <w:rFonts w:ascii="宋体" w:hAnsi="宋体" w:cs="Arial"/>
              </w:rPr>
            </w:pPr>
          </w:p>
        </w:tc>
        <w:tc>
          <w:tcPr>
            <w:tcW w:w="1305"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vAlign w:val="center"/>
          </w:tcPr>
          <w:p>
            <w:pPr>
              <w:spacing w:line="400" w:lineRule="exact"/>
              <w:jc w:val="center"/>
              <w:rPr>
                <w:rFonts w:ascii="宋体" w:hAnsi="宋体" w:cs="Arial"/>
              </w:rPr>
            </w:pPr>
          </w:p>
        </w:tc>
        <w:tc>
          <w:tcPr>
            <w:tcW w:w="1440" w:type="dxa"/>
            <w:tcBorders>
              <w:right w:val="single" w:color="auto" w:sz="4" w:space="0"/>
            </w:tcBorders>
            <w:vAlign w:val="center"/>
          </w:tcPr>
          <w:p>
            <w:pPr>
              <w:spacing w:line="400" w:lineRule="exact"/>
              <w:jc w:val="center"/>
              <w:rPr>
                <w:rFonts w:ascii="宋体" w:hAnsi="宋体" w:cs="Arial"/>
              </w:rPr>
            </w:pPr>
          </w:p>
        </w:tc>
        <w:tc>
          <w:tcPr>
            <w:tcW w:w="1320" w:type="dxa"/>
            <w:tcBorders>
              <w:left w:val="single" w:color="auto" w:sz="4" w:space="0"/>
            </w:tcBorders>
            <w:vAlign w:val="center"/>
          </w:tcPr>
          <w:p>
            <w:pPr>
              <w:spacing w:line="400" w:lineRule="exact"/>
              <w:jc w:val="center"/>
              <w:rPr>
                <w:rFonts w:ascii="宋体" w:hAnsi="宋体" w:cs="Arial"/>
              </w:rPr>
            </w:pPr>
          </w:p>
        </w:tc>
        <w:tc>
          <w:tcPr>
            <w:tcW w:w="1161" w:type="dxa"/>
            <w:vAlign w:val="center"/>
          </w:tcPr>
          <w:p>
            <w:pPr>
              <w:spacing w:line="400" w:lineRule="exact"/>
              <w:jc w:val="center"/>
              <w:rPr>
                <w:rFonts w:ascii="宋体" w:hAnsi="宋体" w:cs="Arial"/>
              </w:rPr>
            </w:pPr>
          </w:p>
        </w:tc>
        <w:tc>
          <w:tcPr>
            <w:tcW w:w="1260" w:type="dxa"/>
            <w:vAlign w:val="center"/>
          </w:tcPr>
          <w:p>
            <w:pPr>
              <w:spacing w:line="400" w:lineRule="exact"/>
              <w:jc w:val="center"/>
              <w:rPr>
                <w:rFonts w:ascii="宋体" w:hAnsi="宋体" w:cs="Arial"/>
              </w:rPr>
            </w:pPr>
          </w:p>
        </w:tc>
        <w:tc>
          <w:tcPr>
            <w:tcW w:w="1374" w:type="dxa"/>
            <w:gridSpan w:val="3"/>
            <w:tcBorders>
              <w:right w:val="single" w:color="auto" w:sz="4" w:space="0"/>
            </w:tcBorders>
            <w:vAlign w:val="center"/>
          </w:tcPr>
          <w:p>
            <w:pPr>
              <w:spacing w:line="400" w:lineRule="exact"/>
              <w:jc w:val="center"/>
              <w:rPr>
                <w:rFonts w:ascii="宋体" w:hAnsi="宋体" w:cs="Arial"/>
              </w:rPr>
            </w:pPr>
          </w:p>
        </w:tc>
        <w:tc>
          <w:tcPr>
            <w:tcW w:w="1305"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tcBorders>
              <w:right w:val="single" w:color="auto" w:sz="4" w:space="0"/>
            </w:tcBorders>
            <w:vAlign w:val="center"/>
          </w:tcPr>
          <w:p>
            <w:pPr>
              <w:spacing w:line="400" w:lineRule="exact"/>
              <w:rPr>
                <w:rFonts w:ascii="宋体" w:hAnsi="宋体" w:cs="Arial"/>
              </w:rPr>
            </w:pPr>
          </w:p>
        </w:tc>
        <w:tc>
          <w:tcPr>
            <w:tcW w:w="1440" w:type="dxa"/>
            <w:tcBorders>
              <w:left w:val="single" w:color="auto" w:sz="4" w:space="0"/>
              <w:right w:val="single" w:color="auto" w:sz="4" w:space="0"/>
            </w:tcBorders>
            <w:vAlign w:val="center"/>
          </w:tcPr>
          <w:p>
            <w:pPr>
              <w:spacing w:line="400" w:lineRule="exact"/>
              <w:rPr>
                <w:rFonts w:ascii="宋体" w:hAnsi="宋体" w:cs="Arial"/>
              </w:rPr>
            </w:pPr>
          </w:p>
        </w:tc>
        <w:tc>
          <w:tcPr>
            <w:tcW w:w="1320" w:type="dxa"/>
            <w:tcBorders>
              <w:left w:val="single" w:color="auto" w:sz="4" w:space="0"/>
              <w:right w:val="single" w:color="auto" w:sz="4" w:space="0"/>
            </w:tcBorders>
            <w:vAlign w:val="center"/>
          </w:tcPr>
          <w:p>
            <w:pPr>
              <w:spacing w:line="400" w:lineRule="exact"/>
              <w:rPr>
                <w:rFonts w:ascii="宋体" w:hAnsi="宋体" w:cs="Arial"/>
              </w:rPr>
            </w:pPr>
          </w:p>
        </w:tc>
        <w:tc>
          <w:tcPr>
            <w:tcW w:w="1161" w:type="dxa"/>
            <w:tcBorders>
              <w:left w:val="single" w:color="auto" w:sz="4" w:space="0"/>
              <w:right w:val="single" w:color="auto" w:sz="4" w:space="0"/>
            </w:tcBorders>
            <w:vAlign w:val="center"/>
          </w:tcPr>
          <w:p>
            <w:pPr>
              <w:spacing w:line="400" w:lineRule="exact"/>
              <w:rPr>
                <w:rFonts w:ascii="宋体" w:hAnsi="宋体" w:cs="Arial"/>
              </w:rPr>
            </w:pPr>
          </w:p>
        </w:tc>
        <w:tc>
          <w:tcPr>
            <w:tcW w:w="1269"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65"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05" w:type="dxa"/>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vAlign w:val="center"/>
          </w:tcPr>
          <w:p>
            <w:pPr>
              <w:spacing w:line="400" w:lineRule="exact"/>
              <w:rPr>
                <w:rFonts w:ascii="宋体" w:hAnsi="宋体" w:cs="Arial"/>
              </w:rPr>
            </w:pPr>
          </w:p>
        </w:tc>
        <w:tc>
          <w:tcPr>
            <w:tcW w:w="1440" w:type="dxa"/>
            <w:vAlign w:val="center"/>
          </w:tcPr>
          <w:p>
            <w:pPr>
              <w:spacing w:line="400" w:lineRule="exact"/>
              <w:rPr>
                <w:rFonts w:ascii="宋体" w:hAnsi="宋体" w:cs="Arial"/>
              </w:rPr>
            </w:pPr>
          </w:p>
        </w:tc>
        <w:tc>
          <w:tcPr>
            <w:tcW w:w="1320" w:type="dxa"/>
            <w:vAlign w:val="center"/>
          </w:tcPr>
          <w:p>
            <w:pPr>
              <w:spacing w:line="400" w:lineRule="exact"/>
              <w:rPr>
                <w:rFonts w:ascii="宋体" w:hAnsi="宋体" w:cs="Arial"/>
              </w:rPr>
            </w:pPr>
          </w:p>
        </w:tc>
        <w:tc>
          <w:tcPr>
            <w:tcW w:w="1161" w:type="dxa"/>
            <w:vAlign w:val="center"/>
          </w:tcPr>
          <w:p>
            <w:pPr>
              <w:spacing w:line="400" w:lineRule="exact"/>
              <w:rPr>
                <w:rFonts w:ascii="宋体" w:hAnsi="宋体" w:cs="Arial"/>
              </w:rPr>
            </w:pPr>
          </w:p>
        </w:tc>
        <w:tc>
          <w:tcPr>
            <w:tcW w:w="1269" w:type="dxa"/>
            <w:gridSpan w:val="2"/>
            <w:tcBorders>
              <w:right w:val="single" w:color="auto" w:sz="4" w:space="0"/>
            </w:tcBorders>
            <w:vAlign w:val="center"/>
          </w:tcPr>
          <w:p>
            <w:pPr>
              <w:spacing w:line="400" w:lineRule="exact"/>
              <w:rPr>
                <w:rFonts w:ascii="宋体" w:hAnsi="宋体" w:cs="Arial"/>
              </w:rPr>
            </w:pPr>
          </w:p>
        </w:tc>
        <w:tc>
          <w:tcPr>
            <w:tcW w:w="1356" w:type="dxa"/>
            <w:tcBorders>
              <w:left w:val="single" w:color="auto" w:sz="4" w:space="0"/>
              <w:right w:val="single" w:color="auto" w:sz="4" w:space="0"/>
            </w:tcBorders>
            <w:vAlign w:val="center"/>
          </w:tcPr>
          <w:p>
            <w:pPr>
              <w:spacing w:line="400" w:lineRule="exact"/>
              <w:rPr>
                <w:rFonts w:ascii="宋体" w:hAnsi="宋体" w:cs="Arial"/>
              </w:rPr>
            </w:pPr>
          </w:p>
        </w:tc>
        <w:tc>
          <w:tcPr>
            <w:tcW w:w="1314"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vAlign w:val="center"/>
          </w:tcPr>
          <w:p>
            <w:pPr>
              <w:spacing w:line="400" w:lineRule="exact"/>
              <w:jc w:val="center"/>
              <w:rPr>
                <w:rFonts w:ascii="宋体" w:hAnsi="宋体" w:cs="Arial"/>
              </w:rPr>
            </w:pPr>
          </w:p>
        </w:tc>
        <w:tc>
          <w:tcPr>
            <w:tcW w:w="1440" w:type="dxa"/>
            <w:vAlign w:val="center"/>
          </w:tcPr>
          <w:p>
            <w:pPr>
              <w:spacing w:line="400" w:lineRule="exact"/>
              <w:jc w:val="center"/>
              <w:rPr>
                <w:rFonts w:ascii="宋体" w:hAnsi="宋体" w:cs="Arial"/>
              </w:rPr>
            </w:pPr>
          </w:p>
        </w:tc>
        <w:tc>
          <w:tcPr>
            <w:tcW w:w="1320" w:type="dxa"/>
            <w:vAlign w:val="center"/>
          </w:tcPr>
          <w:p>
            <w:pPr>
              <w:spacing w:line="400" w:lineRule="exact"/>
              <w:jc w:val="center"/>
              <w:rPr>
                <w:rFonts w:ascii="宋体" w:hAnsi="宋体" w:cs="Arial"/>
              </w:rPr>
            </w:pPr>
          </w:p>
        </w:tc>
        <w:tc>
          <w:tcPr>
            <w:tcW w:w="1161" w:type="dxa"/>
            <w:vAlign w:val="center"/>
          </w:tcPr>
          <w:p>
            <w:pPr>
              <w:spacing w:line="400" w:lineRule="exact"/>
              <w:jc w:val="center"/>
              <w:rPr>
                <w:rFonts w:ascii="宋体" w:hAnsi="宋体" w:cs="Arial"/>
              </w:rPr>
            </w:pPr>
          </w:p>
        </w:tc>
        <w:tc>
          <w:tcPr>
            <w:tcW w:w="1269" w:type="dxa"/>
            <w:gridSpan w:val="2"/>
            <w:tcBorders>
              <w:right w:val="single" w:color="auto" w:sz="4" w:space="0"/>
            </w:tcBorders>
            <w:vAlign w:val="center"/>
          </w:tcPr>
          <w:p>
            <w:pPr>
              <w:spacing w:line="400" w:lineRule="exact"/>
              <w:jc w:val="center"/>
              <w:rPr>
                <w:rFonts w:ascii="宋体" w:hAnsi="宋体" w:cs="Arial"/>
              </w:rPr>
            </w:pPr>
          </w:p>
        </w:tc>
        <w:tc>
          <w:tcPr>
            <w:tcW w:w="1356" w:type="dxa"/>
            <w:tcBorders>
              <w:left w:val="single" w:color="auto" w:sz="4" w:space="0"/>
              <w:right w:val="single" w:color="auto" w:sz="4" w:space="0"/>
            </w:tcBorders>
            <w:vAlign w:val="center"/>
          </w:tcPr>
          <w:p>
            <w:pPr>
              <w:spacing w:line="400" w:lineRule="exact"/>
              <w:jc w:val="center"/>
              <w:rPr>
                <w:rFonts w:ascii="宋体" w:hAnsi="宋体" w:cs="Arial"/>
              </w:rPr>
            </w:pPr>
          </w:p>
        </w:tc>
        <w:tc>
          <w:tcPr>
            <w:tcW w:w="1314"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vAlign w:val="center"/>
          </w:tcPr>
          <w:p>
            <w:pPr>
              <w:spacing w:line="400" w:lineRule="exact"/>
              <w:jc w:val="center"/>
              <w:rPr>
                <w:rFonts w:ascii="宋体" w:hAnsi="宋体" w:cs="Arial"/>
              </w:rPr>
            </w:pPr>
          </w:p>
        </w:tc>
        <w:tc>
          <w:tcPr>
            <w:tcW w:w="1440" w:type="dxa"/>
            <w:vAlign w:val="center"/>
          </w:tcPr>
          <w:p>
            <w:pPr>
              <w:spacing w:line="400" w:lineRule="exact"/>
              <w:jc w:val="center"/>
              <w:rPr>
                <w:rFonts w:ascii="宋体" w:hAnsi="宋体" w:cs="Arial"/>
              </w:rPr>
            </w:pPr>
          </w:p>
        </w:tc>
        <w:tc>
          <w:tcPr>
            <w:tcW w:w="1320" w:type="dxa"/>
            <w:vAlign w:val="center"/>
          </w:tcPr>
          <w:p>
            <w:pPr>
              <w:spacing w:line="400" w:lineRule="exact"/>
              <w:jc w:val="center"/>
              <w:rPr>
                <w:rFonts w:ascii="宋体" w:hAnsi="宋体" w:cs="Arial"/>
              </w:rPr>
            </w:pPr>
          </w:p>
        </w:tc>
        <w:tc>
          <w:tcPr>
            <w:tcW w:w="1161" w:type="dxa"/>
            <w:vAlign w:val="center"/>
          </w:tcPr>
          <w:p>
            <w:pPr>
              <w:spacing w:line="400" w:lineRule="exact"/>
              <w:jc w:val="center"/>
              <w:rPr>
                <w:rFonts w:ascii="宋体" w:hAnsi="宋体" w:cs="Arial"/>
              </w:rPr>
            </w:pPr>
          </w:p>
        </w:tc>
        <w:tc>
          <w:tcPr>
            <w:tcW w:w="1269" w:type="dxa"/>
            <w:gridSpan w:val="2"/>
            <w:tcBorders>
              <w:right w:val="single" w:color="auto" w:sz="4" w:space="0"/>
            </w:tcBorders>
            <w:vAlign w:val="center"/>
          </w:tcPr>
          <w:p>
            <w:pPr>
              <w:spacing w:line="400" w:lineRule="exact"/>
              <w:jc w:val="center"/>
              <w:rPr>
                <w:rFonts w:ascii="宋体" w:hAnsi="宋体" w:cs="Arial"/>
              </w:rPr>
            </w:pPr>
          </w:p>
        </w:tc>
        <w:tc>
          <w:tcPr>
            <w:tcW w:w="1356" w:type="dxa"/>
            <w:tcBorders>
              <w:left w:val="single" w:color="auto" w:sz="4" w:space="0"/>
              <w:right w:val="single" w:color="auto" w:sz="4" w:space="0"/>
            </w:tcBorders>
            <w:vAlign w:val="center"/>
          </w:tcPr>
          <w:p>
            <w:pPr>
              <w:spacing w:line="400" w:lineRule="exact"/>
              <w:jc w:val="center"/>
              <w:rPr>
                <w:rFonts w:ascii="宋体" w:hAnsi="宋体" w:cs="Arial"/>
              </w:rPr>
            </w:pPr>
          </w:p>
        </w:tc>
        <w:tc>
          <w:tcPr>
            <w:tcW w:w="1314"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10" w:hRule="atLeast"/>
          <w:jc w:val="center"/>
        </w:trPr>
        <w:tc>
          <w:tcPr>
            <w:tcW w:w="720" w:type="dxa"/>
            <w:tcBorders>
              <w:bottom w:val="single" w:color="auto" w:sz="4" w:space="0"/>
            </w:tcBorders>
            <w:vAlign w:val="center"/>
          </w:tcPr>
          <w:p>
            <w:pPr>
              <w:spacing w:line="400" w:lineRule="exact"/>
              <w:jc w:val="center"/>
              <w:rPr>
                <w:rFonts w:ascii="宋体" w:hAnsi="宋体" w:cs="Arial"/>
              </w:rPr>
            </w:pPr>
          </w:p>
        </w:tc>
        <w:tc>
          <w:tcPr>
            <w:tcW w:w="1440" w:type="dxa"/>
            <w:tcBorders>
              <w:bottom w:val="single" w:color="auto" w:sz="4" w:space="0"/>
            </w:tcBorders>
            <w:vAlign w:val="center"/>
          </w:tcPr>
          <w:p>
            <w:pPr>
              <w:spacing w:line="400" w:lineRule="exact"/>
              <w:jc w:val="center"/>
              <w:rPr>
                <w:rFonts w:ascii="宋体" w:hAnsi="宋体" w:cs="Arial"/>
              </w:rPr>
            </w:pPr>
          </w:p>
        </w:tc>
        <w:tc>
          <w:tcPr>
            <w:tcW w:w="1320" w:type="dxa"/>
            <w:tcBorders>
              <w:bottom w:val="single" w:color="auto" w:sz="4" w:space="0"/>
            </w:tcBorders>
            <w:vAlign w:val="center"/>
          </w:tcPr>
          <w:p>
            <w:pPr>
              <w:spacing w:line="400" w:lineRule="exact"/>
              <w:jc w:val="center"/>
              <w:rPr>
                <w:rFonts w:ascii="宋体" w:hAnsi="宋体" w:cs="Arial"/>
              </w:rPr>
            </w:pPr>
          </w:p>
        </w:tc>
        <w:tc>
          <w:tcPr>
            <w:tcW w:w="1161" w:type="dxa"/>
            <w:tcBorders>
              <w:bottom w:val="single" w:color="auto" w:sz="4" w:space="0"/>
            </w:tcBorders>
            <w:vAlign w:val="center"/>
          </w:tcPr>
          <w:p>
            <w:pPr>
              <w:spacing w:line="400" w:lineRule="exact"/>
              <w:jc w:val="center"/>
              <w:rPr>
                <w:rFonts w:ascii="宋体" w:hAnsi="宋体" w:cs="Arial"/>
              </w:rPr>
            </w:pPr>
          </w:p>
        </w:tc>
        <w:tc>
          <w:tcPr>
            <w:tcW w:w="1269" w:type="dxa"/>
            <w:gridSpan w:val="2"/>
            <w:tcBorders>
              <w:bottom w:val="single" w:color="auto" w:sz="4" w:space="0"/>
              <w:right w:val="single" w:color="auto" w:sz="4" w:space="0"/>
            </w:tcBorders>
            <w:vAlign w:val="center"/>
          </w:tcPr>
          <w:p>
            <w:pPr>
              <w:spacing w:line="400" w:lineRule="exact"/>
              <w:jc w:val="center"/>
              <w:rPr>
                <w:rFonts w:ascii="宋体" w:hAnsi="宋体" w:cs="Arial"/>
              </w:rPr>
            </w:pPr>
          </w:p>
        </w:tc>
        <w:tc>
          <w:tcPr>
            <w:tcW w:w="1356" w:type="dxa"/>
            <w:tcBorders>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14" w:type="dxa"/>
            <w:gridSpan w:val="2"/>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4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2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1" w:type="dxa"/>
            <w:tcBorders>
              <w:top w:val="single" w:color="auto" w:sz="4" w:space="0"/>
              <w:bottom w:val="single" w:color="auto" w:sz="4" w:space="0"/>
            </w:tcBorders>
            <w:vAlign w:val="center"/>
          </w:tcPr>
          <w:p>
            <w:pPr>
              <w:spacing w:line="400" w:lineRule="exact"/>
              <w:jc w:val="center"/>
              <w:rPr>
                <w:rFonts w:ascii="宋体" w:hAnsi="宋体" w:cs="Arial"/>
              </w:rPr>
            </w:pPr>
          </w:p>
        </w:tc>
        <w:tc>
          <w:tcPr>
            <w:tcW w:w="1269"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14"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4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2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1" w:type="dxa"/>
            <w:tcBorders>
              <w:top w:val="single" w:color="auto" w:sz="4" w:space="0"/>
              <w:bottom w:val="single" w:color="auto" w:sz="4" w:space="0"/>
            </w:tcBorders>
            <w:vAlign w:val="center"/>
          </w:tcPr>
          <w:p>
            <w:pPr>
              <w:spacing w:line="400" w:lineRule="exact"/>
              <w:jc w:val="center"/>
              <w:rPr>
                <w:rFonts w:ascii="宋体" w:hAnsi="宋体" w:cs="Arial"/>
              </w:rPr>
            </w:pPr>
          </w:p>
        </w:tc>
        <w:tc>
          <w:tcPr>
            <w:tcW w:w="1269"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14"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0" w:hRule="atLeast"/>
          <w:jc w:val="center"/>
        </w:trPr>
        <w:tc>
          <w:tcPr>
            <w:tcW w:w="72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4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2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1" w:type="dxa"/>
            <w:tcBorders>
              <w:top w:val="single" w:color="auto" w:sz="4" w:space="0"/>
              <w:bottom w:val="single" w:color="auto" w:sz="4" w:space="0"/>
            </w:tcBorders>
            <w:vAlign w:val="center"/>
          </w:tcPr>
          <w:p>
            <w:pPr>
              <w:spacing w:line="400" w:lineRule="exact"/>
              <w:jc w:val="center"/>
              <w:rPr>
                <w:rFonts w:ascii="宋体" w:hAnsi="宋体" w:cs="Arial"/>
              </w:rPr>
            </w:pPr>
          </w:p>
        </w:tc>
        <w:tc>
          <w:tcPr>
            <w:tcW w:w="1269"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14"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35" w:hRule="atLeast"/>
          <w:jc w:val="center"/>
        </w:trPr>
        <w:tc>
          <w:tcPr>
            <w:tcW w:w="720" w:type="dxa"/>
            <w:tcBorders>
              <w:top w:val="single" w:color="auto" w:sz="4" w:space="0"/>
            </w:tcBorders>
            <w:vAlign w:val="center"/>
          </w:tcPr>
          <w:p>
            <w:pPr>
              <w:spacing w:line="400" w:lineRule="exact"/>
              <w:jc w:val="center"/>
              <w:rPr>
                <w:rFonts w:ascii="宋体" w:hAnsi="宋体" w:cs="Arial"/>
              </w:rPr>
            </w:pPr>
          </w:p>
        </w:tc>
        <w:tc>
          <w:tcPr>
            <w:tcW w:w="1440" w:type="dxa"/>
            <w:tcBorders>
              <w:top w:val="single" w:color="auto" w:sz="4" w:space="0"/>
            </w:tcBorders>
            <w:vAlign w:val="center"/>
          </w:tcPr>
          <w:p>
            <w:pPr>
              <w:spacing w:line="400" w:lineRule="exact"/>
              <w:jc w:val="center"/>
              <w:rPr>
                <w:rFonts w:ascii="宋体" w:hAnsi="宋体" w:cs="Arial"/>
              </w:rPr>
            </w:pPr>
          </w:p>
        </w:tc>
        <w:tc>
          <w:tcPr>
            <w:tcW w:w="1320" w:type="dxa"/>
            <w:tcBorders>
              <w:top w:val="single" w:color="auto" w:sz="4" w:space="0"/>
            </w:tcBorders>
            <w:vAlign w:val="center"/>
          </w:tcPr>
          <w:p>
            <w:pPr>
              <w:spacing w:line="400" w:lineRule="exact"/>
              <w:jc w:val="center"/>
              <w:rPr>
                <w:rFonts w:ascii="宋体" w:hAnsi="宋体" w:cs="Arial"/>
              </w:rPr>
            </w:pPr>
          </w:p>
        </w:tc>
        <w:tc>
          <w:tcPr>
            <w:tcW w:w="1161" w:type="dxa"/>
            <w:tcBorders>
              <w:top w:val="single" w:color="auto" w:sz="4" w:space="0"/>
            </w:tcBorders>
            <w:vAlign w:val="center"/>
          </w:tcPr>
          <w:p>
            <w:pPr>
              <w:spacing w:line="400" w:lineRule="exact"/>
              <w:jc w:val="center"/>
              <w:rPr>
                <w:rFonts w:ascii="宋体" w:hAnsi="宋体" w:cs="Arial"/>
              </w:rPr>
            </w:pPr>
          </w:p>
        </w:tc>
        <w:tc>
          <w:tcPr>
            <w:tcW w:w="1269" w:type="dxa"/>
            <w:gridSpan w:val="2"/>
            <w:tcBorders>
              <w:top w:val="single" w:color="auto" w:sz="4" w:space="0"/>
              <w:right w:val="single" w:color="auto" w:sz="4" w:space="0"/>
            </w:tcBorders>
            <w:vAlign w:val="center"/>
          </w:tcPr>
          <w:p>
            <w:pPr>
              <w:spacing w:line="400" w:lineRule="exact"/>
              <w:jc w:val="center"/>
              <w:rPr>
                <w:rFonts w:ascii="宋体" w:hAnsi="宋体" w:cs="Arial"/>
              </w:rPr>
            </w:pPr>
          </w:p>
        </w:tc>
        <w:tc>
          <w:tcPr>
            <w:tcW w:w="1356" w:type="dxa"/>
            <w:tcBorders>
              <w:top w:val="single" w:color="auto" w:sz="4" w:space="0"/>
              <w:left w:val="single" w:color="auto" w:sz="4" w:space="0"/>
              <w:right w:val="single" w:color="auto" w:sz="4" w:space="0"/>
            </w:tcBorders>
            <w:vAlign w:val="center"/>
          </w:tcPr>
          <w:p>
            <w:pPr>
              <w:spacing w:line="400" w:lineRule="exact"/>
              <w:jc w:val="center"/>
              <w:rPr>
                <w:rFonts w:ascii="宋体" w:hAnsi="宋体" w:cs="Arial"/>
              </w:rPr>
            </w:pPr>
          </w:p>
        </w:tc>
        <w:tc>
          <w:tcPr>
            <w:tcW w:w="1314" w:type="dxa"/>
            <w:gridSpan w:val="2"/>
            <w:tcBorders>
              <w:top w:val="single" w:color="auto" w:sz="4" w:space="0"/>
              <w:left w:val="single" w:color="auto" w:sz="4" w:space="0"/>
            </w:tcBorders>
            <w:vAlign w:val="center"/>
          </w:tcPr>
          <w:p>
            <w:pPr>
              <w:spacing w:line="400" w:lineRule="exact"/>
              <w:jc w:val="center"/>
              <w:rPr>
                <w:rFonts w:ascii="宋体" w:hAnsi="宋体" w:cs="Aria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left="359" w:leftChars="171" w:firstLine="360" w:firstLineChars="150"/>
        <w:rPr>
          <w:rFonts w:ascii="宋体" w:hAnsi="宋体" w:cs="Arial"/>
          <w:sz w:val="24"/>
        </w:rPr>
      </w:pPr>
      <w:r>
        <w:rPr>
          <w:rFonts w:hint="eastAsia" w:ascii="宋体" w:hAnsi="宋体" w:cs="Arial"/>
          <w:sz w:val="24"/>
        </w:rPr>
        <w:t>注：投标人（仅限于投标人自己实施的）以上业绩需提供有关书面证明材料。“合同金额”需提供合同复印件.</w:t>
      </w:r>
    </w:p>
    <w:p>
      <w:pPr>
        <w:adjustRightInd w:val="0"/>
        <w:spacing w:line="400" w:lineRule="exact"/>
        <w:ind w:firstLine="720" w:firstLineChars="300"/>
        <w:jc w:val="left"/>
        <w:rPr>
          <w:rFonts w:ascii="宋体" w:hAnsi="宋体"/>
          <w:sz w:val="24"/>
        </w:rPr>
      </w:pPr>
      <w:r>
        <w:rPr>
          <w:rFonts w:hint="eastAsia" w:ascii="宋体" w:hAnsi="宋体"/>
          <w:sz w:val="24"/>
        </w:rPr>
        <w:t xml:space="preserve">投标人名称（盖章）：   　　　　　　　　　　　　　　　　　　　　　　　　　　      </w:t>
      </w:r>
    </w:p>
    <w:p>
      <w:pPr>
        <w:adjustRightInd w:val="0"/>
        <w:spacing w:line="400" w:lineRule="exact"/>
        <w:ind w:firstLine="480" w:firstLineChars="200"/>
        <w:jc w:val="left"/>
        <w:rPr>
          <w:rFonts w:ascii="宋体" w:hAnsi="宋体"/>
          <w:sz w:val="24"/>
        </w:rPr>
      </w:pPr>
      <w:r>
        <w:rPr>
          <w:rFonts w:hint="eastAsia" w:ascii="宋体" w:hAnsi="宋体"/>
          <w:sz w:val="24"/>
        </w:rPr>
        <w:t>法定代表人或授权代表（签字）：　　　　　　　　　　　　　　　　　　　　　　　　　　</w:t>
      </w:r>
    </w:p>
    <w:p>
      <w:pPr>
        <w:adjustRightInd w:val="0"/>
        <w:spacing w:line="400" w:lineRule="exact"/>
        <w:ind w:firstLine="480" w:firstLineChars="200"/>
        <w:jc w:val="left"/>
        <w:rPr>
          <w:rFonts w:ascii="宋体" w:hAnsi="宋体"/>
          <w:sz w:val="24"/>
        </w:rPr>
      </w:pPr>
      <w:r>
        <w:rPr>
          <w:rFonts w:hint="eastAsia" w:ascii="宋体" w:hAnsi="宋体"/>
          <w:sz w:val="24"/>
        </w:rPr>
        <w:t>日     期：     年  月  日</w:t>
      </w:r>
    </w:p>
    <w:p>
      <w:pPr>
        <w:spacing w:line="400" w:lineRule="exact"/>
      </w:pPr>
    </w:p>
    <w:p>
      <w:pPr>
        <w:spacing w:line="400" w:lineRule="exact"/>
        <w:rPr>
          <w:rFonts w:ascii="黑体" w:hAnsi="Arial" w:eastAsia="黑体"/>
          <w:b/>
          <w:bCs/>
          <w:sz w:val="28"/>
          <w:szCs w:val="22"/>
        </w:rPr>
      </w:pPr>
      <w:bookmarkStart w:id="157" w:name="_Toc501031140"/>
      <w:bookmarkStart w:id="158" w:name="_Toc217446091"/>
      <w:r>
        <w:rPr>
          <w:rFonts w:hint="eastAsia" w:ascii="黑体" w:hAnsi="Arial" w:eastAsia="黑体"/>
          <w:b/>
          <w:bCs/>
          <w:sz w:val="28"/>
          <w:szCs w:val="22"/>
        </w:rPr>
        <w:br w:type="page"/>
      </w:r>
    </w:p>
    <w:p>
      <w:pPr>
        <w:spacing w:line="400" w:lineRule="exact"/>
        <w:rPr>
          <w:rFonts w:ascii="黑体"/>
          <w:b/>
          <w:szCs w:val="28"/>
        </w:rPr>
      </w:pPr>
      <w:r>
        <w:rPr>
          <w:rFonts w:hint="eastAsia" w:ascii="黑体" w:hAnsi="Arial" w:eastAsia="黑体"/>
          <w:b/>
          <w:bCs/>
          <w:sz w:val="28"/>
          <w:szCs w:val="22"/>
        </w:rPr>
        <w:t>六、投标人本项目管理、技术、服务人员情况表</w:t>
      </w:r>
      <w:bookmarkEnd w:id="157"/>
      <w:bookmarkEnd w:id="158"/>
    </w:p>
    <w:p>
      <w:pPr>
        <w:spacing w:line="400" w:lineRule="exact"/>
        <w:rPr>
          <w:rFonts w:ascii="宋体" w:hAnsi="宋体" w:cs="Arial"/>
          <w:b/>
          <w:bCs/>
          <w:sz w:val="28"/>
        </w:rPr>
      </w:pPr>
    </w:p>
    <w:p>
      <w:pPr>
        <w:spacing w:line="400" w:lineRule="exact"/>
        <w:rPr>
          <w:rFonts w:ascii="宋体" w:hAnsi="宋体" w:cs="Arial"/>
          <w:bCs/>
          <w:sz w:val="24"/>
        </w:rPr>
      </w:pPr>
      <w:r>
        <w:rPr>
          <w:rFonts w:hint="eastAsia" w:ascii="宋体" w:hAnsi="宋体" w:cs="Arial"/>
          <w:b/>
          <w:bCs/>
          <w:sz w:val="28"/>
        </w:rPr>
        <w:t xml:space="preserve">   </w:t>
      </w:r>
      <w:r>
        <w:rPr>
          <w:rFonts w:hint="eastAsia" w:ascii="宋体" w:hAnsi="宋体" w:cs="Arial"/>
          <w:bCs/>
          <w:sz w:val="24"/>
        </w:rPr>
        <w:t xml:space="preserve"> 项目编号：</w:t>
      </w:r>
    </w:p>
    <w:tbl>
      <w:tblPr>
        <w:tblStyle w:val="39"/>
        <w:tblW w:w="84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901"/>
        <w:gridCol w:w="901"/>
        <w:gridCol w:w="901"/>
        <w:gridCol w:w="901"/>
        <w:gridCol w:w="1205"/>
        <w:gridCol w:w="817"/>
        <w:gridCol w:w="945"/>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jc w:val="center"/>
        </w:trPr>
        <w:tc>
          <w:tcPr>
            <w:tcW w:w="1065" w:type="dxa"/>
            <w:vMerge w:val="restart"/>
            <w:vAlign w:val="center"/>
          </w:tcPr>
          <w:p>
            <w:pPr>
              <w:spacing w:line="400" w:lineRule="exact"/>
              <w:jc w:val="center"/>
              <w:rPr>
                <w:rFonts w:ascii="宋体" w:hAnsi="宋体" w:cs="Arial"/>
              </w:rPr>
            </w:pPr>
            <w:r>
              <w:rPr>
                <w:rFonts w:hint="eastAsia" w:ascii="宋体" w:hAnsi="宋体" w:cs="Arial"/>
              </w:rPr>
              <w:t>类别</w:t>
            </w:r>
          </w:p>
        </w:tc>
        <w:tc>
          <w:tcPr>
            <w:tcW w:w="901" w:type="dxa"/>
            <w:vMerge w:val="restart"/>
            <w:vAlign w:val="center"/>
          </w:tcPr>
          <w:p>
            <w:pPr>
              <w:spacing w:line="400" w:lineRule="exact"/>
              <w:jc w:val="center"/>
              <w:rPr>
                <w:rFonts w:ascii="宋体" w:hAnsi="宋体" w:cs="Arial"/>
              </w:rPr>
            </w:pPr>
            <w:r>
              <w:rPr>
                <w:rFonts w:hint="eastAsia" w:ascii="宋体" w:hAnsi="宋体" w:cs="Arial"/>
              </w:rPr>
              <w:t>职务</w:t>
            </w:r>
          </w:p>
        </w:tc>
        <w:tc>
          <w:tcPr>
            <w:tcW w:w="901" w:type="dxa"/>
            <w:vMerge w:val="restart"/>
            <w:vAlign w:val="center"/>
          </w:tcPr>
          <w:p>
            <w:pPr>
              <w:spacing w:line="400" w:lineRule="exact"/>
              <w:jc w:val="center"/>
              <w:rPr>
                <w:rFonts w:ascii="宋体" w:hAnsi="宋体" w:cs="Arial"/>
              </w:rPr>
            </w:pPr>
            <w:r>
              <w:rPr>
                <w:rFonts w:hint="eastAsia" w:ascii="宋体" w:hAnsi="宋体" w:cs="Arial"/>
              </w:rPr>
              <w:t>姓名</w:t>
            </w:r>
          </w:p>
        </w:tc>
        <w:tc>
          <w:tcPr>
            <w:tcW w:w="901" w:type="dxa"/>
            <w:vMerge w:val="restart"/>
            <w:vAlign w:val="center"/>
          </w:tcPr>
          <w:p>
            <w:pPr>
              <w:spacing w:line="400" w:lineRule="exact"/>
              <w:jc w:val="center"/>
              <w:rPr>
                <w:rFonts w:ascii="宋体" w:hAnsi="宋体" w:cs="Arial"/>
              </w:rPr>
            </w:pPr>
            <w:r>
              <w:rPr>
                <w:rFonts w:hint="eastAsia" w:ascii="宋体" w:hAnsi="宋体" w:cs="Arial"/>
              </w:rPr>
              <w:t>职称</w:t>
            </w:r>
          </w:p>
        </w:tc>
        <w:tc>
          <w:tcPr>
            <w:tcW w:w="901" w:type="dxa"/>
            <w:vMerge w:val="restart"/>
            <w:vAlign w:val="center"/>
          </w:tcPr>
          <w:p>
            <w:pPr>
              <w:spacing w:line="400" w:lineRule="exact"/>
              <w:jc w:val="center"/>
              <w:rPr>
                <w:rFonts w:ascii="宋体" w:hAnsi="宋体" w:cs="Arial"/>
              </w:rPr>
            </w:pPr>
            <w:r>
              <w:rPr>
                <w:rFonts w:hint="eastAsia" w:ascii="宋体" w:hAnsi="宋体" w:cs="Arial"/>
              </w:rPr>
              <w:t>常住地</w:t>
            </w:r>
          </w:p>
        </w:tc>
        <w:tc>
          <w:tcPr>
            <w:tcW w:w="3784" w:type="dxa"/>
            <w:gridSpan w:val="4"/>
            <w:vAlign w:val="center"/>
          </w:tcPr>
          <w:p>
            <w:pPr>
              <w:spacing w:line="400" w:lineRule="exact"/>
              <w:jc w:val="center"/>
              <w:rPr>
                <w:rFonts w:ascii="宋体" w:hAnsi="宋体" w:cs="Arial"/>
              </w:rPr>
            </w:pPr>
            <w:r>
              <w:rPr>
                <w:rFonts w:hint="eastAsia" w:ascii="宋体" w:hAnsi="宋体" w:cs="Arial"/>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jc w:val="center"/>
        </w:trPr>
        <w:tc>
          <w:tcPr>
            <w:tcW w:w="1065" w:type="dxa"/>
            <w:vMerge w:val="continue"/>
            <w:vAlign w:val="center"/>
          </w:tcPr>
          <w:p>
            <w:pPr>
              <w:spacing w:line="400" w:lineRule="exact"/>
              <w:jc w:val="center"/>
              <w:rPr>
                <w:rFonts w:ascii="宋体" w:hAnsi="宋体" w:cs="Arial"/>
              </w:rPr>
            </w:pPr>
          </w:p>
        </w:tc>
        <w:tc>
          <w:tcPr>
            <w:tcW w:w="901" w:type="dxa"/>
            <w:vMerge w:val="continue"/>
            <w:vAlign w:val="center"/>
          </w:tcPr>
          <w:p>
            <w:pPr>
              <w:spacing w:line="400" w:lineRule="exact"/>
              <w:jc w:val="center"/>
              <w:rPr>
                <w:rFonts w:ascii="宋体" w:hAnsi="宋体" w:cs="Arial"/>
              </w:rPr>
            </w:pPr>
          </w:p>
        </w:tc>
        <w:tc>
          <w:tcPr>
            <w:tcW w:w="901" w:type="dxa"/>
            <w:vMerge w:val="continue"/>
            <w:vAlign w:val="center"/>
          </w:tcPr>
          <w:p>
            <w:pPr>
              <w:spacing w:line="400" w:lineRule="exact"/>
              <w:jc w:val="center"/>
              <w:rPr>
                <w:rFonts w:ascii="宋体" w:hAnsi="宋体" w:cs="Arial"/>
              </w:rPr>
            </w:pPr>
          </w:p>
        </w:tc>
        <w:tc>
          <w:tcPr>
            <w:tcW w:w="901" w:type="dxa"/>
            <w:vMerge w:val="continue"/>
            <w:vAlign w:val="center"/>
          </w:tcPr>
          <w:p>
            <w:pPr>
              <w:spacing w:line="400" w:lineRule="exact"/>
              <w:jc w:val="center"/>
              <w:rPr>
                <w:rFonts w:ascii="宋体" w:hAnsi="宋体" w:cs="Arial"/>
              </w:rPr>
            </w:pPr>
          </w:p>
        </w:tc>
        <w:tc>
          <w:tcPr>
            <w:tcW w:w="901" w:type="dxa"/>
            <w:vMerge w:val="continue"/>
            <w:vAlign w:val="center"/>
          </w:tcPr>
          <w:p>
            <w:pPr>
              <w:spacing w:line="400" w:lineRule="exact"/>
              <w:jc w:val="center"/>
              <w:rPr>
                <w:rFonts w:ascii="宋体" w:hAnsi="宋体" w:cs="Arial"/>
              </w:rPr>
            </w:pPr>
          </w:p>
        </w:tc>
        <w:tc>
          <w:tcPr>
            <w:tcW w:w="1205" w:type="dxa"/>
            <w:vAlign w:val="center"/>
          </w:tcPr>
          <w:p>
            <w:pPr>
              <w:spacing w:line="400" w:lineRule="exact"/>
              <w:jc w:val="center"/>
              <w:rPr>
                <w:rFonts w:ascii="宋体" w:hAnsi="宋体" w:cs="Arial"/>
              </w:rPr>
            </w:pPr>
            <w:r>
              <w:rPr>
                <w:rFonts w:hint="eastAsia" w:ascii="宋体" w:hAnsi="宋体" w:cs="Arial"/>
              </w:rPr>
              <w:t>证书名称</w:t>
            </w:r>
          </w:p>
        </w:tc>
        <w:tc>
          <w:tcPr>
            <w:tcW w:w="817" w:type="dxa"/>
            <w:vAlign w:val="center"/>
          </w:tcPr>
          <w:p>
            <w:pPr>
              <w:spacing w:line="400" w:lineRule="exact"/>
              <w:jc w:val="center"/>
              <w:rPr>
                <w:rFonts w:ascii="宋体" w:hAnsi="宋体" w:cs="Arial"/>
              </w:rPr>
            </w:pPr>
            <w:r>
              <w:rPr>
                <w:rFonts w:hint="eastAsia" w:ascii="宋体" w:hAnsi="宋体" w:cs="Arial"/>
              </w:rPr>
              <w:t>级别</w:t>
            </w:r>
          </w:p>
        </w:tc>
        <w:tc>
          <w:tcPr>
            <w:tcW w:w="945" w:type="dxa"/>
            <w:vAlign w:val="center"/>
          </w:tcPr>
          <w:p>
            <w:pPr>
              <w:spacing w:line="400" w:lineRule="exact"/>
              <w:jc w:val="center"/>
              <w:rPr>
                <w:rFonts w:ascii="宋体" w:hAnsi="宋体" w:cs="Arial"/>
              </w:rPr>
            </w:pPr>
            <w:r>
              <w:rPr>
                <w:rFonts w:hint="eastAsia" w:ascii="宋体" w:hAnsi="宋体" w:cs="Arial"/>
              </w:rPr>
              <w:t>证号</w:t>
            </w:r>
          </w:p>
        </w:tc>
        <w:tc>
          <w:tcPr>
            <w:tcW w:w="817" w:type="dxa"/>
            <w:vAlign w:val="center"/>
          </w:tcPr>
          <w:p>
            <w:pPr>
              <w:spacing w:line="400" w:lineRule="exact"/>
              <w:jc w:val="center"/>
              <w:rPr>
                <w:rFonts w:ascii="宋体" w:hAnsi="宋体" w:cs="Arial"/>
              </w:rPr>
            </w:pPr>
            <w:r>
              <w:rPr>
                <w:rFonts w:hint="eastAsia" w:ascii="宋体" w:hAnsi="宋体" w:cs="Aria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1065" w:type="dxa"/>
            <w:vMerge w:val="restart"/>
          </w:tcPr>
          <w:p>
            <w:pPr>
              <w:spacing w:line="400" w:lineRule="exact"/>
              <w:jc w:val="center"/>
              <w:rPr>
                <w:rFonts w:ascii="宋体" w:hAnsi="宋体" w:cs="Arial"/>
              </w:rPr>
            </w:pPr>
            <w:r>
              <w:rPr>
                <w:rFonts w:hint="eastAsia" w:ascii="宋体" w:hAnsi="宋体" w:cs="Arial"/>
              </w:rPr>
              <w:t>管</w:t>
            </w:r>
          </w:p>
          <w:p>
            <w:pPr>
              <w:spacing w:line="400" w:lineRule="exact"/>
              <w:jc w:val="center"/>
              <w:rPr>
                <w:rFonts w:ascii="宋体" w:hAnsi="宋体" w:cs="Arial"/>
              </w:rPr>
            </w:pPr>
            <w:r>
              <w:rPr>
                <w:rFonts w:hint="eastAsia" w:ascii="宋体" w:hAnsi="宋体" w:cs="Arial"/>
              </w:rPr>
              <w:t>理</w:t>
            </w:r>
          </w:p>
          <w:p>
            <w:pPr>
              <w:spacing w:line="400" w:lineRule="exact"/>
              <w:jc w:val="center"/>
              <w:rPr>
                <w:rFonts w:ascii="宋体" w:hAnsi="宋体" w:cs="Arial"/>
              </w:rPr>
            </w:pPr>
            <w:r>
              <w:rPr>
                <w:rFonts w:hint="eastAsia" w:ascii="宋体" w:hAnsi="宋体" w:cs="Arial"/>
              </w:rPr>
              <w:t>人</w:t>
            </w:r>
          </w:p>
          <w:p>
            <w:pPr>
              <w:spacing w:line="400" w:lineRule="exact"/>
              <w:jc w:val="center"/>
              <w:rPr>
                <w:rFonts w:ascii="宋体" w:hAnsi="宋体" w:cs="Arial"/>
                <w:sz w:val="28"/>
              </w:rPr>
            </w:pPr>
            <w:r>
              <w:rPr>
                <w:rFonts w:hint="eastAsia" w:ascii="宋体" w:hAnsi="宋体" w:cs="Arial"/>
              </w:rPr>
              <w:t>员</w:t>
            </w: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120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c>
          <w:tcPr>
            <w:tcW w:w="94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jc w:val="center"/>
        </w:trPr>
        <w:tc>
          <w:tcPr>
            <w:tcW w:w="1065" w:type="dxa"/>
            <w:vMerge w:val="continue"/>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120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c>
          <w:tcPr>
            <w:tcW w:w="94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1065" w:type="dxa"/>
            <w:vMerge w:val="continue"/>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120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c>
          <w:tcPr>
            <w:tcW w:w="94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jc w:val="center"/>
        </w:trPr>
        <w:tc>
          <w:tcPr>
            <w:tcW w:w="1065" w:type="dxa"/>
            <w:vMerge w:val="restart"/>
          </w:tcPr>
          <w:p>
            <w:pPr>
              <w:spacing w:line="400" w:lineRule="exact"/>
              <w:jc w:val="center"/>
              <w:rPr>
                <w:rFonts w:ascii="宋体" w:hAnsi="宋体" w:cs="Arial"/>
              </w:rPr>
            </w:pPr>
            <w:r>
              <w:rPr>
                <w:rFonts w:hint="eastAsia" w:ascii="宋体" w:hAnsi="宋体" w:cs="Arial"/>
              </w:rPr>
              <w:t>技</w:t>
            </w:r>
          </w:p>
          <w:p>
            <w:pPr>
              <w:spacing w:line="400" w:lineRule="exact"/>
              <w:jc w:val="center"/>
              <w:rPr>
                <w:rFonts w:ascii="宋体" w:hAnsi="宋体" w:cs="Arial"/>
              </w:rPr>
            </w:pPr>
            <w:r>
              <w:rPr>
                <w:rFonts w:hint="eastAsia" w:ascii="宋体" w:hAnsi="宋体" w:cs="Arial"/>
              </w:rPr>
              <w:t>术</w:t>
            </w:r>
          </w:p>
          <w:p>
            <w:pPr>
              <w:spacing w:line="400" w:lineRule="exact"/>
              <w:jc w:val="center"/>
              <w:rPr>
                <w:rFonts w:ascii="宋体" w:hAnsi="宋体" w:cs="Arial"/>
              </w:rPr>
            </w:pPr>
            <w:r>
              <w:rPr>
                <w:rFonts w:hint="eastAsia" w:ascii="宋体" w:hAnsi="宋体" w:cs="Arial"/>
              </w:rPr>
              <w:t>人</w:t>
            </w:r>
          </w:p>
          <w:p>
            <w:pPr>
              <w:spacing w:line="400" w:lineRule="exact"/>
              <w:jc w:val="center"/>
              <w:rPr>
                <w:rFonts w:ascii="宋体" w:hAnsi="宋体" w:cs="Arial"/>
              </w:rPr>
            </w:pPr>
            <w:r>
              <w:rPr>
                <w:rFonts w:hint="eastAsia" w:ascii="宋体" w:hAnsi="宋体" w:cs="Arial"/>
              </w:rPr>
              <w:t>员</w:t>
            </w: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120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c>
          <w:tcPr>
            <w:tcW w:w="94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1065" w:type="dxa"/>
            <w:vMerge w:val="continue"/>
          </w:tcPr>
          <w:p>
            <w:pPr>
              <w:spacing w:line="400" w:lineRule="exact"/>
              <w:jc w:val="center"/>
              <w:rPr>
                <w:rFonts w:ascii="宋体" w:hAnsi="宋体" w:cs="Arial"/>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120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c>
          <w:tcPr>
            <w:tcW w:w="94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jc w:val="center"/>
        </w:trPr>
        <w:tc>
          <w:tcPr>
            <w:tcW w:w="1065" w:type="dxa"/>
            <w:vMerge w:val="continue"/>
          </w:tcPr>
          <w:p>
            <w:pPr>
              <w:spacing w:line="400" w:lineRule="exact"/>
              <w:jc w:val="center"/>
              <w:rPr>
                <w:rFonts w:ascii="宋体" w:hAnsi="宋体" w:cs="Arial"/>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120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c>
          <w:tcPr>
            <w:tcW w:w="94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1065" w:type="dxa"/>
            <w:vMerge w:val="restart"/>
          </w:tcPr>
          <w:p>
            <w:pPr>
              <w:spacing w:line="400" w:lineRule="exact"/>
              <w:jc w:val="center"/>
              <w:rPr>
                <w:rFonts w:ascii="宋体" w:hAnsi="宋体" w:cs="Arial"/>
              </w:rPr>
            </w:pPr>
            <w:r>
              <w:rPr>
                <w:rFonts w:hint="eastAsia" w:ascii="宋体" w:hAnsi="宋体" w:cs="Arial"/>
              </w:rPr>
              <w:t>售后</w:t>
            </w:r>
          </w:p>
          <w:p>
            <w:pPr>
              <w:spacing w:line="400" w:lineRule="exact"/>
              <w:jc w:val="center"/>
              <w:rPr>
                <w:rFonts w:ascii="宋体" w:hAnsi="宋体" w:cs="Arial"/>
              </w:rPr>
            </w:pPr>
            <w:r>
              <w:rPr>
                <w:rFonts w:hint="eastAsia" w:ascii="宋体" w:hAnsi="宋体" w:cs="Arial"/>
              </w:rPr>
              <w:t>服务</w:t>
            </w:r>
          </w:p>
          <w:p>
            <w:pPr>
              <w:spacing w:line="400" w:lineRule="exact"/>
              <w:jc w:val="center"/>
              <w:rPr>
                <w:rFonts w:ascii="宋体" w:hAnsi="宋体" w:cs="Arial"/>
              </w:rPr>
            </w:pPr>
            <w:r>
              <w:rPr>
                <w:rFonts w:hint="eastAsia" w:ascii="宋体" w:hAnsi="宋体" w:cs="Arial"/>
              </w:rPr>
              <w:t>人员</w:t>
            </w: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120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c>
          <w:tcPr>
            <w:tcW w:w="945" w:type="dxa"/>
          </w:tcPr>
          <w:p>
            <w:pPr>
              <w:spacing w:line="400" w:lineRule="exact"/>
              <w:jc w:val="center"/>
              <w:rPr>
                <w:rFonts w:ascii="宋体" w:hAnsi="宋体" w:cs="Arial"/>
                <w:sz w:val="28"/>
              </w:rPr>
            </w:pPr>
          </w:p>
        </w:tc>
        <w:tc>
          <w:tcPr>
            <w:tcW w:w="817" w:type="dxa"/>
          </w:tcPr>
          <w:p>
            <w:pPr>
              <w:spacing w:line="400" w:lineRule="exact"/>
              <w:jc w:val="center"/>
              <w:rPr>
                <w:rFonts w:ascii="宋体" w:hAnsi="宋体"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jc w:val="center"/>
        </w:trPr>
        <w:tc>
          <w:tcPr>
            <w:tcW w:w="1065" w:type="dxa"/>
            <w:vMerge w:val="continue"/>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b/>
                <w:bCs/>
                <w:sz w:val="28"/>
              </w:rPr>
            </w:pPr>
          </w:p>
        </w:tc>
        <w:tc>
          <w:tcPr>
            <w:tcW w:w="901" w:type="dxa"/>
          </w:tcPr>
          <w:p>
            <w:pPr>
              <w:spacing w:line="400" w:lineRule="exact"/>
              <w:jc w:val="center"/>
              <w:rPr>
                <w:rFonts w:ascii="宋体" w:hAnsi="宋体" w:cs="Arial"/>
                <w:b/>
                <w:bCs/>
                <w:sz w:val="28"/>
              </w:rPr>
            </w:pPr>
          </w:p>
        </w:tc>
        <w:tc>
          <w:tcPr>
            <w:tcW w:w="901" w:type="dxa"/>
          </w:tcPr>
          <w:p>
            <w:pPr>
              <w:spacing w:line="400" w:lineRule="exact"/>
              <w:jc w:val="center"/>
              <w:rPr>
                <w:rFonts w:ascii="宋体" w:hAnsi="宋体" w:cs="Arial"/>
                <w:b/>
                <w:bCs/>
                <w:sz w:val="28"/>
              </w:rPr>
            </w:pPr>
          </w:p>
        </w:tc>
        <w:tc>
          <w:tcPr>
            <w:tcW w:w="1205" w:type="dxa"/>
          </w:tcPr>
          <w:p>
            <w:pPr>
              <w:spacing w:line="400" w:lineRule="exact"/>
              <w:jc w:val="center"/>
              <w:rPr>
                <w:rFonts w:ascii="宋体" w:hAnsi="宋体" w:cs="Arial"/>
                <w:b/>
                <w:bCs/>
                <w:sz w:val="28"/>
              </w:rPr>
            </w:pPr>
          </w:p>
        </w:tc>
        <w:tc>
          <w:tcPr>
            <w:tcW w:w="817" w:type="dxa"/>
          </w:tcPr>
          <w:p>
            <w:pPr>
              <w:spacing w:line="400" w:lineRule="exact"/>
              <w:jc w:val="center"/>
              <w:rPr>
                <w:rFonts w:ascii="宋体" w:hAnsi="宋体" w:cs="Arial"/>
                <w:b/>
                <w:bCs/>
                <w:sz w:val="28"/>
              </w:rPr>
            </w:pPr>
          </w:p>
        </w:tc>
        <w:tc>
          <w:tcPr>
            <w:tcW w:w="945" w:type="dxa"/>
          </w:tcPr>
          <w:p>
            <w:pPr>
              <w:spacing w:line="400" w:lineRule="exact"/>
              <w:jc w:val="center"/>
              <w:rPr>
                <w:rFonts w:ascii="宋体" w:hAnsi="宋体" w:cs="Arial"/>
                <w:b/>
                <w:bCs/>
                <w:sz w:val="28"/>
              </w:rPr>
            </w:pPr>
          </w:p>
        </w:tc>
        <w:tc>
          <w:tcPr>
            <w:tcW w:w="817" w:type="dxa"/>
          </w:tcPr>
          <w:p>
            <w:pPr>
              <w:spacing w:line="400" w:lineRule="exact"/>
              <w:jc w:val="center"/>
              <w:rPr>
                <w:rFonts w:ascii="宋体" w:hAnsi="宋体" w:cs="Arial"/>
                <w:b/>
                <w:bCs/>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1065" w:type="dxa"/>
            <w:vMerge w:val="continue"/>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sz w:val="28"/>
              </w:rPr>
            </w:pPr>
          </w:p>
        </w:tc>
        <w:tc>
          <w:tcPr>
            <w:tcW w:w="901" w:type="dxa"/>
          </w:tcPr>
          <w:p>
            <w:pPr>
              <w:spacing w:line="400" w:lineRule="exact"/>
              <w:jc w:val="center"/>
              <w:rPr>
                <w:rFonts w:ascii="宋体" w:hAnsi="宋体" w:cs="Arial"/>
                <w:b/>
                <w:bCs/>
                <w:sz w:val="28"/>
              </w:rPr>
            </w:pPr>
          </w:p>
        </w:tc>
        <w:tc>
          <w:tcPr>
            <w:tcW w:w="901" w:type="dxa"/>
          </w:tcPr>
          <w:p>
            <w:pPr>
              <w:spacing w:line="400" w:lineRule="exact"/>
              <w:jc w:val="center"/>
              <w:rPr>
                <w:rFonts w:ascii="宋体" w:hAnsi="宋体" w:cs="Arial"/>
                <w:b/>
                <w:bCs/>
                <w:sz w:val="28"/>
              </w:rPr>
            </w:pPr>
          </w:p>
        </w:tc>
        <w:tc>
          <w:tcPr>
            <w:tcW w:w="901" w:type="dxa"/>
          </w:tcPr>
          <w:p>
            <w:pPr>
              <w:spacing w:line="400" w:lineRule="exact"/>
              <w:jc w:val="center"/>
              <w:rPr>
                <w:rFonts w:ascii="宋体" w:hAnsi="宋体" w:cs="Arial"/>
                <w:b/>
                <w:bCs/>
                <w:sz w:val="28"/>
              </w:rPr>
            </w:pPr>
          </w:p>
        </w:tc>
        <w:tc>
          <w:tcPr>
            <w:tcW w:w="1205" w:type="dxa"/>
          </w:tcPr>
          <w:p>
            <w:pPr>
              <w:spacing w:line="400" w:lineRule="exact"/>
              <w:jc w:val="center"/>
              <w:rPr>
                <w:rFonts w:ascii="宋体" w:hAnsi="宋体" w:cs="Arial"/>
                <w:b/>
                <w:bCs/>
                <w:sz w:val="28"/>
              </w:rPr>
            </w:pPr>
          </w:p>
        </w:tc>
        <w:tc>
          <w:tcPr>
            <w:tcW w:w="817" w:type="dxa"/>
          </w:tcPr>
          <w:p>
            <w:pPr>
              <w:spacing w:line="400" w:lineRule="exact"/>
              <w:jc w:val="center"/>
              <w:rPr>
                <w:rFonts w:ascii="宋体" w:hAnsi="宋体" w:cs="Arial"/>
                <w:b/>
                <w:bCs/>
                <w:sz w:val="28"/>
              </w:rPr>
            </w:pPr>
          </w:p>
        </w:tc>
        <w:tc>
          <w:tcPr>
            <w:tcW w:w="945" w:type="dxa"/>
          </w:tcPr>
          <w:p>
            <w:pPr>
              <w:spacing w:line="400" w:lineRule="exact"/>
              <w:jc w:val="center"/>
              <w:rPr>
                <w:rFonts w:ascii="宋体" w:hAnsi="宋体" w:cs="Arial"/>
                <w:b/>
                <w:bCs/>
                <w:sz w:val="28"/>
              </w:rPr>
            </w:pPr>
          </w:p>
        </w:tc>
        <w:tc>
          <w:tcPr>
            <w:tcW w:w="817" w:type="dxa"/>
          </w:tcPr>
          <w:p>
            <w:pPr>
              <w:spacing w:line="400" w:lineRule="exact"/>
              <w:jc w:val="center"/>
              <w:rPr>
                <w:rFonts w:ascii="宋体" w:hAnsi="宋体" w:cs="Arial"/>
                <w:b/>
                <w:bCs/>
                <w:sz w:val="28"/>
              </w:rPr>
            </w:pPr>
          </w:p>
        </w:tc>
      </w:tr>
    </w:tbl>
    <w:p>
      <w:pPr>
        <w:spacing w:line="400" w:lineRule="exact"/>
        <w:jc w:val="center"/>
        <w:rPr>
          <w:rFonts w:ascii="宋体" w:hAnsi="宋体" w:cs="Arial"/>
          <w:b/>
          <w:bCs/>
          <w:sz w:val="28"/>
        </w:rPr>
      </w:pPr>
    </w:p>
    <w:p>
      <w:pPr>
        <w:spacing w:line="400" w:lineRule="exact"/>
        <w:jc w:val="center"/>
        <w:rPr>
          <w:rFonts w:ascii="宋体" w:hAnsi="宋体" w:cs="Arial"/>
          <w:b/>
          <w:bCs/>
          <w:sz w:val="28"/>
        </w:rPr>
      </w:pPr>
    </w:p>
    <w:p>
      <w:pPr>
        <w:spacing w:line="400" w:lineRule="exact"/>
        <w:jc w:val="center"/>
        <w:rPr>
          <w:rFonts w:ascii="宋体" w:hAnsi="宋体" w:cs="Arial"/>
          <w:b/>
          <w:bCs/>
          <w:sz w:val="28"/>
        </w:rPr>
      </w:pPr>
    </w:p>
    <w:p>
      <w:pPr>
        <w:spacing w:line="400" w:lineRule="exact"/>
        <w:jc w:val="center"/>
        <w:rPr>
          <w:rFonts w:ascii="宋体" w:hAnsi="宋体" w:cs="Arial"/>
          <w:b/>
          <w:bCs/>
          <w:sz w:val="28"/>
        </w:rPr>
      </w:pPr>
    </w:p>
    <w:p>
      <w:pPr>
        <w:spacing w:line="400" w:lineRule="exact"/>
        <w:jc w:val="center"/>
        <w:rPr>
          <w:rFonts w:ascii="宋体" w:hAnsi="宋体" w:cs="Arial"/>
          <w:b/>
          <w:bCs/>
          <w:sz w:val="28"/>
        </w:rPr>
      </w:pPr>
    </w:p>
    <w:p>
      <w:pPr>
        <w:adjustRightInd w:val="0"/>
        <w:spacing w:line="400" w:lineRule="exact"/>
        <w:ind w:firstLine="900" w:firstLineChars="375"/>
        <w:jc w:val="left"/>
        <w:rPr>
          <w:rFonts w:ascii="宋体" w:hAnsi="宋体"/>
          <w:bCs/>
          <w:sz w:val="24"/>
        </w:rPr>
      </w:pPr>
      <w:r>
        <w:rPr>
          <w:rFonts w:hint="eastAsia" w:ascii="宋体" w:hAnsi="宋体"/>
          <w:bCs/>
          <w:sz w:val="24"/>
        </w:rPr>
        <w:t>投标人名称（盖章）：</w:t>
      </w:r>
      <w:r>
        <w:rPr>
          <w:rFonts w:hint="eastAsia"/>
          <w:bCs/>
          <w:sz w:val="24"/>
          <w:u w:val="single"/>
        </w:rPr>
        <w:t>　　　　　　　　　　　　　　　　　　　　　　　　</w:t>
      </w:r>
    </w:p>
    <w:p>
      <w:pPr>
        <w:adjustRightInd w:val="0"/>
        <w:spacing w:line="400" w:lineRule="exact"/>
        <w:ind w:firstLine="900" w:firstLineChars="375"/>
        <w:jc w:val="left"/>
        <w:rPr>
          <w:sz w:val="24"/>
        </w:rPr>
      </w:pPr>
      <w:r>
        <w:rPr>
          <w:rFonts w:hint="eastAsia"/>
          <w:sz w:val="24"/>
        </w:rPr>
        <w:t>法定代表人或授权代表（签字）：</w:t>
      </w:r>
      <w:r>
        <w:rPr>
          <w:rFonts w:hint="eastAsia"/>
          <w:sz w:val="24"/>
          <w:u w:val="single"/>
        </w:rPr>
        <w:t>　　　　　　　　　　　　　　　　　　　</w:t>
      </w:r>
    </w:p>
    <w:p>
      <w:pPr>
        <w:adjustRightInd w:val="0"/>
        <w:spacing w:line="400" w:lineRule="exact"/>
        <w:ind w:firstLine="900" w:firstLineChars="375"/>
        <w:jc w:val="left"/>
        <w:rPr>
          <w:sz w:val="24"/>
        </w:rPr>
      </w:pPr>
      <w:r>
        <w:rPr>
          <w:rFonts w:hint="eastAsia"/>
          <w:sz w:val="24"/>
        </w:rPr>
        <w:t>日     期：     年  月  日</w:t>
      </w:r>
    </w:p>
    <w:p>
      <w:pPr>
        <w:spacing w:line="400" w:lineRule="exact"/>
        <w:ind w:firstLine="480" w:firstLineChars="200"/>
        <w:rPr>
          <w:rFonts w:ascii="宋体" w:hAnsi="宋体"/>
          <w:sz w:val="24"/>
        </w:rPr>
      </w:pPr>
    </w:p>
    <w:p>
      <w:pPr>
        <w:pStyle w:val="4"/>
        <w:spacing w:line="400" w:lineRule="exact"/>
        <w:ind w:firstLine="2570" w:firstLineChars="800"/>
        <w:rPr>
          <w:rFonts w:ascii="黑体"/>
        </w:rPr>
      </w:pPr>
      <w:bookmarkStart w:id="159" w:name="_Toc501031141"/>
      <w:r>
        <w:rPr>
          <w:rFonts w:hint="eastAsia" w:ascii="黑体"/>
        </w:rPr>
        <w:t>七、承诺函</w:t>
      </w:r>
      <w:bookmarkEnd w:id="159"/>
    </w:p>
    <w:p>
      <w:pPr>
        <w:spacing w:line="500" w:lineRule="exact"/>
        <w:ind w:firstLine="120" w:firstLineChars="50"/>
        <w:rPr>
          <w:rFonts w:ascii="宋体"/>
          <w:sz w:val="24"/>
        </w:rPr>
      </w:pPr>
      <w:r>
        <w:rPr>
          <w:rFonts w:ascii="宋体"/>
          <w:sz w:val="24"/>
          <w:u w:val="single"/>
        </w:rPr>
        <w:t xml:space="preserve">                               </w:t>
      </w:r>
      <w:r>
        <w:rPr>
          <w:rFonts w:hint="eastAsia" w:ascii="宋体"/>
          <w:sz w:val="24"/>
        </w:rPr>
        <w:t>（采购代理机构名称）：</w:t>
      </w:r>
    </w:p>
    <w:p>
      <w:pPr>
        <w:spacing w:line="360" w:lineRule="auto"/>
        <w:ind w:firstLine="480" w:firstLineChars="200"/>
        <w:rPr>
          <w:rFonts w:ascii="宋体"/>
          <w:sz w:val="24"/>
        </w:rPr>
      </w:pPr>
      <w:r>
        <w:rPr>
          <w:rFonts w:hint="eastAsia" w:ascii="宋体"/>
          <w:sz w:val="24"/>
        </w:rPr>
        <w:t>本公司作为本次采购项目的投标人，根据招标文件要求，现郑重承诺如下：</w:t>
      </w:r>
    </w:p>
    <w:p>
      <w:pPr>
        <w:widowControl/>
        <w:spacing w:line="360" w:lineRule="auto"/>
        <w:ind w:firstLine="480" w:firstLineChars="200"/>
        <w:jc w:val="left"/>
        <w:rPr>
          <w:rFonts w:ascii="宋体"/>
          <w:sz w:val="24"/>
        </w:rPr>
      </w:pPr>
      <w:r>
        <w:rPr>
          <w:rFonts w:hint="eastAsia" w:ascii="宋体"/>
          <w:sz w:val="24"/>
        </w:rPr>
        <w:t>1、具有独立承担民事责任的能力；</w:t>
      </w:r>
    </w:p>
    <w:p>
      <w:pPr>
        <w:widowControl/>
        <w:spacing w:line="360" w:lineRule="auto"/>
        <w:ind w:firstLine="480" w:firstLineChars="200"/>
        <w:jc w:val="left"/>
        <w:rPr>
          <w:rFonts w:ascii="宋体"/>
          <w:sz w:val="24"/>
        </w:rPr>
      </w:pPr>
      <w:r>
        <w:rPr>
          <w:rFonts w:hint="eastAsia" w:ascii="宋体"/>
          <w:sz w:val="24"/>
        </w:rPr>
        <w:t>2、具有良好的商业信誉和健全的财务会计制度；</w:t>
      </w:r>
    </w:p>
    <w:p>
      <w:pPr>
        <w:widowControl/>
        <w:spacing w:line="360" w:lineRule="auto"/>
        <w:ind w:firstLine="480" w:firstLineChars="200"/>
        <w:jc w:val="left"/>
        <w:rPr>
          <w:rFonts w:ascii="宋体"/>
          <w:sz w:val="24"/>
        </w:rPr>
      </w:pPr>
      <w:r>
        <w:rPr>
          <w:rFonts w:hint="eastAsia" w:ascii="宋体"/>
          <w:sz w:val="24"/>
        </w:rPr>
        <w:t>3、具有履行合同所必须的设备和专业技术能力；</w:t>
      </w:r>
    </w:p>
    <w:p>
      <w:pPr>
        <w:widowControl/>
        <w:spacing w:line="360" w:lineRule="auto"/>
        <w:ind w:firstLine="480" w:firstLineChars="200"/>
        <w:jc w:val="left"/>
        <w:rPr>
          <w:rFonts w:ascii="宋体"/>
          <w:sz w:val="24"/>
        </w:rPr>
      </w:pPr>
      <w:r>
        <w:rPr>
          <w:rFonts w:hint="eastAsia" w:ascii="宋体"/>
          <w:sz w:val="24"/>
        </w:rPr>
        <w:t>4、具有依法缴纳税收和社会保障资金的良好记录；</w:t>
      </w:r>
    </w:p>
    <w:p>
      <w:pPr>
        <w:widowControl/>
        <w:spacing w:line="360" w:lineRule="auto"/>
        <w:ind w:firstLine="480" w:firstLineChars="200"/>
        <w:jc w:val="left"/>
        <w:rPr>
          <w:rFonts w:ascii="宋体"/>
          <w:sz w:val="24"/>
        </w:rPr>
      </w:pPr>
      <w:r>
        <w:rPr>
          <w:rFonts w:hint="eastAsia" w:ascii="宋体"/>
          <w:sz w:val="24"/>
        </w:rPr>
        <w:t>5、参加本次采购活动前三年内，在经营活动中没有重大违法违规记录；</w:t>
      </w:r>
    </w:p>
    <w:p>
      <w:pPr>
        <w:widowControl/>
        <w:spacing w:line="360" w:lineRule="auto"/>
        <w:ind w:firstLine="480" w:firstLineChars="200"/>
        <w:jc w:val="left"/>
        <w:rPr>
          <w:rFonts w:ascii="宋体"/>
          <w:sz w:val="24"/>
        </w:rPr>
      </w:pPr>
      <w:r>
        <w:rPr>
          <w:rFonts w:hint="eastAsia" w:ascii="宋体"/>
          <w:sz w:val="24"/>
        </w:rPr>
        <w:t>6、法律、行政法规规定的其他条件；</w:t>
      </w:r>
    </w:p>
    <w:p>
      <w:pPr>
        <w:widowControl/>
        <w:spacing w:line="360" w:lineRule="auto"/>
        <w:ind w:firstLine="480" w:firstLineChars="200"/>
        <w:jc w:val="left"/>
        <w:rPr>
          <w:rFonts w:ascii="宋体"/>
          <w:sz w:val="24"/>
        </w:rPr>
      </w:pPr>
      <w:r>
        <w:rPr>
          <w:rFonts w:hint="eastAsia" w:ascii="宋体"/>
          <w:sz w:val="24"/>
        </w:rPr>
        <w:t>7、根据采购项目提出的特殊条件：</w:t>
      </w:r>
    </w:p>
    <w:p>
      <w:pPr>
        <w:tabs>
          <w:tab w:val="left" w:pos="7665"/>
        </w:tabs>
        <w:spacing w:line="360" w:lineRule="auto"/>
        <w:ind w:firstLine="480" w:firstLineChars="200"/>
        <w:rPr>
          <w:rFonts w:ascii="宋体"/>
          <w:sz w:val="24"/>
        </w:rPr>
      </w:pPr>
      <w:r>
        <w:rPr>
          <w:rFonts w:hint="eastAsia" w:ascii="宋体"/>
          <w:sz w:val="24"/>
        </w:rPr>
        <w:t>7.1、本公司及法定代表人（负责人）、技术负责人无行贿犯罪记录；</w:t>
      </w:r>
    </w:p>
    <w:p>
      <w:pPr>
        <w:spacing w:line="360" w:lineRule="auto"/>
        <w:ind w:left="482"/>
        <w:rPr>
          <w:rFonts w:ascii="宋体"/>
          <w:sz w:val="24"/>
        </w:rPr>
      </w:pPr>
      <w:r>
        <w:rPr>
          <w:rFonts w:hint="eastAsia" w:ascii="宋体"/>
          <w:sz w:val="24"/>
        </w:rPr>
        <w:t>8、提供的投标产品是全新的并且符合国家最新有关标准，并满足招标文件、投标文件及技术协议的规定；</w:t>
      </w:r>
    </w:p>
    <w:p>
      <w:pPr>
        <w:spacing w:line="360" w:lineRule="auto"/>
        <w:ind w:left="482"/>
        <w:rPr>
          <w:rFonts w:ascii="宋体"/>
          <w:sz w:val="24"/>
        </w:rPr>
      </w:pPr>
      <w:r>
        <w:rPr>
          <w:rFonts w:hint="eastAsia" w:ascii="宋体"/>
          <w:sz w:val="24"/>
        </w:rPr>
        <w:t>9、</w:t>
      </w:r>
      <w:r>
        <w:rPr>
          <w:rFonts w:ascii="宋体"/>
          <w:sz w:val="24"/>
        </w:rPr>
        <w:t>没有处于禁止参加政府采购活动的期间。</w:t>
      </w:r>
    </w:p>
    <w:p>
      <w:pPr>
        <w:spacing w:line="360" w:lineRule="auto"/>
        <w:ind w:firstLine="480" w:firstLineChars="200"/>
        <w:rPr>
          <w:rFonts w:ascii="宋体"/>
          <w:sz w:val="24"/>
        </w:rPr>
      </w:pPr>
      <w:r>
        <w:rPr>
          <w:rFonts w:hint="eastAsia" w:ascii="宋体"/>
          <w:sz w:val="24"/>
        </w:rPr>
        <w:t>本公司对上述承诺的内容事项真实性负责。如经查实上述承诺的内容事项存在虚假，我公司愿意接受以提供虚假材料谋取中标追究法律责任。</w:t>
      </w:r>
    </w:p>
    <w:p>
      <w:pPr>
        <w:spacing w:line="360" w:lineRule="auto"/>
        <w:jc w:val="left"/>
        <w:rPr>
          <w:rFonts w:ascii="宋体"/>
          <w:sz w:val="24"/>
        </w:rPr>
      </w:pPr>
    </w:p>
    <w:p>
      <w:pPr>
        <w:spacing w:line="500" w:lineRule="exact"/>
        <w:jc w:val="left"/>
        <w:rPr>
          <w:rFonts w:ascii="宋体"/>
          <w:sz w:val="24"/>
        </w:rPr>
      </w:pPr>
      <w:r>
        <w:rPr>
          <w:rFonts w:hint="eastAsia" w:ascii="宋体"/>
          <w:sz w:val="24"/>
        </w:rPr>
        <w:t>投标人名称（盖单位公章）</w:t>
      </w:r>
      <w:r>
        <w:rPr>
          <w:rFonts w:hint="eastAsia" w:ascii="宋体"/>
          <w:sz w:val="24"/>
          <w:u w:val="single"/>
        </w:rPr>
        <w:t>：　　</w:t>
      </w:r>
      <w:r>
        <w:rPr>
          <w:rFonts w:ascii="宋体"/>
          <w:sz w:val="24"/>
          <w:u w:val="single"/>
        </w:rPr>
        <w:t xml:space="preserve">                                 </w:t>
      </w:r>
    </w:p>
    <w:p>
      <w:pPr>
        <w:spacing w:line="500" w:lineRule="exact"/>
        <w:jc w:val="left"/>
        <w:rPr>
          <w:rFonts w:ascii="宋体"/>
          <w:sz w:val="24"/>
          <w:u w:val="single"/>
        </w:rPr>
      </w:pPr>
      <w:r>
        <w:rPr>
          <w:rFonts w:hint="eastAsia" w:ascii="宋体"/>
          <w:sz w:val="24"/>
        </w:rPr>
        <w:t>法定代表人或授权代表（签字）：</w:t>
      </w:r>
      <w:r>
        <w:rPr>
          <w:rFonts w:ascii="宋体"/>
          <w:sz w:val="24"/>
          <w:u w:val="single"/>
        </w:rPr>
        <w:t xml:space="preserve">          </w:t>
      </w:r>
      <w:r>
        <w:rPr>
          <w:rFonts w:hint="eastAsia" w:ascii="宋体"/>
          <w:sz w:val="24"/>
          <w:u w:val="single"/>
        </w:rPr>
        <w:t>　　</w:t>
      </w:r>
      <w:r>
        <w:rPr>
          <w:rFonts w:ascii="宋体"/>
          <w:sz w:val="24"/>
          <w:u w:val="single"/>
        </w:rPr>
        <w:t xml:space="preserve"> </w:t>
      </w:r>
      <w:r>
        <w:rPr>
          <w:rFonts w:hint="eastAsia" w:ascii="宋体"/>
          <w:sz w:val="24"/>
          <w:u w:val="single"/>
        </w:rPr>
        <w:t xml:space="preserve">             </w:t>
      </w:r>
      <w:r>
        <w:rPr>
          <w:rFonts w:ascii="宋体"/>
          <w:sz w:val="24"/>
          <w:u w:val="single"/>
        </w:rPr>
        <w:t xml:space="preserve">     </w:t>
      </w:r>
    </w:p>
    <w:p>
      <w:pPr>
        <w:spacing w:line="500" w:lineRule="exact"/>
        <w:jc w:val="left"/>
        <w:rPr>
          <w:rFonts w:ascii="宋体"/>
          <w:sz w:val="24"/>
        </w:rPr>
      </w:pPr>
      <w:r>
        <w:rPr>
          <w:rFonts w:hint="eastAsia"/>
          <w:sz w:val="24"/>
        </w:rPr>
        <w:t>日     期：     年  月  日</w:t>
      </w:r>
    </w:p>
    <w:p>
      <w:pPr>
        <w:spacing w:beforeLines="20" w:afterLines="20" w:line="360" w:lineRule="auto"/>
        <w:ind w:firstLine="420" w:firstLineChars="200"/>
        <w:rPr>
          <w:szCs w:val="21"/>
        </w:rPr>
      </w:pPr>
    </w:p>
    <w:p>
      <w:pPr>
        <w:spacing w:line="780" w:lineRule="exact"/>
        <w:rPr>
          <w:rFonts w:ascii="黑体" w:hAnsi="黑体" w:eastAsia="黑体"/>
          <w:b/>
          <w:sz w:val="52"/>
          <w:szCs w:val="52"/>
        </w:rPr>
      </w:pPr>
    </w:p>
    <w:p>
      <w:pPr>
        <w:pStyle w:val="4"/>
        <w:spacing w:line="400" w:lineRule="exact"/>
        <w:jc w:val="center"/>
        <w:rPr>
          <w:rFonts w:ascii="宋体" w:hAnsi="宋体" w:cs="宋体"/>
          <w:kern w:val="0"/>
          <w:sz w:val="27"/>
          <w:szCs w:val="27"/>
        </w:rPr>
      </w:pPr>
      <w:r>
        <w:rPr>
          <w:rFonts w:hint="eastAsia" w:ascii="宋体" w:hAnsi="宋体" w:cs="宋体"/>
          <w:kern w:val="0"/>
          <w:sz w:val="27"/>
          <w:szCs w:val="27"/>
        </w:rPr>
        <w:t>　　　　　　　　　　　　　　　　　　　　　　　　　　　</w:t>
      </w:r>
    </w:p>
    <w:p>
      <w:pPr>
        <w:rPr>
          <w:rFonts w:ascii="黑体" w:hAnsi="Arial" w:eastAsia="黑体"/>
          <w:b/>
          <w:bCs/>
          <w:sz w:val="28"/>
          <w:szCs w:val="22"/>
        </w:rPr>
      </w:pPr>
      <w:r>
        <w:rPr>
          <w:rFonts w:hint="eastAsia" w:ascii="黑体" w:hAnsi="Arial" w:eastAsia="黑体"/>
          <w:b/>
          <w:bCs/>
          <w:sz w:val="28"/>
          <w:szCs w:val="22"/>
        </w:rPr>
        <w:t>八、服务计划及服务承诺</w:t>
      </w:r>
    </w:p>
    <w:p/>
    <w:p>
      <w:pPr>
        <w:rPr>
          <w:rFonts w:ascii="仿宋" w:hAnsi="仿宋" w:eastAsia="仿宋" w:cs="仿宋"/>
          <w:sz w:val="24"/>
        </w:rPr>
      </w:pPr>
      <w:r>
        <w:rPr>
          <w:rFonts w:hint="eastAsia" w:ascii="仿宋" w:hAnsi="仿宋" w:eastAsia="仿宋" w:cs="仿宋"/>
          <w:sz w:val="24"/>
        </w:rPr>
        <w:t>投标人自行编写。</w:t>
      </w:r>
    </w:p>
    <w:p/>
    <w:p/>
    <w:p/>
    <w:p/>
    <w:p/>
    <w:p/>
    <w:p/>
    <w:p/>
    <w:p/>
    <w:p/>
    <w:p/>
    <w:p/>
    <w:p/>
    <w:p/>
    <w:p/>
    <w:p/>
    <w:p/>
    <w:p/>
    <w:p/>
    <w:p/>
    <w:p/>
    <w:p/>
    <w:p/>
    <w:p/>
    <w:p>
      <w:pPr>
        <w:ind w:firstLine="562" w:firstLineChars="200"/>
        <w:rPr>
          <w:rFonts w:ascii="黑体" w:hAnsi="Arial" w:eastAsia="黑体"/>
          <w:b/>
          <w:bCs/>
          <w:sz w:val="28"/>
          <w:szCs w:val="22"/>
        </w:rPr>
      </w:pPr>
      <w:r>
        <w:rPr>
          <w:rFonts w:hint="eastAsia" w:ascii="黑体" w:hAnsi="Arial" w:eastAsia="黑体"/>
          <w:b/>
          <w:bCs/>
          <w:sz w:val="28"/>
          <w:szCs w:val="22"/>
        </w:rPr>
        <w:t>九、成交后的管理方案</w:t>
      </w:r>
    </w:p>
    <w:p/>
    <w:p/>
    <w:p>
      <w:pPr>
        <w:rPr>
          <w:rFonts w:ascii="仿宋" w:hAnsi="仿宋" w:eastAsia="仿宋" w:cs="仿宋"/>
          <w:sz w:val="24"/>
        </w:rPr>
      </w:pPr>
      <w:r>
        <w:rPr>
          <w:rFonts w:hint="eastAsia" w:ascii="仿宋" w:hAnsi="仿宋" w:eastAsia="仿宋" w:cs="仿宋"/>
          <w:sz w:val="24"/>
        </w:rPr>
        <w:t>投标人自行编写。</w:t>
      </w:r>
    </w:p>
    <w:p>
      <w:pPr>
        <w:spacing w:beforeLines="20" w:afterLines="20" w:line="360" w:lineRule="auto"/>
        <w:ind w:firstLine="540" w:firstLineChars="200"/>
        <w:rPr>
          <w:rFonts w:ascii="宋体" w:hAnsi="宋体" w:cs="宋体"/>
          <w:kern w:val="0"/>
          <w:sz w:val="27"/>
          <w:szCs w:val="27"/>
        </w:rPr>
      </w:pPr>
    </w:p>
    <w:p>
      <w:pPr>
        <w:pStyle w:val="2"/>
        <w:rPr>
          <w:rFonts w:ascii="宋体" w:hAnsi="宋体" w:cs="宋体"/>
          <w:sz w:val="27"/>
          <w:szCs w:val="27"/>
        </w:rPr>
      </w:pPr>
    </w:p>
    <w:p>
      <w:pPr>
        <w:rPr>
          <w:rFonts w:ascii="宋体" w:hAnsi="宋体" w:cs="宋体"/>
          <w:kern w:val="0"/>
          <w:sz w:val="27"/>
          <w:szCs w:val="27"/>
        </w:rPr>
      </w:pPr>
    </w:p>
    <w:p>
      <w:pPr>
        <w:pStyle w:val="2"/>
        <w:rPr>
          <w:rFonts w:ascii="宋体" w:hAnsi="宋体" w:cs="宋体"/>
          <w:sz w:val="27"/>
          <w:szCs w:val="27"/>
        </w:rPr>
      </w:pPr>
    </w:p>
    <w:p>
      <w:pPr>
        <w:rPr>
          <w:rFonts w:ascii="宋体" w:hAnsi="宋体" w:cs="宋体"/>
          <w:kern w:val="0"/>
          <w:sz w:val="27"/>
          <w:szCs w:val="27"/>
        </w:rPr>
      </w:pPr>
    </w:p>
    <w:p>
      <w:pPr>
        <w:pStyle w:val="2"/>
        <w:rPr>
          <w:rFonts w:ascii="宋体" w:hAnsi="宋体" w:cs="宋体"/>
          <w:sz w:val="27"/>
          <w:szCs w:val="27"/>
        </w:rPr>
      </w:pPr>
    </w:p>
    <w:p>
      <w:pPr>
        <w:rPr>
          <w:rFonts w:ascii="宋体" w:hAnsi="宋体" w:cs="宋体"/>
          <w:kern w:val="0"/>
          <w:sz w:val="27"/>
          <w:szCs w:val="27"/>
        </w:rPr>
      </w:pPr>
    </w:p>
    <w:p>
      <w:pPr>
        <w:pStyle w:val="2"/>
        <w:rPr>
          <w:rFonts w:ascii="宋体" w:hAnsi="宋体" w:cs="宋体"/>
          <w:sz w:val="27"/>
          <w:szCs w:val="27"/>
        </w:rPr>
      </w:pPr>
    </w:p>
    <w:p>
      <w:pPr>
        <w:rPr>
          <w:rFonts w:ascii="宋体" w:hAnsi="宋体" w:cs="宋体"/>
          <w:kern w:val="0"/>
          <w:sz w:val="27"/>
          <w:szCs w:val="27"/>
        </w:rPr>
      </w:pPr>
    </w:p>
    <w:p>
      <w:pPr>
        <w:pStyle w:val="2"/>
        <w:rPr>
          <w:rFonts w:ascii="宋体" w:hAnsi="宋体" w:cs="宋体"/>
          <w:sz w:val="27"/>
          <w:szCs w:val="27"/>
        </w:rPr>
      </w:pPr>
    </w:p>
    <w:p>
      <w:pPr>
        <w:rPr>
          <w:rFonts w:ascii="宋体" w:hAnsi="宋体" w:cs="宋体"/>
          <w:kern w:val="0"/>
          <w:sz w:val="27"/>
          <w:szCs w:val="27"/>
        </w:rPr>
      </w:pPr>
    </w:p>
    <w:p>
      <w:pPr>
        <w:pStyle w:val="2"/>
        <w:rPr>
          <w:rFonts w:ascii="宋体" w:hAnsi="宋体" w:cs="宋体"/>
          <w:sz w:val="27"/>
          <w:szCs w:val="27"/>
        </w:rPr>
      </w:pPr>
    </w:p>
    <w:p>
      <w:pPr>
        <w:rPr>
          <w:rFonts w:ascii="宋体" w:hAnsi="宋体" w:cs="宋体"/>
          <w:kern w:val="0"/>
          <w:sz w:val="27"/>
          <w:szCs w:val="27"/>
        </w:rPr>
      </w:pPr>
    </w:p>
    <w:p>
      <w:pPr>
        <w:rPr>
          <w:rFonts w:ascii="宋体" w:hAnsi="宋体" w:cs="宋体"/>
          <w:kern w:val="0"/>
          <w:sz w:val="27"/>
          <w:szCs w:val="27"/>
        </w:rPr>
      </w:pPr>
    </w:p>
    <w:p>
      <w:pPr>
        <w:pStyle w:val="4"/>
        <w:spacing w:line="400" w:lineRule="exact"/>
        <w:ind w:firstLine="813" w:firstLineChars="300"/>
        <w:rPr>
          <w:rFonts w:ascii="黑体"/>
          <w:b w:val="0"/>
          <w:sz w:val="30"/>
          <w:szCs w:val="30"/>
        </w:rPr>
      </w:pPr>
      <w:bookmarkStart w:id="160" w:name="_Toc501031142"/>
      <w:r>
        <w:rPr>
          <w:rFonts w:hint="eastAsia" w:ascii="宋体" w:hAnsi="宋体" w:cs="宋体"/>
          <w:kern w:val="0"/>
          <w:sz w:val="27"/>
          <w:szCs w:val="27"/>
        </w:rPr>
        <w:t>十、</w:t>
      </w:r>
      <w:r>
        <w:rPr>
          <w:rFonts w:hint="eastAsia" w:ascii="黑体"/>
        </w:rPr>
        <w:t>供应商诚信经营和诚信履约承诺书</w:t>
      </w:r>
      <w:bookmarkEnd w:id="160"/>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我公司</w:t>
      </w:r>
      <w:r>
        <w:rPr>
          <w:rFonts w:hint="eastAsia" w:ascii="宋体" w:hAnsi="宋体" w:cs="宋体"/>
          <w:kern w:val="0"/>
          <w:sz w:val="27"/>
          <w:szCs w:val="27"/>
          <w:u w:val="single"/>
        </w:rPr>
        <w:t>　　（投标人名称）</w:t>
      </w:r>
      <w:r>
        <w:rPr>
          <w:rFonts w:hint="eastAsia" w:ascii="宋体" w:hAnsi="宋体" w:cs="宋体"/>
          <w:kern w:val="0"/>
          <w:sz w:val="27"/>
          <w:szCs w:val="27"/>
        </w:rPr>
        <w:t>已详细阅读了</w:t>
      </w:r>
      <w:r>
        <w:rPr>
          <w:rFonts w:hint="eastAsia" w:ascii="宋体" w:hAnsi="宋体" w:cs="宋体"/>
          <w:kern w:val="0"/>
          <w:sz w:val="27"/>
          <w:szCs w:val="27"/>
          <w:u w:val="single"/>
        </w:rPr>
        <w:t>　　　　</w:t>
      </w:r>
      <w:r>
        <w:rPr>
          <w:rFonts w:hint="eastAsia" w:ascii="宋体" w:hAnsi="宋体" w:cs="宋体"/>
          <w:kern w:val="0"/>
          <w:sz w:val="27"/>
          <w:szCs w:val="27"/>
        </w:rPr>
        <w:t>（项目编号：</w:t>
      </w:r>
      <w:r>
        <w:rPr>
          <w:rFonts w:hint="eastAsia" w:ascii="宋体" w:hAnsi="宋体" w:cs="宋体"/>
          <w:kern w:val="0"/>
          <w:sz w:val="27"/>
          <w:szCs w:val="27"/>
          <w:u w:val="single"/>
        </w:rPr>
        <w:t>　　　　　</w:t>
      </w:r>
      <w:r>
        <w:rPr>
          <w:rFonts w:hint="eastAsia" w:ascii="宋体" w:hAnsi="宋体" w:cs="宋体"/>
          <w:kern w:val="0"/>
          <w:sz w:val="27"/>
          <w:szCs w:val="27"/>
        </w:rPr>
        <w:t>）招标（采购）文件，自愿参加本次采购活动，现有关事项郑重承诺如下：</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一、我公司保证在该项目招标前，未向采购人提供整体设计、规范编制或者项目管理、监理、检测、咨询论证等任何服务。</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二、我公司保证投标文件所提供的资料和内容均真实、合法、有效，保证不出借或者借用其他投标人的资质，不以他人名义投标，不弄虚作假。</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三、我公司保证所提供的产品或服务质量。保证所提供的产品均为原厂正宗产品，确保售后服务；保证所提供的服务严格按招标文件要求，不打折扣，不降低服务质量，并保证做到以下几点：</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（一）不提供虚假材料谋取中标；</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（二）不采取不正当手段诋毁、排挤其他投标人谋取中标；；</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（三）不与采购人、其他投标人或者采购代理机构恶意串通搞串标围标谋取中标；</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（四）不向采购人、采购代理机构或评审专家行贿或者提供其他不正当利益谋取中标；</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四、若中标，我公司严格按招标文件和合同要求，诚信履约，不与采购人订立有悖于采购结果的合同，严格履行政府采购合同，不降低合同约定的产品及相关服务质量，不擅自变更、中止、终止合同或拒绝履行合同。</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五、如果有《四川省政府采购当事人诚信管理办法》（川财采[2015]33号）规定的记入诚信档案的失信行为，将在投标文件中全面如实反映。</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六、参加本次招标采购活动，不存在与单位负责人为同一人或者存在直接控股、管理关系的其他供应商参与同一合同项下的政府采购活动的行为。</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七、参加本次招标采购活动，不存在和其他供应商在同一合同项下的采购项目中，同时委托同一个自然人、同一家庭的人员、同一单位的人员作为代理人的行为。</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八、我公司保证，若有违反以上承诺行为，我公司自愿接受取消投标资格，记入不良记录，不予退还交纳的投标保证金，并通过政府采购媒体通报，在1-3年内禁止参加政府活动等处罚；如已中标（成交）的，取消中标（成交）资格，没收履约保证金，并承担全部法律责任，给采购人造成损失的，我公司依法承担全部赔偿责任。</w:t>
      </w:r>
    </w:p>
    <w:p>
      <w:pPr>
        <w:spacing w:beforeLines="20" w:afterLines="20" w:line="360" w:lineRule="auto"/>
        <w:ind w:firstLine="4590" w:firstLineChars="1700"/>
        <w:rPr>
          <w:rFonts w:ascii="宋体" w:hAnsi="宋体" w:cs="宋体"/>
          <w:kern w:val="0"/>
          <w:sz w:val="27"/>
          <w:szCs w:val="27"/>
        </w:rPr>
      </w:pPr>
      <w:r>
        <w:rPr>
          <w:rFonts w:hint="eastAsia" w:ascii="宋体" w:hAnsi="宋体" w:cs="宋体"/>
          <w:kern w:val="0"/>
          <w:sz w:val="27"/>
          <w:szCs w:val="27"/>
        </w:rPr>
        <w:t xml:space="preserve"> 投标人（公章）： </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 xml:space="preserve">                              法定代表人（签字）： </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 xml:space="preserve">                              日   期：   年 月 日</w:t>
      </w:r>
    </w:p>
    <w:p>
      <w:pPr>
        <w:spacing w:beforeLines="20" w:afterLines="20" w:line="360" w:lineRule="auto"/>
        <w:ind w:firstLine="540" w:firstLineChars="200"/>
        <w:rPr>
          <w:rFonts w:ascii="宋体" w:hAnsi="宋体" w:cs="宋体"/>
          <w:kern w:val="0"/>
          <w:sz w:val="27"/>
          <w:szCs w:val="27"/>
        </w:rPr>
      </w:pPr>
    </w:p>
    <w:p>
      <w:pPr>
        <w:spacing w:beforeLines="20" w:afterLines="20" w:line="360" w:lineRule="auto"/>
        <w:ind w:firstLine="402" w:firstLineChars="200"/>
        <w:rPr>
          <w:rFonts w:ascii="宋体" w:hAnsi="宋体" w:cs="宋体"/>
          <w:kern w:val="0"/>
          <w:sz w:val="27"/>
          <w:szCs w:val="27"/>
        </w:rPr>
      </w:pPr>
      <w:r>
        <w:rPr>
          <w:rFonts w:hint="eastAsia" w:ascii="宋体" w:hAnsi="宋体" w:cs="宋体"/>
          <w:b/>
          <w:kern w:val="0"/>
          <w:sz w:val="20"/>
          <w:szCs w:val="20"/>
        </w:rPr>
        <w:t>注：本承诺书为投标文件的必备要件，由投标人的法定代表人签字并加盖公章，投标文件无承诺书或法人代表未签字的作为无效投标处理，由投标人承担由此造成的一切后果和损失。</w:t>
      </w:r>
    </w:p>
    <w:p>
      <w:pPr>
        <w:pStyle w:val="4"/>
        <w:spacing w:line="400" w:lineRule="exact"/>
        <w:ind w:firstLine="1928" w:firstLineChars="600"/>
        <w:rPr>
          <w:rFonts w:ascii="宋体" w:hAnsi="宋体" w:cs="宋体"/>
          <w:kern w:val="0"/>
          <w:sz w:val="27"/>
          <w:szCs w:val="27"/>
        </w:rPr>
      </w:pPr>
      <w:bookmarkStart w:id="161" w:name="_Toc501031143"/>
      <w:r>
        <w:rPr>
          <w:rFonts w:hint="eastAsia" w:ascii="黑体"/>
        </w:rPr>
        <w:t>十一、中小企业声明函</w:t>
      </w:r>
      <w:bookmarkEnd w:id="161"/>
    </w:p>
    <w:p>
      <w:pPr>
        <w:spacing w:beforeLines="20" w:afterLines="20" w:line="360" w:lineRule="auto"/>
        <w:ind w:firstLine="540" w:firstLineChars="200"/>
        <w:rPr>
          <w:rFonts w:ascii="宋体" w:hAnsi="宋体" w:cs="宋体"/>
          <w:kern w:val="0"/>
          <w:sz w:val="27"/>
          <w:szCs w:val="27"/>
        </w:rPr>
      </w:pPr>
      <w:r>
        <w:rPr>
          <w:rFonts w:ascii="宋体" w:hAnsi="宋体" w:cs="宋体"/>
          <w:kern w:val="0"/>
          <w:sz w:val="27"/>
          <w:szCs w:val="27"/>
        </w:rPr>
        <w:t>本公司郑重声明，根据《政府采购促进中小企业发展暂行办法》（财库〔2011〕181号）的规定，本公司为______（请填写：中型、小型、微型）企业。即，本公司同时满足以下条件：</w:t>
      </w:r>
    </w:p>
    <w:p>
      <w:pPr>
        <w:spacing w:beforeLines="20" w:afterLines="20" w:line="360" w:lineRule="auto"/>
        <w:ind w:firstLine="540" w:firstLineChars="200"/>
        <w:rPr>
          <w:rFonts w:ascii="宋体" w:hAnsi="宋体" w:cs="宋体"/>
          <w:kern w:val="0"/>
          <w:sz w:val="27"/>
          <w:szCs w:val="27"/>
        </w:rPr>
      </w:pPr>
      <w:r>
        <w:rPr>
          <w:rFonts w:ascii="宋体" w:hAnsi="宋体" w:cs="宋体"/>
          <w:kern w:val="0"/>
          <w:sz w:val="27"/>
          <w:szCs w:val="27"/>
        </w:rPr>
        <w:t>1.根据《工业和信息化部、国家统计局、国家发展和改革委员会、财政部关于印发中小企业划型标准规定的通知》（工信部联企业〔2011〕300号）规定的划分标准，本公司为______（请填写：中型、小型、微型）企业。</w:t>
      </w:r>
    </w:p>
    <w:p>
      <w:pPr>
        <w:spacing w:beforeLines="20" w:afterLines="20" w:line="360" w:lineRule="auto"/>
        <w:ind w:firstLine="540" w:firstLineChars="200"/>
        <w:rPr>
          <w:rFonts w:ascii="宋体" w:hAnsi="宋体" w:cs="宋体"/>
          <w:kern w:val="0"/>
          <w:sz w:val="27"/>
          <w:szCs w:val="27"/>
        </w:rPr>
      </w:pPr>
      <w:r>
        <w:rPr>
          <w:rFonts w:ascii="宋体" w:hAnsi="宋体" w:cs="宋体"/>
          <w:kern w:val="0"/>
          <w:sz w:val="27"/>
          <w:szCs w:val="27"/>
        </w:rPr>
        <w:t>2.本公司参加______</w:t>
      </w:r>
      <w:r>
        <w:rPr>
          <w:rFonts w:hint="eastAsia" w:ascii="宋体" w:hAnsi="宋体" w:cs="宋体"/>
          <w:kern w:val="0"/>
          <w:sz w:val="27"/>
          <w:szCs w:val="27"/>
        </w:rPr>
        <w:t>（填</w:t>
      </w:r>
      <w:r>
        <w:rPr>
          <w:rFonts w:ascii="宋体" w:hAnsi="宋体" w:cs="宋体"/>
          <w:kern w:val="0"/>
          <w:sz w:val="27"/>
          <w:szCs w:val="27"/>
        </w:rPr>
        <w:t>采购代理机构名称）单位的______</w:t>
      </w:r>
      <w:r>
        <w:rPr>
          <w:rFonts w:hint="eastAsia" w:ascii="宋体" w:hAnsi="宋体" w:cs="宋体"/>
          <w:kern w:val="0"/>
          <w:sz w:val="27"/>
          <w:szCs w:val="27"/>
        </w:rPr>
        <w:t>（填</w:t>
      </w:r>
      <w:r>
        <w:rPr>
          <w:rFonts w:ascii="宋体" w:hAnsi="宋体" w:cs="宋体"/>
          <w:kern w:val="0"/>
          <w:sz w:val="27"/>
          <w:szCs w:val="27"/>
        </w:rPr>
        <w:t>项目名称）采购活动提供本企业制造的货物，由本企业承担工程、提供服务，或者提供其他______（请填写：中型、小型、微型）企业制造的货物。本条所称货物不包括使用大型企业注册商标的货物。</w:t>
      </w:r>
    </w:p>
    <w:p>
      <w:pPr>
        <w:spacing w:beforeLines="20" w:afterLines="20" w:line="360" w:lineRule="auto"/>
        <w:ind w:firstLine="540" w:firstLineChars="200"/>
        <w:rPr>
          <w:rFonts w:ascii="宋体" w:hAnsi="宋体" w:cs="宋体"/>
          <w:kern w:val="0"/>
          <w:sz w:val="27"/>
          <w:szCs w:val="27"/>
        </w:rPr>
      </w:pPr>
      <w:r>
        <w:rPr>
          <w:rFonts w:ascii="宋体" w:hAnsi="宋体" w:cs="宋体"/>
          <w:kern w:val="0"/>
          <w:sz w:val="27"/>
          <w:szCs w:val="27"/>
        </w:rPr>
        <w:t>本公司对上述声明的真实性负责。如有虚假，将依法承担相应责任。</w:t>
      </w:r>
    </w:p>
    <w:p>
      <w:pPr>
        <w:spacing w:beforeLines="20" w:afterLines="20" w:line="360" w:lineRule="auto"/>
        <w:ind w:firstLine="4590" w:firstLineChars="1700"/>
        <w:rPr>
          <w:rFonts w:ascii="宋体" w:hAnsi="宋体" w:cs="宋体"/>
          <w:kern w:val="0"/>
          <w:sz w:val="27"/>
          <w:szCs w:val="27"/>
        </w:rPr>
      </w:pPr>
      <w:r>
        <w:rPr>
          <w:rFonts w:ascii="宋体" w:hAnsi="宋体" w:cs="宋体"/>
          <w:kern w:val="0"/>
          <w:sz w:val="27"/>
          <w:szCs w:val="27"/>
        </w:rPr>
        <w:t>企业名称（盖章）：</w:t>
      </w:r>
    </w:p>
    <w:p>
      <w:pPr>
        <w:spacing w:beforeLines="20" w:afterLines="20" w:line="360" w:lineRule="auto"/>
        <w:ind w:firstLine="6345" w:firstLineChars="2350"/>
        <w:rPr>
          <w:rFonts w:ascii="宋体" w:hAnsi="宋体" w:cs="宋体"/>
          <w:kern w:val="0"/>
          <w:sz w:val="27"/>
          <w:szCs w:val="27"/>
        </w:rPr>
      </w:pPr>
      <w:r>
        <w:rPr>
          <w:rFonts w:ascii="宋体" w:hAnsi="宋体" w:cs="宋体"/>
          <w:kern w:val="0"/>
          <w:sz w:val="27"/>
          <w:szCs w:val="27"/>
        </w:rPr>
        <w:t>日 期：</w:t>
      </w:r>
    </w:p>
    <w:p>
      <w:pPr>
        <w:spacing w:beforeLines="20" w:afterLines="20" w:line="360" w:lineRule="auto"/>
        <w:ind w:firstLine="542" w:firstLineChars="200"/>
        <w:rPr>
          <w:rFonts w:ascii="宋体" w:hAnsi="宋体" w:cs="宋体"/>
          <w:kern w:val="0"/>
          <w:sz w:val="27"/>
          <w:szCs w:val="27"/>
        </w:rPr>
      </w:pPr>
      <w:r>
        <w:rPr>
          <w:rFonts w:hint="eastAsia" w:ascii="宋体" w:hAnsi="宋体" w:cs="宋体"/>
          <w:b/>
          <w:kern w:val="0"/>
          <w:sz w:val="27"/>
          <w:szCs w:val="27"/>
        </w:rPr>
        <w:t>备注</w:t>
      </w:r>
      <w:r>
        <w:rPr>
          <w:rFonts w:hint="eastAsia" w:ascii="宋体" w:hAnsi="宋体" w:cs="宋体"/>
          <w:kern w:val="0"/>
          <w:sz w:val="27"/>
          <w:szCs w:val="27"/>
        </w:rPr>
        <w:t>：</w:t>
      </w:r>
    </w:p>
    <w:p>
      <w:pPr>
        <w:spacing w:beforeLines="20" w:afterLines="20" w:line="360" w:lineRule="auto"/>
        <w:ind w:firstLine="480" w:firstLineChars="200"/>
        <w:rPr>
          <w:rFonts w:ascii="宋体" w:hAnsi="宋体" w:cs="宋体"/>
          <w:kern w:val="0"/>
          <w:sz w:val="24"/>
        </w:rPr>
      </w:pPr>
      <w:r>
        <w:rPr>
          <w:rFonts w:hint="eastAsia" w:ascii="宋体" w:hAnsi="宋体" w:cs="宋体"/>
          <w:kern w:val="0"/>
          <w:sz w:val="24"/>
        </w:rPr>
        <w:t>1、供应商提供</w:t>
      </w:r>
      <w:r>
        <w:rPr>
          <w:rFonts w:ascii="宋体" w:hAnsi="宋体" w:cs="宋体"/>
          <w:kern w:val="0"/>
          <w:sz w:val="24"/>
        </w:rPr>
        <w:t>货物</w:t>
      </w:r>
      <w:r>
        <w:rPr>
          <w:rFonts w:hint="eastAsia" w:ascii="宋体" w:hAnsi="宋体" w:cs="宋体"/>
          <w:kern w:val="0"/>
          <w:sz w:val="24"/>
        </w:rPr>
        <w:t>全部为</w:t>
      </w:r>
      <w:r>
        <w:rPr>
          <w:rFonts w:ascii="宋体" w:hAnsi="宋体" w:cs="宋体"/>
          <w:kern w:val="0"/>
          <w:sz w:val="24"/>
        </w:rPr>
        <w:t>本企业制造的</w:t>
      </w:r>
      <w:r>
        <w:rPr>
          <w:rFonts w:hint="eastAsia" w:ascii="宋体" w:hAnsi="宋体" w:cs="宋体"/>
          <w:kern w:val="0"/>
          <w:sz w:val="24"/>
        </w:rPr>
        <w:t>，删除“</w:t>
      </w:r>
      <w:r>
        <w:rPr>
          <w:rFonts w:ascii="宋体" w:hAnsi="宋体" w:cs="宋体"/>
          <w:kern w:val="0"/>
          <w:sz w:val="24"/>
        </w:rPr>
        <w:t>或者提供其他______（请填写：中型、小型、微型）企业制造的货物</w:t>
      </w:r>
      <w:r>
        <w:rPr>
          <w:rFonts w:hint="eastAsia" w:ascii="宋体" w:hAnsi="宋体" w:cs="宋体"/>
          <w:kern w:val="0"/>
          <w:sz w:val="24"/>
        </w:rPr>
        <w:t>”；</w:t>
      </w:r>
    </w:p>
    <w:p>
      <w:pPr>
        <w:spacing w:beforeLines="20" w:afterLines="20" w:line="360" w:lineRule="auto"/>
        <w:ind w:firstLine="480" w:firstLineChars="200"/>
        <w:rPr>
          <w:rFonts w:ascii="宋体" w:hAnsi="宋体" w:cs="宋体"/>
          <w:kern w:val="0"/>
          <w:sz w:val="24"/>
        </w:rPr>
      </w:pPr>
      <w:r>
        <w:rPr>
          <w:rFonts w:hint="eastAsia" w:ascii="宋体" w:hAnsi="宋体" w:cs="宋体"/>
          <w:kern w:val="0"/>
          <w:sz w:val="24"/>
        </w:rPr>
        <w:t>2、供应商提供</w:t>
      </w:r>
      <w:r>
        <w:rPr>
          <w:rFonts w:ascii="宋体" w:hAnsi="宋体" w:cs="宋体"/>
          <w:kern w:val="0"/>
          <w:sz w:val="24"/>
        </w:rPr>
        <w:t>货物</w:t>
      </w:r>
      <w:r>
        <w:rPr>
          <w:rFonts w:hint="eastAsia" w:ascii="宋体" w:hAnsi="宋体" w:cs="宋体"/>
          <w:kern w:val="0"/>
          <w:sz w:val="24"/>
        </w:rPr>
        <w:t>全部为其他</w:t>
      </w:r>
      <w:r>
        <w:rPr>
          <w:rFonts w:ascii="宋体" w:hAnsi="宋体" w:cs="宋体"/>
          <w:kern w:val="0"/>
          <w:sz w:val="24"/>
        </w:rPr>
        <w:t>企业制造的</w:t>
      </w:r>
      <w:r>
        <w:rPr>
          <w:rFonts w:hint="eastAsia" w:ascii="宋体" w:hAnsi="宋体" w:cs="宋体"/>
          <w:kern w:val="0"/>
          <w:sz w:val="24"/>
        </w:rPr>
        <w:t>，删除“</w:t>
      </w:r>
      <w:r>
        <w:rPr>
          <w:rFonts w:ascii="宋体" w:hAnsi="宋体" w:cs="宋体"/>
          <w:kern w:val="0"/>
          <w:sz w:val="24"/>
        </w:rPr>
        <w:t>提供本企业制造的货物</w:t>
      </w:r>
      <w:r>
        <w:rPr>
          <w:rFonts w:hint="eastAsia" w:ascii="宋体" w:hAnsi="宋体" w:cs="宋体"/>
          <w:kern w:val="0"/>
          <w:sz w:val="24"/>
        </w:rPr>
        <w:t>”和“或者”；</w:t>
      </w:r>
    </w:p>
    <w:p>
      <w:pPr>
        <w:spacing w:beforeLines="20" w:afterLines="20" w:line="360" w:lineRule="auto"/>
        <w:ind w:firstLine="480" w:firstLineChars="200"/>
        <w:rPr>
          <w:rFonts w:ascii="宋体" w:hAnsi="宋体" w:cs="宋体"/>
          <w:kern w:val="0"/>
          <w:sz w:val="24"/>
        </w:rPr>
      </w:pPr>
      <w:r>
        <w:rPr>
          <w:rFonts w:hint="eastAsia" w:ascii="宋体" w:hAnsi="宋体" w:cs="宋体"/>
          <w:kern w:val="0"/>
          <w:sz w:val="24"/>
        </w:rPr>
        <w:t>3、供应商提供</w:t>
      </w:r>
      <w:r>
        <w:rPr>
          <w:rFonts w:ascii="宋体" w:hAnsi="宋体" w:cs="宋体"/>
          <w:kern w:val="0"/>
          <w:sz w:val="24"/>
        </w:rPr>
        <w:t>货物</w:t>
      </w:r>
      <w:r>
        <w:rPr>
          <w:rFonts w:hint="eastAsia" w:ascii="宋体" w:hAnsi="宋体" w:cs="宋体"/>
          <w:kern w:val="0"/>
          <w:sz w:val="24"/>
        </w:rPr>
        <w:t>部分</w:t>
      </w:r>
      <w:r>
        <w:rPr>
          <w:rFonts w:ascii="宋体" w:hAnsi="宋体" w:cs="宋体"/>
          <w:kern w:val="0"/>
          <w:sz w:val="24"/>
        </w:rPr>
        <w:t>本企业制造</w:t>
      </w:r>
      <w:r>
        <w:rPr>
          <w:rFonts w:hint="eastAsia" w:ascii="宋体" w:hAnsi="宋体" w:cs="宋体"/>
          <w:kern w:val="0"/>
          <w:sz w:val="24"/>
        </w:rPr>
        <w:t>、部分为其他</w:t>
      </w:r>
      <w:r>
        <w:rPr>
          <w:rFonts w:ascii="宋体" w:hAnsi="宋体" w:cs="宋体"/>
          <w:kern w:val="0"/>
          <w:sz w:val="24"/>
        </w:rPr>
        <w:t>企业制造的</w:t>
      </w:r>
      <w:r>
        <w:rPr>
          <w:rFonts w:hint="eastAsia" w:ascii="宋体" w:hAnsi="宋体" w:cs="宋体"/>
          <w:kern w:val="0"/>
          <w:sz w:val="24"/>
        </w:rPr>
        <w:t>，“</w:t>
      </w:r>
      <w:r>
        <w:rPr>
          <w:rFonts w:ascii="宋体" w:hAnsi="宋体" w:cs="宋体"/>
          <w:kern w:val="0"/>
          <w:sz w:val="24"/>
        </w:rPr>
        <w:t>或者提供</w:t>
      </w:r>
      <w:r>
        <w:rPr>
          <w:rFonts w:hint="eastAsia" w:ascii="宋体" w:hAnsi="宋体" w:cs="宋体"/>
          <w:kern w:val="0"/>
          <w:sz w:val="24"/>
        </w:rPr>
        <w:t>”修改为“以及”。</w:t>
      </w:r>
      <w:bookmarkStart w:id="162" w:name="_Toc501031144"/>
      <w:r>
        <w:rPr>
          <w:rFonts w:hint="eastAsia" w:ascii="黑体"/>
          <w:bCs/>
        </w:rPr>
        <w:br w:type="page"/>
      </w:r>
    </w:p>
    <w:p>
      <w:pPr>
        <w:pStyle w:val="4"/>
        <w:spacing w:line="400" w:lineRule="exact"/>
        <w:jc w:val="center"/>
        <w:rPr>
          <w:rFonts w:ascii="黑体"/>
        </w:rPr>
      </w:pPr>
      <w:r>
        <w:rPr>
          <w:rFonts w:hint="eastAsia" w:ascii="黑体"/>
        </w:rPr>
        <w:t>十二、残疾人福利性单位声明函</w:t>
      </w:r>
      <w:bookmarkEnd w:id="162"/>
    </w:p>
    <w:p>
      <w:pPr>
        <w:spacing w:line="588" w:lineRule="exact"/>
        <w:ind w:firstLine="614"/>
        <w:rPr>
          <w:rFonts w:ascii="仿宋_GB2312" w:eastAsia="仿宋_GB2312"/>
          <w:b/>
          <w:spacing w:val="6"/>
          <w:sz w:val="30"/>
          <w:szCs w:val="30"/>
        </w:rPr>
      </w:pP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本单位郑重声明，根据《财政部</w:t>
      </w:r>
      <w:r>
        <w:rPr>
          <w:rFonts w:ascii="宋体" w:hAnsi="宋体" w:cs="宋体"/>
          <w:kern w:val="0"/>
          <w:sz w:val="27"/>
          <w:szCs w:val="27"/>
        </w:rPr>
        <w:t xml:space="preserve"> </w:t>
      </w:r>
      <w:r>
        <w:rPr>
          <w:rFonts w:hint="eastAsia" w:ascii="宋体" w:hAnsi="宋体" w:cs="宋体"/>
          <w:kern w:val="0"/>
          <w:sz w:val="27"/>
          <w:szCs w:val="27"/>
        </w:rPr>
        <w:t>民政部</w:t>
      </w:r>
      <w:r>
        <w:rPr>
          <w:rFonts w:ascii="宋体" w:hAnsi="宋体" w:cs="宋体"/>
          <w:kern w:val="0"/>
          <w:sz w:val="27"/>
          <w:szCs w:val="27"/>
        </w:rPr>
        <w:t xml:space="preserve"> </w:t>
      </w:r>
      <w:r>
        <w:rPr>
          <w:rFonts w:hint="eastAsia" w:ascii="宋体" w:hAnsi="宋体" w:cs="宋体"/>
          <w:kern w:val="0"/>
          <w:sz w:val="27"/>
          <w:szCs w:val="27"/>
        </w:rPr>
        <w:t>中国残疾人联合会关于促进残疾人就业政府采购政策的通知》（财库〔</w:t>
      </w:r>
      <w:r>
        <w:rPr>
          <w:rFonts w:ascii="宋体" w:hAnsi="宋体" w:cs="宋体"/>
          <w:kern w:val="0"/>
          <w:sz w:val="27"/>
          <w:szCs w:val="27"/>
        </w:rPr>
        <w:t>2017</w:t>
      </w:r>
      <w:r>
        <w:rPr>
          <w:rFonts w:hint="eastAsia" w:ascii="宋体" w:hAnsi="宋体" w:cs="宋体"/>
          <w:kern w:val="0"/>
          <w:sz w:val="27"/>
          <w:szCs w:val="27"/>
        </w:rPr>
        <w:t>〕</w:t>
      </w:r>
      <w:r>
        <w:rPr>
          <w:rFonts w:ascii="宋体" w:hAnsi="宋体" w:cs="宋体"/>
          <w:kern w:val="0"/>
          <w:sz w:val="27"/>
          <w:szCs w:val="27"/>
        </w:rPr>
        <w:t xml:space="preserve"> 141</w:t>
      </w:r>
      <w:r>
        <w:rPr>
          <w:rFonts w:hint="eastAsia" w:ascii="宋体" w:hAnsi="宋体" w:cs="宋体"/>
          <w:kern w:val="0"/>
          <w:sz w:val="27"/>
          <w:szCs w:val="27"/>
        </w:rPr>
        <w:t>号）的规定，本单位为符合条件的残疾人福利性单位，且本单位参加</w:t>
      </w:r>
      <w:r>
        <w:rPr>
          <w:rFonts w:ascii="宋体" w:hAnsi="宋体" w:cs="宋体"/>
          <w:kern w:val="0"/>
          <w:sz w:val="27"/>
          <w:szCs w:val="27"/>
        </w:rPr>
        <w:t>______</w:t>
      </w:r>
      <w:r>
        <w:rPr>
          <w:rFonts w:hint="eastAsia" w:ascii="宋体" w:hAnsi="宋体" w:cs="宋体"/>
          <w:kern w:val="0"/>
          <w:sz w:val="27"/>
          <w:szCs w:val="27"/>
        </w:rPr>
        <w:t>单位的</w:t>
      </w:r>
      <w:r>
        <w:rPr>
          <w:rFonts w:ascii="宋体" w:hAnsi="宋体" w:cs="宋体"/>
          <w:kern w:val="0"/>
          <w:sz w:val="27"/>
          <w:szCs w:val="27"/>
        </w:rPr>
        <w:t>______</w:t>
      </w:r>
      <w:r>
        <w:rPr>
          <w:rFonts w:hint="eastAsia" w:ascii="宋体" w:hAnsi="宋体" w:cs="宋体"/>
          <w:kern w:val="0"/>
          <w:sz w:val="27"/>
          <w:szCs w:val="27"/>
        </w:rPr>
        <w:t>项目采购活动提供本单位制造的货物（由本单位承担工程</w:t>
      </w:r>
      <w:r>
        <w:rPr>
          <w:rFonts w:ascii="宋体" w:hAnsi="宋体" w:cs="宋体"/>
          <w:kern w:val="0"/>
          <w:sz w:val="27"/>
          <w:szCs w:val="27"/>
        </w:rPr>
        <w:t>/</w:t>
      </w:r>
      <w:r>
        <w:rPr>
          <w:rFonts w:hint="eastAsia" w:ascii="宋体" w:hAnsi="宋体" w:cs="宋体"/>
          <w:kern w:val="0"/>
          <w:sz w:val="27"/>
          <w:szCs w:val="27"/>
        </w:rPr>
        <w:t>提供服务），或者提供其他残疾人福利性单位制造的货物（不包括使用非残疾人福利性单位注册商标的货物）。</w:t>
      </w:r>
    </w:p>
    <w:p>
      <w:pPr>
        <w:spacing w:beforeLines="20" w:afterLines="20" w:line="360" w:lineRule="auto"/>
        <w:ind w:firstLine="540" w:firstLineChars="200"/>
        <w:rPr>
          <w:rFonts w:ascii="宋体" w:hAnsi="宋体" w:cs="宋体"/>
          <w:kern w:val="0"/>
          <w:sz w:val="27"/>
          <w:szCs w:val="27"/>
        </w:rPr>
      </w:pPr>
      <w:r>
        <w:rPr>
          <w:rFonts w:hint="eastAsia" w:ascii="宋体" w:hAnsi="宋体" w:cs="宋体"/>
          <w:kern w:val="0"/>
          <w:sz w:val="27"/>
          <w:szCs w:val="27"/>
        </w:rPr>
        <w:t>本单位对上述声明的真实性负责。如有虚假，将依法承担相应责任。</w:t>
      </w:r>
    </w:p>
    <w:p>
      <w:pPr>
        <w:spacing w:beforeLines="20" w:afterLines="20" w:line="360" w:lineRule="auto"/>
        <w:ind w:firstLine="540" w:firstLineChars="200"/>
        <w:rPr>
          <w:rFonts w:ascii="宋体" w:hAnsi="宋体" w:cs="宋体"/>
          <w:kern w:val="0"/>
          <w:sz w:val="27"/>
          <w:szCs w:val="27"/>
        </w:rPr>
      </w:pPr>
    </w:p>
    <w:p>
      <w:pPr>
        <w:spacing w:beforeLines="20" w:afterLines="20" w:line="360" w:lineRule="auto"/>
        <w:ind w:firstLine="540" w:firstLineChars="200"/>
        <w:rPr>
          <w:rFonts w:ascii="宋体" w:hAnsi="宋体" w:cs="宋体"/>
          <w:kern w:val="0"/>
          <w:sz w:val="27"/>
          <w:szCs w:val="27"/>
        </w:rPr>
      </w:pPr>
    </w:p>
    <w:p>
      <w:pPr>
        <w:spacing w:beforeLines="20" w:afterLines="20" w:line="360" w:lineRule="auto"/>
        <w:ind w:firstLine="540" w:firstLineChars="200"/>
        <w:rPr>
          <w:rFonts w:ascii="宋体" w:hAnsi="宋体" w:cs="宋体"/>
          <w:kern w:val="0"/>
          <w:sz w:val="27"/>
          <w:szCs w:val="27"/>
        </w:rPr>
      </w:pPr>
      <w:r>
        <w:rPr>
          <w:rFonts w:ascii="宋体" w:hAnsi="宋体" w:cs="宋体"/>
          <w:kern w:val="0"/>
          <w:sz w:val="27"/>
          <w:szCs w:val="27"/>
        </w:rPr>
        <w:t xml:space="preserve">               </w:t>
      </w:r>
      <w:r>
        <w:rPr>
          <w:rFonts w:hint="eastAsia" w:ascii="宋体" w:hAnsi="宋体" w:cs="宋体"/>
          <w:kern w:val="0"/>
          <w:sz w:val="27"/>
          <w:szCs w:val="27"/>
        </w:rPr>
        <w:t xml:space="preserve">                       单位名称（盖章）：</w:t>
      </w:r>
    </w:p>
    <w:p>
      <w:pPr>
        <w:spacing w:beforeLines="20" w:afterLines="20" w:line="360" w:lineRule="auto"/>
        <w:ind w:firstLine="540" w:firstLineChars="200"/>
        <w:rPr>
          <w:rFonts w:ascii="宋体" w:hAnsi="宋体" w:cs="宋体"/>
          <w:kern w:val="0"/>
          <w:sz w:val="27"/>
          <w:szCs w:val="27"/>
        </w:rPr>
      </w:pPr>
      <w:r>
        <w:rPr>
          <w:rFonts w:ascii="宋体" w:hAnsi="宋体" w:cs="宋体"/>
          <w:kern w:val="0"/>
          <w:sz w:val="27"/>
          <w:szCs w:val="27"/>
        </w:rPr>
        <w:t xml:space="preserve">       </w:t>
      </w:r>
      <w:r>
        <w:rPr>
          <w:rFonts w:hint="eastAsia" w:ascii="宋体" w:hAnsi="宋体" w:cs="宋体"/>
          <w:kern w:val="0"/>
          <w:sz w:val="27"/>
          <w:szCs w:val="27"/>
        </w:rPr>
        <w:t xml:space="preserve">                               日</w:t>
      </w:r>
      <w:r>
        <w:rPr>
          <w:rFonts w:ascii="宋体" w:hAnsi="宋体" w:cs="宋体"/>
          <w:kern w:val="0"/>
          <w:sz w:val="27"/>
          <w:szCs w:val="27"/>
        </w:rPr>
        <w:t xml:space="preserve">  </w:t>
      </w:r>
      <w:r>
        <w:rPr>
          <w:rFonts w:hint="eastAsia" w:ascii="宋体" w:hAnsi="宋体" w:cs="宋体"/>
          <w:kern w:val="0"/>
          <w:sz w:val="27"/>
          <w:szCs w:val="27"/>
        </w:rPr>
        <w:t>期：</w:t>
      </w:r>
    </w:p>
    <w:p>
      <w:pPr>
        <w:spacing w:beforeLines="20" w:afterLines="20" w:line="360" w:lineRule="auto"/>
        <w:ind w:firstLine="6615" w:firstLineChars="2450"/>
        <w:rPr>
          <w:rFonts w:ascii="宋体" w:hAnsi="宋体" w:cs="宋体"/>
          <w:kern w:val="0"/>
          <w:sz w:val="27"/>
          <w:szCs w:val="27"/>
        </w:rPr>
      </w:pPr>
    </w:p>
    <w:p>
      <w:pPr>
        <w:spacing w:beforeLines="20" w:afterLines="20" w:line="360" w:lineRule="auto"/>
        <w:ind w:firstLine="6615" w:firstLineChars="2450"/>
        <w:rPr>
          <w:rFonts w:ascii="宋体" w:hAnsi="宋体" w:cs="宋体"/>
          <w:kern w:val="0"/>
          <w:sz w:val="27"/>
          <w:szCs w:val="27"/>
        </w:rPr>
      </w:pPr>
    </w:p>
    <w:p>
      <w:pPr>
        <w:spacing w:beforeLines="20" w:afterLines="20" w:line="360" w:lineRule="auto"/>
        <w:ind w:firstLine="6615" w:firstLineChars="2450"/>
        <w:rPr>
          <w:rFonts w:ascii="宋体" w:hAnsi="宋体" w:cs="宋体"/>
          <w:kern w:val="0"/>
          <w:sz w:val="27"/>
          <w:szCs w:val="27"/>
        </w:rPr>
      </w:pPr>
    </w:p>
    <w:p>
      <w:pPr>
        <w:spacing w:beforeLines="20" w:afterLines="20" w:line="360" w:lineRule="auto"/>
        <w:ind w:firstLine="6615" w:firstLineChars="2450"/>
        <w:rPr>
          <w:rFonts w:ascii="宋体" w:hAnsi="宋体" w:cs="宋体"/>
          <w:kern w:val="0"/>
          <w:sz w:val="27"/>
          <w:szCs w:val="27"/>
        </w:rPr>
      </w:pPr>
    </w:p>
    <w:p>
      <w:pPr>
        <w:spacing w:beforeLines="20" w:afterLines="20" w:line="360" w:lineRule="auto"/>
        <w:ind w:firstLine="6615" w:firstLineChars="2450"/>
        <w:rPr>
          <w:rFonts w:ascii="宋体" w:hAnsi="宋体" w:cs="宋体"/>
          <w:kern w:val="0"/>
          <w:sz w:val="27"/>
          <w:szCs w:val="27"/>
        </w:rPr>
      </w:pPr>
    </w:p>
    <w:p>
      <w:pPr>
        <w:spacing w:beforeLines="20" w:afterLines="20" w:line="360" w:lineRule="auto"/>
        <w:ind w:firstLine="6615" w:firstLineChars="2450"/>
        <w:rPr>
          <w:rFonts w:ascii="宋体" w:hAnsi="宋体" w:cs="宋体"/>
          <w:kern w:val="0"/>
          <w:sz w:val="27"/>
          <w:szCs w:val="27"/>
        </w:rPr>
      </w:pPr>
    </w:p>
    <w:p>
      <w:pPr>
        <w:pStyle w:val="3"/>
        <w:spacing w:line="240" w:lineRule="atLeast"/>
        <w:jc w:val="center"/>
        <w:rPr>
          <w:rFonts w:ascii="华文中宋" w:hAnsi="华文中宋" w:eastAsia="华文中宋"/>
          <w:sz w:val="36"/>
          <w:szCs w:val="36"/>
        </w:rPr>
      </w:pPr>
      <w:r>
        <w:rPr>
          <w:rFonts w:hint="eastAsia" w:ascii="华文中宋" w:hAnsi="华文中宋" w:eastAsia="华文中宋"/>
          <w:sz w:val="36"/>
          <w:szCs w:val="36"/>
        </w:rPr>
        <w:br w:type="page"/>
      </w:r>
    </w:p>
    <w:p>
      <w:pPr>
        <w:pStyle w:val="3"/>
        <w:spacing w:line="240" w:lineRule="atLeast"/>
        <w:jc w:val="center"/>
        <w:rPr>
          <w:rFonts w:ascii="华文中宋" w:hAnsi="华文中宋" w:eastAsia="华文中宋"/>
          <w:sz w:val="36"/>
          <w:szCs w:val="36"/>
        </w:rPr>
      </w:pPr>
      <w:r>
        <w:rPr>
          <w:rFonts w:hint="eastAsia" w:ascii="华文中宋" w:hAnsi="华文中宋" w:eastAsia="华文中宋"/>
          <w:sz w:val="36"/>
          <w:szCs w:val="36"/>
        </w:rPr>
        <w:t>第四章  投标人和投标产品的资格、资质性及其他类似效力要求</w:t>
      </w:r>
      <w:bookmarkEnd w:id="146"/>
      <w:bookmarkEnd w:id="149"/>
    </w:p>
    <w:p>
      <w:pPr>
        <w:pStyle w:val="4"/>
        <w:spacing w:line="360" w:lineRule="exact"/>
        <w:rPr>
          <w:rFonts w:ascii="宋体" w:eastAsia="宋体"/>
          <w:sz w:val="24"/>
          <w:szCs w:val="24"/>
        </w:rPr>
      </w:pPr>
      <w:r>
        <w:rPr>
          <w:rFonts w:hint="eastAsia"/>
          <w:sz w:val="24"/>
          <w:szCs w:val="24"/>
        </w:rPr>
        <w:t>一、</w:t>
      </w:r>
      <w:r>
        <w:rPr>
          <w:rFonts w:hint="eastAsia" w:ascii="宋体" w:eastAsia="宋体"/>
          <w:sz w:val="24"/>
          <w:szCs w:val="24"/>
        </w:rPr>
        <w:t>投标人资格、资质性及其他类似效力要求</w:t>
      </w:r>
    </w:p>
    <w:p>
      <w:pPr>
        <w:pStyle w:val="58"/>
        <w:spacing w:line="420" w:lineRule="exact"/>
        <w:ind w:firstLine="0" w:firstLineChars="0"/>
        <w:rPr>
          <w:rFonts w:ascii="宋体"/>
          <w:b/>
          <w:bCs/>
          <w:sz w:val="24"/>
        </w:rPr>
      </w:pPr>
      <w:r>
        <w:rPr>
          <w:b/>
          <w:bCs/>
          <w:sz w:val="24"/>
        </w:rPr>
        <w:t>（一）</w:t>
      </w:r>
      <w:r>
        <w:rPr>
          <w:rFonts w:hint="eastAsia"/>
          <w:b/>
          <w:bCs/>
          <w:sz w:val="24"/>
        </w:rPr>
        <w:t>投标人的资格和资质性要求</w:t>
      </w:r>
      <w:r>
        <w:rPr>
          <w:rFonts w:hint="eastAsia" w:ascii="宋体"/>
          <w:b/>
          <w:bCs/>
          <w:sz w:val="24"/>
        </w:rPr>
        <w:t>：</w:t>
      </w:r>
    </w:p>
    <w:p>
      <w:pPr>
        <w:pStyle w:val="58"/>
        <w:spacing w:line="240" w:lineRule="auto"/>
        <w:ind w:firstLine="0" w:firstLineChars="0"/>
        <w:rPr>
          <w:sz w:val="24"/>
        </w:rPr>
      </w:pPr>
      <w:r>
        <w:rPr>
          <w:rFonts w:hint="eastAsia"/>
          <w:sz w:val="24"/>
        </w:rPr>
        <w:t>1、具有独立承担民事责任的能力。</w:t>
      </w:r>
    </w:p>
    <w:p>
      <w:pPr>
        <w:tabs>
          <w:tab w:val="left" w:pos="7665"/>
        </w:tabs>
        <w:spacing w:line="240" w:lineRule="auto"/>
        <w:rPr>
          <w:rFonts w:ascii="宋体"/>
          <w:sz w:val="24"/>
        </w:rPr>
      </w:pPr>
      <w:r>
        <w:rPr>
          <w:rFonts w:hint="eastAsia"/>
          <w:sz w:val="24"/>
        </w:rPr>
        <w:t>2、</w:t>
      </w:r>
      <w:r>
        <w:rPr>
          <w:rFonts w:hint="eastAsia" w:ascii="宋体"/>
          <w:sz w:val="24"/>
        </w:rPr>
        <w:t>具有良好的商业信誉和健全的财务会计制度。</w:t>
      </w:r>
    </w:p>
    <w:p>
      <w:pPr>
        <w:tabs>
          <w:tab w:val="left" w:pos="7665"/>
        </w:tabs>
        <w:spacing w:line="240" w:lineRule="auto"/>
        <w:rPr>
          <w:rFonts w:ascii="宋体"/>
          <w:sz w:val="24"/>
        </w:rPr>
      </w:pPr>
      <w:r>
        <w:rPr>
          <w:rFonts w:hint="eastAsia" w:ascii="宋体"/>
          <w:sz w:val="24"/>
        </w:rPr>
        <w:t>3、具有履行合同所必须的设备和专业技术能力。</w:t>
      </w:r>
    </w:p>
    <w:p>
      <w:pPr>
        <w:tabs>
          <w:tab w:val="left" w:pos="7665"/>
        </w:tabs>
        <w:spacing w:line="240" w:lineRule="auto"/>
        <w:rPr>
          <w:rFonts w:ascii="宋体"/>
          <w:sz w:val="24"/>
        </w:rPr>
      </w:pPr>
      <w:r>
        <w:rPr>
          <w:rFonts w:hint="eastAsia" w:ascii="宋体"/>
          <w:sz w:val="24"/>
        </w:rPr>
        <w:t>4、具有依法缴纳税收和社会保障资金的良好记录。</w:t>
      </w:r>
    </w:p>
    <w:p>
      <w:pPr>
        <w:tabs>
          <w:tab w:val="left" w:pos="7665"/>
        </w:tabs>
        <w:spacing w:line="240" w:lineRule="auto"/>
        <w:rPr>
          <w:rFonts w:ascii="宋体"/>
          <w:sz w:val="24"/>
        </w:rPr>
      </w:pPr>
      <w:r>
        <w:rPr>
          <w:rFonts w:hint="eastAsia" w:ascii="宋体"/>
          <w:sz w:val="24"/>
        </w:rPr>
        <w:t>5、参加本次采购活动前三年内，在经营活动中没有重大违法记录。</w:t>
      </w:r>
    </w:p>
    <w:p>
      <w:pPr>
        <w:pStyle w:val="58"/>
        <w:spacing w:line="240" w:lineRule="auto"/>
        <w:ind w:firstLine="0" w:firstLineChars="0"/>
        <w:rPr>
          <w:sz w:val="24"/>
        </w:rPr>
      </w:pPr>
      <w:r>
        <w:rPr>
          <w:rFonts w:hint="eastAsia"/>
          <w:sz w:val="24"/>
        </w:rPr>
        <w:t>6、</w:t>
      </w:r>
      <w:r>
        <w:rPr>
          <w:rFonts w:hint="eastAsia" w:ascii="宋体" w:hAnsi="宋体" w:cs="宋体"/>
          <w:sz w:val="24"/>
        </w:rPr>
        <w:t>供应商还符合法律、行政法规规定的其他强制性条件</w:t>
      </w:r>
      <w:r>
        <w:rPr>
          <w:rFonts w:hint="eastAsia"/>
          <w:sz w:val="24"/>
        </w:rPr>
        <w:t>。</w:t>
      </w:r>
    </w:p>
    <w:p>
      <w:pPr>
        <w:pStyle w:val="58"/>
        <w:spacing w:line="240" w:lineRule="auto"/>
        <w:ind w:firstLine="0" w:firstLineChars="0"/>
        <w:rPr>
          <w:sz w:val="24"/>
        </w:rPr>
      </w:pPr>
      <w:r>
        <w:rPr>
          <w:sz w:val="24"/>
        </w:rPr>
        <w:t>7</w:t>
      </w:r>
      <w:r>
        <w:rPr>
          <w:rFonts w:hint="eastAsia"/>
          <w:sz w:val="24"/>
        </w:rPr>
        <w:t>、本项目不接受联合体投标。</w:t>
      </w:r>
    </w:p>
    <w:p>
      <w:pPr>
        <w:pStyle w:val="58"/>
        <w:spacing w:line="420" w:lineRule="exact"/>
        <w:ind w:firstLine="0" w:firstLineChars="0"/>
        <w:rPr>
          <w:b/>
          <w:bCs/>
          <w:sz w:val="24"/>
        </w:rPr>
      </w:pPr>
      <w:r>
        <w:rPr>
          <w:rFonts w:hint="eastAsia"/>
          <w:b/>
          <w:bCs/>
          <w:sz w:val="24"/>
        </w:rPr>
        <w:t>（二）其他类似效力要求：</w:t>
      </w:r>
    </w:p>
    <w:p>
      <w:pPr>
        <w:pStyle w:val="58"/>
        <w:spacing w:line="240" w:lineRule="auto"/>
        <w:ind w:firstLine="0" w:firstLineChars="0"/>
        <w:rPr>
          <w:sz w:val="24"/>
        </w:rPr>
      </w:pPr>
      <w:r>
        <w:rPr>
          <w:rFonts w:hint="eastAsia"/>
          <w:sz w:val="24"/>
        </w:rPr>
        <w:t>1、缴纳本次招标要求的投标保证金。</w:t>
      </w:r>
    </w:p>
    <w:p>
      <w:pPr>
        <w:pStyle w:val="58"/>
        <w:spacing w:line="240" w:lineRule="auto"/>
        <w:ind w:firstLine="0" w:firstLineChars="0"/>
        <w:rPr>
          <w:b/>
          <w:sz w:val="24"/>
        </w:rPr>
      </w:pPr>
      <w:r>
        <w:rPr>
          <w:rFonts w:hint="eastAsia"/>
          <w:sz w:val="24"/>
        </w:rPr>
        <w:t>2、授权参加本次投标活动的供应商代表证明材料。</w:t>
      </w:r>
    </w:p>
    <w:p>
      <w:pPr>
        <w:pStyle w:val="4"/>
        <w:spacing w:line="360" w:lineRule="exact"/>
        <w:rPr>
          <w:rFonts w:ascii="宋体" w:hAnsi="宋体" w:eastAsia="宋体"/>
          <w:sz w:val="24"/>
          <w:szCs w:val="24"/>
        </w:rPr>
      </w:pPr>
      <w:r>
        <w:rPr>
          <w:rFonts w:hint="eastAsia"/>
          <w:b w:val="0"/>
          <w:bCs w:val="0"/>
          <w:sz w:val="24"/>
          <w:szCs w:val="24"/>
        </w:rPr>
        <w:t>二、</w:t>
      </w:r>
      <w:r>
        <w:rPr>
          <w:rFonts w:hint="eastAsia" w:ascii="宋体" w:hAnsi="宋体" w:eastAsia="宋体"/>
          <w:sz w:val="24"/>
          <w:szCs w:val="24"/>
        </w:rPr>
        <w:t>投标产品的资格、资质性及其他具有类似效力的要求</w:t>
      </w:r>
    </w:p>
    <w:p>
      <w:pPr>
        <w:rPr>
          <w:rFonts w:hAnsi="宋体"/>
          <w:b/>
          <w:bCs/>
          <w:sz w:val="24"/>
        </w:rPr>
      </w:pPr>
      <w:r>
        <w:rPr>
          <w:rFonts w:hint="eastAsia" w:hAnsi="宋体"/>
          <w:b/>
          <w:bCs/>
          <w:sz w:val="24"/>
        </w:rPr>
        <w:t>（一）投标产品的资格和资质性要求：无</w:t>
      </w:r>
    </w:p>
    <w:p>
      <w:pPr>
        <w:rPr>
          <w:rFonts w:hAnsi="宋体"/>
          <w:b/>
          <w:bCs/>
          <w:sz w:val="24"/>
        </w:rPr>
      </w:pPr>
      <w:r>
        <w:rPr>
          <w:rFonts w:hint="eastAsia" w:hAnsi="宋体"/>
          <w:b/>
          <w:bCs/>
          <w:sz w:val="24"/>
        </w:rPr>
        <w:t>（二）其他类似效力要求：</w:t>
      </w:r>
    </w:p>
    <w:p>
      <w:pPr>
        <w:rPr>
          <w:b/>
          <w:bCs/>
          <w:sz w:val="24"/>
        </w:rPr>
      </w:pPr>
      <w:r>
        <w:rPr>
          <w:rFonts w:hint="eastAsia" w:ascii="宋体" w:hAnsi="宋体" w:cs="宋体"/>
          <w:sz w:val="24"/>
        </w:rPr>
        <w:t>1、投标产品还符合法律、行政法规规定的其他强制性条件。</w:t>
      </w:r>
    </w:p>
    <w:p>
      <w:pPr>
        <w:pStyle w:val="58"/>
        <w:spacing w:line="240" w:lineRule="auto"/>
        <w:ind w:firstLine="0" w:firstLineChars="0"/>
        <w:rPr>
          <w:sz w:val="44"/>
          <w:szCs w:val="44"/>
        </w:rPr>
      </w:pPr>
      <w:bookmarkStart w:id="163" w:name="_Toc1588"/>
      <w:r>
        <w:rPr>
          <w:rFonts w:hint="eastAsia"/>
          <w:sz w:val="36"/>
          <w:szCs w:val="36"/>
        </w:rPr>
        <w:br w:type="page"/>
      </w:r>
      <w:bookmarkEnd w:id="147"/>
      <w:bookmarkEnd w:id="163"/>
      <w:bookmarkStart w:id="164" w:name="PO_默认文件内容_21"/>
      <w:bookmarkStart w:id="165" w:name="_Toc24786"/>
    </w:p>
    <w:p>
      <w:pPr>
        <w:pStyle w:val="4"/>
        <w:numPr>
          <w:ilvl w:val="0"/>
          <w:numId w:val="4"/>
        </w:numPr>
        <w:tabs>
          <w:tab w:val="center" w:pos="4677"/>
        </w:tabs>
        <w:spacing w:line="360" w:lineRule="exact"/>
        <w:jc w:val="center"/>
        <w:rPr>
          <w:rFonts w:ascii="宋体" w:eastAsia="宋体"/>
          <w:sz w:val="36"/>
        </w:rPr>
      </w:pPr>
      <w:bookmarkStart w:id="166" w:name="_Toc501031146"/>
      <w:r>
        <w:rPr>
          <w:rFonts w:hint="eastAsia" w:ascii="宋体" w:eastAsia="宋体"/>
          <w:sz w:val="36"/>
        </w:rPr>
        <w:t>招标项目及要求</w:t>
      </w:r>
      <w:bookmarkEnd w:id="166"/>
    </w:p>
    <w:p>
      <w:pPr>
        <w:pStyle w:val="92"/>
        <w:numPr>
          <w:ilvl w:val="0"/>
          <w:numId w:val="5"/>
        </w:numPr>
        <w:shd w:val="clear" w:color="auto" w:fill="FFFFFF"/>
        <w:spacing w:before="100" w:beforeAutospacing="1" w:after="100" w:afterAutospacing="1" w:line="560" w:lineRule="atLeast"/>
        <w:ind w:firstLineChars="0"/>
        <w:rPr>
          <w:rFonts w:hint="eastAsia"/>
          <w:b/>
          <w:bCs/>
        </w:rPr>
      </w:pPr>
      <w:r>
        <w:rPr>
          <w:rFonts w:hint="eastAsia"/>
          <w:b/>
          <w:bCs/>
        </w:rPr>
        <w:t>项目概述</w:t>
      </w:r>
    </w:p>
    <w:p>
      <w:pPr>
        <w:pStyle w:val="92"/>
        <w:ind w:left="510" w:firstLine="0" w:firstLineChars="0"/>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val="en-US" w:eastAsia="zh-CN" w:bidi="ar-SA"/>
        </w:rPr>
        <w:t xml:space="preserve">2016年以来，成都公司通过揽收非核心环节业务外包，在解决人力配置不足，降低人工成本的同时，不断提升客户用邮体验，较好满足快递包裹业务规模不断扩大的需求。拟继续对揽收非核心环节实现业务外包. </w:t>
      </w:r>
    </w:p>
    <w:p>
      <w:pPr>
        <w:widowControl/>
        <w:shd w:val="clear" w:color="auto" w:fill="FFFFFF"/>
        <w:spacing w:before="100" w:beforeAutospacing="1" w:after="100" w:afterAutospacing="1" w:line="560" w:lineRule="atLeast"/>
        <w:jc w:val="left"/>
        <w:rPr>
          <w:rFonts w:ascii="宋体" w:hAnsi="宋体" w:cs="宋体"/>
          <w:b/>
          <w:bCs/>
          <w:kern w:val="0"/>
          <w:sz w:val="24"/>
        </w:rPr>
      </w:pPr>
      <w:r>
        <w:rPr>
          <w:rFonts w:hint="eastAsia" w:ascii="宋体"/>
          <w:b/>
          <w:bCs/>
          <w:sz w:val="24"/>
        </w:rPr>
        <w:t>二、外包环节、期限及费用</w:t>
      </w:r>
    </w:p>
    <w:p>
      <w:pPr>
        <w:rPr>
          <w:rFonts w:ascii="仿宋" w:hAnsi="仿宋" w:eastAsia="仿宋"/>
          <w:bCs/>
          <w:sz w:val="30"/>
          <w:szCs w:val="30"/>
        </w:rPr>
      </w:pPr>
      <w:r>
        <w:rPr>
          <w:rFonts w:hint="eastAsia" w:ascii="仿宋" w:hAnsi="仿宋" w:eastAsia="仿宋"/>
          <w:bCs/>
          <w:sz w:val="30"/>
          <w:szCs w:val="30"/>
        </w:rPr>
        <w:t>（一）外包期限</w:t>
      </w:r>
    </w:p>
    <w:p>
      <w:pPr>
        <w:widowControl/>
        <w:shd w:val="solid" w:color="FFFFFF" w:fill="auto"/>
        <w:autoSpaceDN w:val="0"/>
        <w:spacing w:line="560" w:lineRule="exact"/>
        <w:ind w:firstLine="480" w:firstLineChars="200"/>
        <w:jc w:val="left"/>
        <w:rPr>
          <w:bCs/>
          <w:color w:val="0000FF"/>
          <w:sz w:val="24"/>
          <w:szCs w:val="18"/>
        </w:rPr>
      </w:pPr>
      <w:r>
        <w:rPr>
          <w:rFonts w:hint="eastAsia" w:ascii="宋体" w:hAnsi="宋体" w:cs="宋体"/>
          <w:color w:val="000000" w:themeColor="text1"/>
          <w:sz w:val="24"/>
        </w:rPr>
        <w:t xml:space="preserve"> 揽收非核心环节外包期限为一年，即2019年-2020年，具体日期以签订合同时间为准</w:t>
      </w:r>
      <w:r>
        <w:rPr>
          <w:rFonts w:hint="eastAsia" w:ascii="仿宋" w:hAnsi="仿宋" w:eastAsia="仿宋" w:cs="仿宋"/>
          <w:bCs/>
          <w:sz w:val="30"/>
          <w:szCs w:val="30"/>
        </w:rPr>
        <w:t>。</w:t>
      </w:r>
    </w:p>
    <w:p>
      <w:pPr>
        <w:rPr>
          <w:rFonts w:ascii="仿宋" w:hAnsi="仿宋" w:eastAsia="仿宋"/>
          <w:bCs/>
          <w:sz w:val="30"/>
          <w:szCs w:val="30"/>
        </w:rPr>
      </w:pPr>
      <w:r>
        <w:rPr>
          <w:rFonts w:hint="eastAsia"/>
          <w:bCs/>
          <w:color w:val="0000FF"/>
          <w:sz w:val="24"/>
          <w:szCs w:val="18"/>
        </w:rPr>
        <w:t xml:space="preserve">  </w:t>
      </w:r>
      <w:r>
        <w:rPr>
          <w:rFonts w:hint="eastAsia" w:ascii="仿宋" w:hAnsi="仿宋" w:eastAsia="仿宋"/>
          <w:bCs/>
          <w:sz w:val="30"/>
          <w:szCs w:val="30"/>
        </w:rPr>
        <w:t>（二）外包费用</w:t>
      </w:r>
    </w:p>
    <w:p>
      <w:pPr>
        <w:adjustRightInd w:val="0"/>
        <w:snapToGrid w:val="0"/>
        <w:spacing w:line="520" w:lineRule="atLeast"/>
        <w:ind w:firstLine="480" w:firstLineChars="200"/>
        <w:rPr>
          <w:rFonts w:hint="eastAsia" w:ascii="宋体" w:hAnsi="宋体" w:cs="宋体"/>
          <w:color w:val="000000" w:themeColor="text1"/>
          <w:sz w:val="24"/>
        </w:rPr>
      </w:pPr>
      <w:r>
        <w:rPr>
          <w:rFonts w:hint="eastAsia" w:ascii="宋体" w:hAnsi="宋体" w:cs="宋体"/>
          <w:color w:val="000000" w:themeColor="text1"/>
          <w:sz w:val="24"/>
        </w:rPr>
        <w:t>根据前期揽收外包运营经验结合外包人工成本分析，2019年将进一步细化揽收外包结算费用，将按揽收邮件的数量和重量分别核算，目前揽收单价为0.</w:t>
      </w:r>
      <w:r>
        <w:rPr>
          <w:rFonts w:hint="eastAsia" w:ascii="宋体" w:hAnsi="宋体" w:cs="宋体"/>
          <w:color w:val="000000" w:themeColor="text1"/>
          <w:sz w:val="24"/>
          <w:lang w:val="en-US" w:eastAsia="zh-CN"/>
        </w:rPr>
        <w:t>1</w:t>
      </w:r>
      <w:r>
        <w:rPr>
          <w:rFonts w:hint="eastAsia" w:ascii="宋体" w:hAnsi="宋体" w:cs="宋体"/>
          <w:color w:val="000000" w:themeColor="text1"/>
          <w:sz w:val="24"/>
        </w:rPr>
        <w:t>3元</w:t>
      </w:r>
      <w:r>
        <w:rPr>
          <w:rFonts w:hint="eastAsia" w:ascii="宋体" w:hAnsi="宋体" w:cs="宋体"/>
          <w:color w:val="000000" w:themeColor="text1"/>
          <w:sz w:val="24"/>
          <w:lang w:val="en-US" w:eastAsia="zh-CN"/>
        </w:rPr>
        <w:t>/件</w:t>
      </w:r>
      <w:r>
        <w:rPr>
          <w:rFonts w:hint="eastAsia" w:ascii="宋体" w:hAnsi="宋体" w:cs="宋体"/>
          <w:color w:val="000000" w:themeColor="text1"/>
          <w:sz w:val="24"/>
          <w:lang w:eastAsia="zh-CN"/>
        </w:rPr>
        <w:t>，</w:t>
      </w:r>
      <w:r>
        <w:rPr>
          <w:rFonts w:hint="eastAsia" w:ascii="宋体" w:hAnsi="宋体" w:cs="宋体"/>
          <w:color w:val="000000" w:themeColor="text1"/>
          <w:sz w:val="24"/>
          <w:lang w:val="en-US" w:eastAsia="zh-CN"/>
        </w:rPr>
        <w:t>重量计价为170元/吨，</w:t>
      </w:r>
      <w:r>
        <w:rPr>
          <w:rFonts w:hint="eastAsia" w:ascii="宋体" w:hAnsi="宋体" w:cs="宋体"/>
          <w:color w:val="000000" w:themeColor="text1"/>
          <w:sz w:val="24"/>
        </w:rPr>
        <w:t>最终结算费用以实际发生为准。</w:t>
      </w:r>
    </w:p>
    <w:p>
      <w:pPr>
        <w:widowControl/>
        <w:shd w:val="solid" w:color="FFFFFF" w:fill="auto"/>
        <w:autoSpaceDN w:val="0"/>
        <w:spacing w:line="560" w:lineRule="exact"/>
        <w:jc w:val="left"/>
        <w:rPr>
          <w:b/>
          <w:sz w:val="24"/>
          <w:szCs w:val="18"/>
        </w:rPr>
      </w:pPr>
      <w:r>
        <w:rPr>
          <w:rFonts w:hint="eastAsia"/>
          <w:b/>
          <w:sz w:val="24"/>
          <w:szCs w:val="18"/>
        </w:rPr>
        <w:t>三、其它要求：</w:t>
      </w:r>
    </w:p>
    <w:p>
      <w:pPr>
        <w:adjustRightInd w:val="0"/>
        <w:snapToGrid w:val="0"/>
        <w:spacing w:line="520" w:lineRule="atLeast"/>
        <w:ind w:firstLine="480" w:firstLineChars="200"/>
        <w:rPr>
          <w:rFonts w:ascii="宋体" w:hAnsi="宋体" w:cs="宋体"/>
          <w:color w:val="000000" w:themeColor="text1"/>
          <w:sz w:val="24"/>
        </w:rPr>
      </w:pPr>
      <w:r>
        <w:rPr>
          <w:rFonts w:hint="eastAsia" w:ascii="宋体" w:hAnsi="宋体" w:cs="宋体"/>
          <w:color w:val="000000" w:themeColor="text1"/>
          <w:sz w:val="24"/>
        </w:rPr>
        <w:t>1、供应商须服从采购人统一管理。</w:t>
      </w:r>
    </w:p>
    <w:p>
      <w:pPr>
        <w:adjustRightInd w:val="0"/>
        <w:snapToGrid w:val="0"/>
        <w:spacing w:line="520" w:lineRule="atLeast"/>
        <w:ind w:firstLine="480" w:firstLineChars="200"/>
        <w:rPr>
          <w:rFonts w:ascii="宋体" w:hAnsi="宋体" w:cs="宋体"/>
          <w:color w:val="000000" w:themeColor="text1"/>
          <w:kern w:val="0"/>
          <w:sz w:val="24"/>
        </w:rPr>
      </w:pPr>
      <w:r>
        <w:rPr>
          <w:rFonts w:hint="eastAsia" w:ascii="宋体" w:hAnsi="宋体" w:cs="宋体"/>
          <w:color w:val="000000" w:themeColor="text1"/>
          <w:sz w:val="24"/>
        </w:rPr>
        <w:t>2、收费标准：按单次产生的费用累计量结算。</w:t>
      </w:r>
    </w:p>
    <w:p>
      <w:pPr>
        <w:spacing w:line="400" w:lineRule="exact"/>
        <w:ind w:firstLine="480" w:firstLineChars="200"/>
        <w:rPr>
          <w:rFonts w:ascii="宋体" w:hAnsi="宋体" w:cs="宋体"/>
          <w:color w:val="000000" w:themeColor="text1"/>
          <w:kern w:val="0"/>
          <w:sz w:val="24"/>
        </w:rPr>
      </w:pPr>
      <w:r>
        <w:rPr>
          <w:rFonts w:hint="eastAsia" w:ascii="宋体" w:hAnsi="宋体" w:cs="宋体"/>
          <w:color w:val="000000" w:themeColor="text1"/>
          <w:kern w:val="0"/>
          <w:sz w:val="24"/>
        </w:rPr>
        <w:t>3、本项目参与投标人数量不限，中标入围供应商选2家入库，不足</w:t>
      </w:r>
      <w:r>
        <w:rPr>
          <w:rFonts w:hint="eastAsia" w:ascii="宋体" w:hAnsi="宋体" w:cs="宋体"/>
          <w:color w:val="000000" w:themeColor="text1"/>
          <w:kern w:val="0"/>
          <w:sz w:val="24"/>
          <w:lang w:val="en-US" w:eastAsia="zh-CN"/>
        </w:rPr>
        <w:t>2</w:t>
      </w:r>
      <w:r>
        <w:rPr>
          <w:rFonts w:hint="eastAsia" w:ascii="宋体" w:hAnsi="宋体" w:cs="宋体"/>
          <w:color w:val="000000" w:themeColor="text1"/>
          <w:kern w:val="0"/>
          <w:sz w:val="24"/>
        </w:rPr>
        <w:t>家按实有家数确定，中标供应商库不低于1家。</w:t>
      </w:r>
    </w:p>
    <w:p>
      <w:pPr>
        <w:spacing w:line="400" w:lineRule="exact"/>
        <w:ind w:firstLine="480" w:firstLineChars="200"/>
        <w:rPr>
          <w:rFonts w:ascii="宋体" w:hAnsi="宋体" w:cs="宋体"/>
          <w:color w:val="000000" w:themeColor="text1"/>
          <w:sz w:val="24"/>
        </w:rPr>
      </w:pPr>
      <w:r>
        <w:rPr>
          <w:rFonts w:hint="eastAsia" w:ascii="宋体" w:hAnsi="宋体" w:cs="宋体"/>
          <w:color w:val="000000" w:themeColor="text1"/>
          <w:sz w:val="24"/>
        </w:rPr>
        <w:t>4、该项目服务期限1年。</w:t>
      </w:r>
    </w:p>
    <w:p>
      <w:pPr>
        <w:spacing w:beforeLines="20" w:afterLines="20" w:line="576" w:lineRule="exact"/>
        <w:ind w:firstLine="640" w:firstLineChars="200"/>
        <w:rPr>
          <w:rFonts w:eastAsia="仿宋_GB2312"/>
          <w:sz w:val="32"/>
          <w:szCs w:val="32"/>
        </w:rPr>
      </w:pPr>
    </w:p>
    <w:p>
      <w:pPr>
        <w:spacing w:beforeLines="20" w:afterLines="20" w:line="576" w:lineRule="exact"/>
        <w:rPr>
          <w:rFonts w:ascii="宋体" w:hAnsi="宋体" w:cs="宋体"/>
          <w:b/>
          <w:bCs/>
          <w:kern w:val="0"/>
          <w:sz w:val="24"/>
        </w:rPr>
      </w:pPr>
      <w:r>
        <w:rPr>
          <w:rFonts w:hint="eastAsia" w:ascii="宋体" w:hAnsi="宋体" w:cs="宋体"/>
          <w:b/>
          <w:bCs/>
          <w:kern w:val="0"/>
          <w:sz w:val="24"/>
        </w:rPr>
        <w:br w:type="textWrapping"/>
      </w:r>
      <w:r>
        <w:rPr>
          <w:rFonts w:hint="eastAsia" w:ascii="宋体" w:hAnsi="宋体" w:cs="宋体"/>
          <w:b/>
          <w:bCs/>
          <w:kern w:val="0"/>
          <w:sz w:val="24"/>
        </w:rPr>
        <w:br w:type="textWrapping"/>
      </w:r>
      <w:r>
        <w:rPr>
          <w:rFonts w:hint="eastAsia" w:ascii="宋体" w:hAnsi="宋体" w:cs="宋体"/>
          <w:b/>
          <w:bCs/>
          <w:kern w:val="0"/>
          <w:sz w:val="24"/>
        </w:rPr>
        <w:br w:type="page"/>
      </w:r>
    </w:p>
    <w:bookmarkEnd w:id="164"/>
    <w:p>
      <w:pPr>
        <w:pStyle w:val="3"/>
        <w:spacing w:line="240" w:lineRule="atLeast"/>
        <w:ind w:firstLine="2530" w:firstLineChars="700"/>
        <w:rPr>
          <w:rFonts w:ascii="华文中宋" w:hAnsi="华文中宋" w:eastAsia="华文中宋"/>
          <w:sz w:val="36"/>
          <w:szCs w:val="36"/>
        </w:rPr>
      </w:pPr>
      <w:bookmarkStart w:id="167" w:name="_Toc513065352"/>
      <w:bookmarkStart w:id="168" w:name="PO_默认文件内容_35"/>
      <w:r>
        <w:rPr>
          <w:rFonts w:hint="eastAsia" w:ascii="华文中宋" w:hAnsi="华文中宋" w:eastAsia="华文中宋"/>
          <w:sz w:val="36"/>
          <w:szCs w:val="36"/>
        </w:rPr>
        <w:t>第六章  评标办法</w:t>
      </w:r>
      <w:bookmarkEnd w:id="165"/>
      <w:bookmarkEnd w:id="167"/>
      <w:bookmarkStart w:id="169" w:name="_Hlt101846155"/>
      <w:bookmarkEnd w:id="169"/>
      <w:bookmarkStart w:id="170" w:name="_Toc217446097"/>
      <w:bookmarkStart w:id="171" w:name="_Toc208849007"/>
      <w:bookmarkStart w:id="172" w:name="_Toc183682415"/>
      <w:bookmarkStart w:id="173" w:name="_Toc183582280"/>
    </w:p>
    <w:p>
      <w:pPr>
        <w:pStyle w:val="4"/>
        <w:rPr>
          <w:sz w:val="24"/>
          <w:szCs w:val="24"/>
        </w:rPr>
      </w:pPr>
      <w:r>
        <w:rPr>
          <w:rFonts w:hint="eastAsia"/>
          <w:sz w:val="24"/>
          <w:szCs w:val="24"/>
        </w:rPr>
        <w:t>1. 总则</w:t>
      </w:r>
      <w:bookmarkEnd w:id="170"/>
      <w:bookmarkEnd w:id="171"/>
      <w:bookmarkEnd w:id="172"/>
      <w:bookmarkEnd w:id="173"/>
    </w:p>
    <w:p>
      <w:pPr>
        <w:spacing w:line="400" w:lineRule="exact"/>
        <w:ind w:firstLine="480" w:firstLineChars="200"/>
        <w:rPr>
          <w:rFonts w:ascii="宋体"/>
          <w:sz w:val="24"/>
        </w:rPr>
      </w:pPr>
      <w:r>
        <w:rPr>
          <w:rFonts w:hint="eastAsia" w:ascii="宋体"/>
          <w:sz w:val="24"/>
        </w:rPr>
        <w:t>1.1 根据《中华人民共和国政府采购法》、《中华人民共和国政府采购法实施条例》、《政府采购货物和服务招标投标管理办法》等法律制度，结合采购项目特点制定本评标办法。</w:t>
      </w:r>
    </w:p>
    <w:p>
      <w:pPr>
        <w:spacing w:line="400" w:lineRule="exact"/>
        <w:ind w:firstLine="480" w:firstLineChars="200"/>
        <w:rPr>
          <w:rFonts w:ascii="宋体"/>
          <w:sz w:val="24"/>
        </w:rPr>
      </w:pPr>
      <w:r>
        <w:rPr>
          <w:rFonts w:hint="eastAsia" w:ascii="宋体"/>
          <w:sz w:val="24"/>
        </w:rPr>
        <w:t>1.2 公开招标采购项目开标结束后，采购人或者采购代理机构应当依法对投标人的资格进行审查。依据法律法规和本招标文件的规定，对投标文件是否按照规定要求提供资格性证明材料、是否按照规定交纳投标保证金，以确定投标供应商是否具备投标资格。</w:t>
      </w:r>
    </w:p>
    <w:p>
      <w:pPr>
        <w:spacing w:line="400" w:lineRule="exact"/>
        <w:ind w:firstLine="480" w:firstLineChars="200"/>
        <w:rPr>
          <w:rFonts w:ascii="宋体"/>
          <w:sz w:val="24"/>
        </w:rPr>
      </w:pPr>
      <w:r>
        <w:rPr>
          <w:rFonts w:hint="eastAsia" w:ascii="宋体"/>
          <w:sz w:val="24"/>
        </w:rPr>
        <w:t>合格投标人不足三家的，不得评标。</w:t>
      </w:r>
    </w:p>
    <w:p>
      <w:pPr>
        <w:spacing w:line="400" w:lineRule="exact"/>
        <w:ind w:firstLine="480" w:firstLineChars="200"/>
        <w:rPr>
          <w:rFonts w:ascii="宋体"/>
          <w:sz w:val="24"/>
        </w:rPr>
      </w:pPr>
      <w:r>
        <w:rPr>
          <w:rFonts w:hint="eastAsia" w:ascii="宋体"/>
          <w:sz w:val="24"/>
        </w:rPr>
        <w:t>评标工作由采购代理机构负责组织，具体评标事务由采购代理机构依法组建的评标委员会负责。评标委员会由采购人代表和有关技术、经济、法律等方面的专家组成。</w:t>
      </w:r>
    </w:p>
    <w:p>
      <w:pPr>
        <w:spacing w:line="400" w:lineRule="exact"/>
        <w:ind w:firstLine="480" w:firstLineChars="200"/>
        <w:rPr>
          <w:rFonts w:ascii="宋体"/>
          <w:sz w:val="24"/>
        </w:rPr>
      </w:pPr>
      <w:r>
        <w:rPr>
          <w:rFonts w:hint="eastAsia" w:ascii="宋体"/>
          <w:sz w:val="24"/>
        </w:rPr>
        <w:t>1.3 评标工作应遵循公平、公正、科学及择优的原则，并以相同的评标程序和标准对待所有的投标人。</w:t>
      </w:r>
    </w:p>
    <w:p>
      <w:pPr>
        <w:spacing w:line="400" w:lineRule="exact"/>
        <w:ind w:firstLine="480" w:firstLineChars="200"/>
        <w:rPr>
          <w:rFonts w:ascii="宋体"/>
          <w:sz w:val="24"/>
        </w:rPr>
      </w:pPr>
      <w:r>
        <w:rPr>
          <w:rFonts w:hint="eastAsia" w:ascii="宋体"/>
          <w:sz w:val="24"/>
        </w:rPr>
        <w:t>1.4 评标委员会按照招标文件规定的评标方法和标准进行评标，并独立履行下列职责：</w:t>
      </w:r>
    </w:p>
    <w:p>
      <w:pPr>
        <w:spacing w:line="400" w:lineRule="exact"/>
        <w:ind w:firstLine="480" w:firstLineChars="200"/>
        <w:rPr>
          <w:rFonts w:ascii="宋体"/>
          <w:sz w:val="24"/>
        </w:rPr>
      </w:pPr>
      <w:bookmarkStart w:id="174" w:name="_Toc217446098"/>
      <w:r>
        <w:rPr>
          <w:rFonts w:hint="eastAsia" w:ascii="宋体"/>
          <w:sz w:val="24"/>
        </w:rPr>
        <w:t>（一）熟悉和理解招标文件；</w:t>
      </w:r>
    </w:p>
    <w:p>
      <w:pPr>
        <w:spacing w:line="400" w:lineRule="exact"/>
        <w:ind w:firstLine="480" w:firstLineChars="200"/>
        <w:rPr>
          <w:rFonts w:ascii="宋体"/>
          <w:sz w:val="24"/>
        </w:rPr>
      </w:pPr>
      <w:r>
        <w:rPr>
          <w:rFonts w:hint="eastAsia" w:ascii="宋体"/>
          <w:sz w:val="24"/>
        </w:rPr>
        <w:t>（二）审查供应商（已通过资格审查）的投标文件是否满足招标文件要求，并作出评价；</w:t>
      </w:r>
    </w:p>
    <w:p>
      <w:pPr>
        <w:spacing w:line="400" w:lineRule="exact"/>
        <w:ind w:firstLine="480" w:firstLineChars="200"/>
        <w:rPr>
          <w:rFonts w:ascii="宋体"/>
          <w:sz w:val="24"/>
        </w:rPr>
      </w:pPr>
      <w:r>
        <w:rPr>
          <w:rFonts w:hint="eastAsia" w:ascii="宋体"/>
          <w:sz w:val="24"/>
        </w:rPr>
        <w:t>（三）根据需要要求招标采购单位对招标文件作出解释；根据需要要求供应商对投标文件有关事项作出澄清、说明或者更正；</w:t>
      </w:r>
    </w:p>
    <w:p>
      <w:pPr>
        <w:spacing w:line="400" w:lineRule="exact"/>
        <w:ind w:firstLine="480" w:firstLineChars="200"/>
        <w:rPr>
          <w:rFonts w:ascii="宋体"/>
          <w:sz w:val="24"/>
        </w:rPr>
      </w:pPr>
      <w:r>
        <w:rPr>
          <w:rFonts w:hint="eastAsia" w:ascii="宋体"/>
          <w:sz w:val="24"/>
        </w:rPr>
        <w:t>（四）推荐中标候选供应商，或者受采购人委托确定中标供应商；</w:t>
      </w:r>
    </w:p>
    <w:p>
      <w:pPr>
        <w:spacing w:line="400" w:lineRule="exact"/>
        <w:ind w:firstLine="480" w:firstLineChars="200"/>
        <w:rPr>
          <w:rFonts w:ascii="宋体"/>
          <w:sz w:val="24"/>
        </w:rPr>
      </w:pPr>
      <w:r>
        <w:rPr>
          <w:rFonts w:hint="eastAsia" w:ascii="宋体"/>
          <w:sz w:val="24"/>
        </w:rPr>
        <w:t>（五）起草评标报告并进行签署；</w:t>
      </w:r>
    </w:p>
    <w:p>
      <w:pPr>
        <w:spacing w:line="400" w:lineRule="exact"/>
        <w:ind w:firstLine="480" w:firstLineChars="200"/>
        <w:rPr>
          <w:rFonts w:ascii="宋体"/>
          <w:sz w:val="24"/>
        </w:rPr>
      </w:pPr>
      <w:r>
        <w:rPr>
          <w:rFonts w:hint="eastAsia" w:ascii="宋体"/>
          <w:sz w:val="24"/>
        </w:rPr>
        <w:t>（六）向招标采购单位、财政部门或者其他监督部门报告非法干预评标工作的行为；</w:t>
      </w:r>
    </w:p>
    <w:p>
      <w:pPr>
        <w:spacing w:line="400" w:lineRule="exact"/>
        <w:ind w:firstLine="480" w:firstLineChars="200"/>
        <w:rPr>
          <w:rFonts w:ascii="宋体"/>
          <w:sz w:val="24"/>
        </w:rPr>
      </w:pPr>
      <w:r>
        <w:rPr>
          <w:rFonts w:hint="eastAsia" w:ascii="宋体"/>
          <w:sz w:val="24"/>
        </w:rPr>
        <w:t>（七）法律、法规和规章规定的其他职责。</w:t>
      </w:r>
    </w:p>
    <w:p>
      <w:pPr>
        <w:spacing w:line="400" w:lineRule="exact"/>
        <w:ind w:firstLine="480" w:firstLineChars="200"/>
        <w:rPr>
          <w:rFonts w:ascii="宋体"/>
          <w:sz w:val="24"/>
        </w:rPr>
      </w:pPr>
      <w:r>
        <w:rPr>
          <w:rFonts w:hint="eastAsia" w:ascii="宋体"/>
          <w:sz w:val="24"/>
        </w:rPr>
        <w:t>1.5 评标过程独立、保密。投标人非法干预评标过程的行为将导致其投标文件作为无效处理。</w:t>
      </w:r>
    </w:p>
    <w:p>
      <w:pPr>
        <w:spacing w:line="400" w:lineRule="exact"/>
        <w:ind w:firstLine="480" w:firstLineChars="200"/>
        <w:rPr>
          <w:rFonts w:ascii="宋体"/>
          <w:sz w:val="24"/>
        </w:rPr>
      </w:pPr>
      <w:r>
        <w:rPr>
          <w:rFonts w:hint="eastAsia" w:ascii="宋体"/>
          <w:sz w:val="24"/>
        </w:rPr>
        <w:t>1.6 评标委员会评价投标文件的响应性，对于投标人而言，除评标委员会要求其澄清、说明或者更正而提供的资料外，仅依据投标文件本身的内容，不寻求其他外部证据。</w:t>
      </w:r>
    </w:p>
    <w:p>
      <w:pPr>
        <w:pStyle w:val="4"/>
        <w:rPr>
          <w:sz w:val="24"/>
          <w:szCs w:val="24"/>
        </w:rPr>
      </w:pPr>
      <w:r>
        <w:rPr>
          <w:rFonts w:hint="eastAsia"/>
          <w:sz w:val="24"/>
          <w:szCs w:val="24"/>
        </w:rPr>
        <w:t>2、 评标</w:t>
      </w:r>
      <w:bookmarkEnd w:id="174"/>
      <w:r>
        <w:rPr>
          <w:rFonts w:hint="eastAsia"/>
          <w:sz w:val="24"/>
          <w:szCs w:val="24"/>
        </w:rPr>
        <w:t>方法</w:t>
      </w:r>
    </w:p>
    <w:p>
      <w:pPr>
        <w:spacing w:line="360" w:lineRule="auto"/>
        <w:ind w:firstLine="480" w:firstLineChars="200"/>
        <w:rPr>
          <w:rFonts w:ascii="宋体" w:hAnsi="宋体"/>
          <w:sz w:val="24"/>
        </w:rPr>
      </w:pPr>
      <w:bookmarkStart w:id="175" w:name="_Toc217446103"/>
      <w:bookmarkStart w:id="176" w:name="_Toc217446099"/>
      <w:r>
        <w:rPr>
          <w:rFonts w:hint="eastAsia" w:ascii="宋体" w:hAnsi="宋体"/>
          <w:sz w:val="24"/>
        </w:rPr>
        <w:t>2.1本项目评标方法为：</w:t>
      </w:r>
      <w:r>
        <w:rPr>
          <w:rFonts w:hint="eastAsia" w:ascii="宋体" w:hAnsi="宋体"/>
          <w:b/>
          <w:bCs/>
          <w:sz w:val="24"/>
        </w:rPr>
        <w:t>综合评分法</w:t>
      </w:r>
      <w:r>
        <w:rPr>
          <w:rFonts w:hint="eastAsia" w:ascii="宋体" w:hAnsi="宋体"/>
          <w:sz w:val="24"/>
        </w:rPr>
        <w:t>。</w:t>
      </w:r>
    </w:p>
    <w:p>
      <w:pPr>
        <w:pStyle w:val="4"/>
        <w:rPr>
          <w:sz w:val="24"/>
          <w:szCs w:val="24"/>
        </w:rPr>
      </w:pPr>
      <w:r>
        <w:rPr>
          <w:rFonts w:hint="eastAsia"/>
          <w:sz w:val="24"/>
          <w:szCs w:val="24"/>
        </w:rPr>
        <w:t>3、 评标程序</w:t>
      </w:r>
    </w:p>
    <w:p>
      <w:pPr>
        <w:spacing w:line="400" w:lineRule="exact"/>
        <w:ind w:firstLine="480" w:firstLineChars="200"/>
        <w:rPr>
          <w:rFonts w:ascii="宋体"/>
          <w:sz w:val="24"/>
        </w:rPr>
      </w:pPr>
      <w:r>
        <w:rPr>
          <w:rFonts w:hint="eastAsia" w:ascii="宋体"/>
          <w:sz w:val="24"/>
        </w:rPr>
        <w:t>3.1熟悉和理解招标文件和停止评标。</w:t>
      </w:r>
    </w:p>
    <w:p>
      <w:pPr>
        <w:spacing w:line="400" w:lineRule="exact"/>
        <w:ind w:firstLine="480" w:firstLineChars="200"/>
        <w:rPr>
          <w:rFonts w:ascii="宋体"/>
          <w:sz w:val="24"/>
        </w:rPr>
      </w:pPr>
      <w:r>
        <w:rPr>
          <w:rFonts w:hint="eastAsia" w:ascii="宋体"/>
          <w:sz w:val="24"/>
        </w:rPr>
        <w:t>3.1.1评标委员会正式评标前，应当对招标文件进行熟悉和理解，内容主要包括招标文件中投标人资格条件要求、采购项目技术、服务和商务要求、评标方法和标准以及可能涉及签订政府采购合同的内容等。</w:t>
      </w:r>
    </w:p>
    <w:p>
      <w:pPr>
        <w:spacing w:line="400" w:lineRule="exact"/>
        <w:ind w:firstLine="480" w:firstLineChars="200"/>
        <w:rPr>
          <w:rFonts w:ascii="宋体"/>
          <w:sz w:val="24"/>
        </w:rPr>
      </w:pPr>
      <w:r>
        <w:rPr>
          <w:rFonts w:hint="eastAsia" w:ascii="宋体"/>
          <w:sz w:val="24"/>
        </w:rPr>
        <w:t>3.1.2评标委员会熟悉和理解招标文件以及评标过程中，发现本招标文件有下列情形之一的，评标委员会应当停止评标：</w:t>
      </w:r>
    </w:p>
    <w:p>
      <w:pPr>
        <w:spacing w:line="400" w:lineRule="exact"/>
        <w:ind w:firstLine="480" w:firstLineChars="200"/>
        <w:rPr>
          <w:rFonts w:ascii="宋体"/>
          <w:sz w:val="24"/>
        </w:rPr>
      </w:pPr>
      <w:r>
        <w:rPr>
          <w:rFonts w:hint="eastAsia" w:ascii="宋体"/>
          <w:sz w:val="24"/>
        </w:rPr>
        <w:t>（1）招标文件的规定存在歧义、重大缺陷的；</w:t>
      </w:r>
    </w:p>
    <w:p>
      <w:pPr>
        <w:spacing w:line="400" w:lineRule="exact"/>
        <w:ind w:firstLine="480" w:firstLineChars="200"/>
        <w:rPr>
          <w:rFonts w:ascii="宋体"/>
          <w:sz w:val="24"/>
        </w:rPr>
      </w:pPr>
      <w:r>
        <w:rPr>
          <w:rFonts w:hint="eastAsia" w:ascii="宋体"/>
          <w:sz w:val="24"/>
        </w:rPr>
        <w:t>（2）招标文件明显以不合理条件对供应商实行差别待遇或者歧视待遇的；</w:t>
      </w:r>
    </w:p>
    <w:p>
      <w:pPr>
        <w:spacing w:line="400" w:lineRule="exact"/>
        <w:ind w:firstLine="480" w:firstLineChars="200"/>
        <w:rPr>
          <w:rFonts w:ascii="宋体"/>
          <w:sz w:val="24"/>
        </w:rPr>
      </w:pPr>
      <w:r>
        <w:rPr>
          <w:rFonts w:hint="eastAsia" w:ascii="宋体"/>
          <w:sz w:val="24"/>
        </w:rPr>
        <w:t>（3）采购项目属于国家规定的优先、强制采购范围，但是招标文件未依法体现优先、强制采购相关规定的；</w:t>
      </w:r>
    </w:p>
    <w:p>
      <w:pPr>
        <w:spacing w:line="400" w:lineRule="exact"/>
        <w:ind w:firstLine="480" w:firstLineChars="200"/>
        <w:rPr>
          <w:rFonts w:ascii="宋体"/>
          <w:sz w:val="24"/>
        </w:rPr>
      </w:pPr>
      <w:r>
        <w:rPr>
          <w:rFonts w:hint="eastAsia" w:ascii="宋体"/>
          <w:sz w:val="24"/>
        </w:rPr>
        <w:t>（4）采购项目属于政府采购促进中小企业发展的范围，但是招标文件未依法体现促进中小企业发展相关规定的；</w:t>
      </w:r>
    </w:p>
    <w:p>
      <w:pPr>
        <w:spacing w:line="400" w:lineRule="exact"/>
        <w:ind w:firstLine="480" w:firstLineChars="200"/>
        <w:rPr>
          <w:rFonts w:ascii="宋体"/>
          <w:sz w:val="24"/>
        </w:rPr>
      </w:pPr>
      <w:r>
        <w:rPr>
          <w:rFonts w:hint="eastAsia" w:ascii="宋体"/>
          <w:sz w:val="24"/>
        </w:rPr>
        <w:t>（5）招标文件规定的评标方法是综合评分法、最低评标价法之外的评标方法，或者虽然名称为综合评分法、最低评标价法，但实际上不符合国家规定；</w:t>
      </w:r>
    </w:p>
    <w:p>
      <w:pPr>
        <w:spacing w:line="400" w:lineRule="exact"/>
        <w:ind w:firstLine="480" w:firstLineChars="200"/>
        <w:rPr>
          <w:rFonts w:ascii="宋体"/>
          <w:sz w:val="24"/>
        </w:rPr>
      </w:pPr>
      <w:r>
        <w:rPr>
          <w:rFonts w:hint="eastAsia" w:ascii="宋体"/>
          <w:sz w:val="24"/>
        </w:rPr>
        <w:t>（6）招标文件将投标人的资格条件列为评分因素的；</w:t>
      </w:r>
    </w:p>
    <w:p>
      <w:pPr>
        <w:spacing w:line="400" w:lineRule="exact"/>
        <w:ind w:firstLine="480" w:firstLineChars="200"/>
        <w:rPr>
          <w:rFonts w:ascii="宋体"/>
          <w:sz w:val="24"/>
        </w:rPr>
      </w:pPr>
      <w:r>
        <w:rPr>
          <w:rFonts w:hint="eastAsia" w:ascii="宋体"/>
          <w:sz w:val="24"/>
        </w:rPr>
        <w:t>（7）招标文件有违反国家其他有关强制性规定的情形。</w:t>
      </w:r>
    </w:p>
    <w:p>
      <w:pPr>
        <w:spacing w:line="400" w:lineRule="exact"/>
        <w:ind w:firstLine="480" w:firstLineChars="200"/>
        <w:rPr>
          <w:rFonts w:ascii="宋体"/>
          <w:sz w:val="24"/>
        </w:rPr>
      </w:pPr>
      <w:r>
        <w:rPr>
          <w:rFonts w:hint="eastAsia" w:ascii="宋体"/>
          <w:sz w:val="24"/>
        </w:rPr>
        <w:t>3.1.3出现本条3.1.2规定应当停止评标情形的，评标委员会成员应当向招标采购单位书面说明情况。除本条规定和评标委员会无法依法组建的情形外，评标委员会成员不得以任何方式和理由停止评标。</w:t>
      </w:r>
    </w:p>
    <w:p>
      <w:pPr>
        <w:spacing w:line="400" w:lineRule="exact"/>
        <w:ind w:firstLine="480" w:firstLineChars="200"/>
        <w:rPr>
          <w:rFonts w:ascii="宋体"/>
          <w:sz w:val="24"/>
        </w:rPr>
      </w:pPr>
      <w:r>
        <w:rPr>
          <w:rFonts w:hint="eastAsia" w:ascii="宋体"/>
          <w:sz w:val="24"/>
        </w:rPr>
        <w:t>3.2符合性检查。</w:t>
      </w:r>
    </w:p>
    <w:p>
      <w:pPr>
        <w:spacing w:line="400" w:lineRule="exact"/>
        <w:ind w:firstLine="480" w:firstLineChars="200"/>
        <w:rPr>
          <w:rFonts w:ascii="宋体"/>
          <w:sz w:val="24"/>
        </w:rPr>
      </w:pPr>
      <w:r>
        <w:rPr>
          <w:rFonts w:hint="eastAsia" w:ascii="宋体"/>
          <w:sz w:val="24"/>
        </w:rPr>
        <w:t>3.2.1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400" w:lineRule="exact"/>
        <w:ind w:firstLine="480" w:firstLineChars="200"/>
        <w:rPr>
          <w:rFonts w:ascii="宋体"/>
          <w:sz w:val="24"/>
        </w:rPr>
      </w:pPr>
      <w:r>
        <w:rPr>
          <w:rFonts w:hint="eastAsia" w:ascii="宋体"/>
          <w:sz w:val="24"/>
        </w:rPr>
        <w:t>3.2.2投标文件（包括单独递交的开标一览表）有下列情形的，本项目不作为实质性要求进行规定，即不作为符合性审查事项，不得作为无效投标处理：</w:t>
      </w:r>
    </w:p>
    <w:p>
      <w:pPr>
        <w:spacing w:line="400" w:lineRule="exact"/>
        <w:ind w:firstLine="480" w:firstLineChars="200"/>
        <w:rPr>
          <w:rFonts w:ascii="宋体"/>
          <w:sz w:val="24"/>
        </w:rPr>
      </w:pPr>
      <w:r>
        <w:rPr>
          <w:rFonts w:hint="eastAsia" w:ascii="宋体"/>
          <w:sz w:val="24"/>
        </w:rPr>
        <w:t>（一）正副本数量齐全，只是未按照招标文件要求进行分装或者统装的；</w:t>
      </w:r>
    </w:p>
    <w:p>
      <w:pPr>
        <w:spacing w:line="400" w:lineRule="exact"/>
        <w:ind w:firstLine="480" w:firstLineChars="200"/>
        <w:rPr>
          <w:rFonts w:ascii="宋体"/>
          <w:sz w:val="24"/>
        </w:rPr>
      </w:pPr>
      <w:r>
        <w:rPr>
          <w:rFonts w:hint="eastAsia" w:ascii="宋体"/>
          <w:sz w:val="24"/>
        </w:rPr>
        <w:t>（二）存在个别地方（不超过2个）没有法定代表人/单位负责人签字，但有法定代表人/单位负责人的私人印章或者有效授权代理人签字的；</w:t>
      </w:r>
    </w:p>
    <w:p>
      <w:pPr>
        <w:spacing w:line="400" w:lineRule="exact"/>
        <w:ind w:firstLine="480" w:firstLineChars="200"/>
        <w:rPr>
          <w:rFonts w:ascii="宋体"/>
          <w:sz w:val="24"/>
        </w:rPr>
      </w:pPr>
      <w:r>
        <w:rPr>
          <w:rFonts w:hint="eastAsia" w:ascii="宋体"/>
          <w:sz w:val="24"/>
        </w:rPr>
        <w:t>（三）除招标文件明确要求加盖单位(法人)公章的以外，其他地方以相关专用章加盖的；</w:t>
      </w:r>
    </w:p>
    <w:p>
      <w:pPr>
        <w:spacing w:line="400" w:lineRule="exact"/>
        <w:ind w:firstLine="480" w:firstLineChars="200"/>
        <w:rPr>
          <w:rFonts w:ascii="宋体"/>
          <w:sz w:val="24"/>
        </w:rPr>
      </w:pPr>
      <w:r>
        <w:rPr>
          <w:rFonts w:hint="eastAsia" w:ascii="宋体"/>
          <w:sz w:val="24"/>
        </w:rPr>
        <w:t>（四）以骑缝章的形式代替投标文件内容逐页盖章的（但是骑缝章模糊不清，印章名称无法辨认的除外）；</w:t>
      </w:r>
    </w:p>
    <w:p>
      <w:pPr>
        <w:spacing w:line="400" w:lineRule="exact"/>
        <w:ind w:firstLine="480" w:firstLineChars="200"/>
        <w:rPr>
          <w:rFonts w:ascii="宋体"/>
          <w:sz w:val="24"/>
        </w:rPr>
      </w:pPr>
      <w:r>
        <w:rPr>
          <w:rFonts w:hint="eastAsia" w:ascii="宋体"/>
          <w:sz w:val="24"/>
        </w:rPr>
        <w:t>（五）其他不影响采购项目实质性要求的情形。</w:t>
      </w:r>
    </w:p>
    <w:p>
      <w:pPr>
        <w:spacing w:line="400" w:lineRule="exact"/>
        <w:ind w:firstLine="480" w:firstLineChars="200"/>
        <w:rPr>
          <w:rFonts w:ascii="宋体"/>
          <w:sz w:val="24"/>
        </w:rPr>
      </w:pPr>
      <w:r>
        <w:rPr>
          <w:rFonts w:hint="eastAsia" w:ascii="宋体"/>
          <w:sz w:val="24"/>
        </w:rPr>
        <w:t>3.2.3除政府采购法律制度规定的情形外，本项目投标人或者其投标文件有下列情形之一的，作为无效投标处理：</w:t>
      </w:r>
    </w:p>
    <w:p>
      <w:pPr>
        <w:spacing w:line="400" w:lineRule="exact"/>
        <w:ind w:firstLine="480" w:firstLineChars="200"/>
        <w:rPr>
          <w:rFonts w:ascii="宋体"/>
          <w:sz w:val="24"/>
        </w:rPr>
      </w:pPr>
      <w:r>
        <w:rPr>
          <w:rFonts w:hint="eastAsia" w:ascii="宋体"/>
          <w:sz w:val="24"/>
        </w:rPr>
        <w:t>（一）投标文件正副本数量不足的；</w:t>
      </w:r>
    </w:p>
    <w:p>
      <w:pPr>
        <w:spacing w:line="400" w:lineRule="exact"/>
        <w:ind w:firstLine="480" w:firstLineChars="200"/>
        <w:rPr>
          <w:rFonts w:ascii="宋体"/>
          <w:sz w:val="24"/>
        </w:rPr>
      </w:pPr>
      <w:r>
        <w:rPr>
          <w:rFonts w:hint="eastAsia" w:ascii="宋体"/>
          <w:sz w:val="24"/>
        </w:rPr>
        <w:t>（二）投标文件组成明显不符合招标文件的规定要求，影响评标委员会评判的；</w:t>
      </w:r>
    </w:p>
    <w:p>
      <w:pPr>
        <w:spacing w:line="400" w:lineRule="exact"/>
        <w:ind w:firstLine="480" w:firstLineChars="200"/>
        <w:rPr>
          <w:rFonts w:ascii="宋体"/>
          <w:sz w:val="24"/>
        </w:rPr>
      </w:pPr>
      <w:r>
        <w:rPr>
          <w:rFonts w:hint="eastAsia" w:ascii="宋体"/>
          <w:sz w:val="24"/>
        </w:rPr>
        <w:t>（三）投标文件的语言、计量单位、报价货币、知识产权、投标有效期等不符合招标文件的规定，影响评标委员会评判的；</w:t>
      </w:r>
    </w:p>
    <w:p>
      <w:pPr>
        <w:spacing w:line="400" w:lineRule="exact"/>
        <w:ind w:firstLine="480" w:firstLineChars="200"/>
        <w:rPr>
          <w:rFonts w:ascii="宋体"/>
          <w:sz w:val="24"/>
        </w:rPr>
      </w:pPr>
      <w:r>
        <w:rPr>
          <w:rFonts w:hint="eastAsia" w:ascii="宋体"/>
          <w:sz w:val="24"/>
        </w:rPr>
        <w:t>（四）投标文件未按招标文件要求签署、盖章的（本章3.2.2规定的例外情形除外）；</w:t>
      </w:r>
    </w:p>
    <w:p>
      <w:pPr>
        <w:spacing w:line="400" w:lineRule="exact"/>
        <w:ind w:firstLine="480" w:firstLineChars="200"/>
        <w:rPr>
          <w:rFonts w:ascii="宋体"/>
          <w:sz w:val="24"/>
        </w:rPr>
      </w:pPr>
      <w:r>
        <w:rPr>
          <w:rFonts w:hint="eastAsia" w:ascii="宋体"/>
          <w:sz w:val="24"/>
        </w:rPr>
        <w:t>（五）投标报价不符合招标文件规定的采购预算或限价或其他报价规定的；</w:t>
      </w:r>
    </w:p>
    <w:p>
      <w:pPr>
        <w:spacing w:line="400" w:lineRule="exact"/>
        <w:ind w:firstLine="480" w:firstLineChars="200"/>
        <w:rPr>
          <w:rFonts w:ascii="宋体"/>
          <w:sz w:val="24"/>
        </w:rPr>
      </w:pPr>
      <w:r>
        <w:rPr>
          <w:rFonts w:hint="eastAsia" w:ascii="宋体"/>
          <w:sz w:val="24"/>
        </w:rPr>
        <w:t>（六）投标应答内容没有完全响应招标文件的实质性要求的；</w:t>
      </w:r>
    </w:p>
    <w:p>
      <w:pPr>
        <w:spacing w:line="400" w:lineRule="exact"/>
        <w:ind w:firstLine="480" w:firstLineChars="200"/>
        <w:rPr>
          <w:rFonts w:ascii="宋体"/>
          <w:sz w:val="24"/>
        </w:rPr>
      </w:pPr>
      <w:r>
        <w:rPr>
          <w:rFonts w:hint="eastAsia" w:ascii="宋体"/>
          <w:sz w:val="24"/>
        </w:rPr>
        <w:t>（七）招标文件规定的其它投标无效情形。</w:t>
      </w:r>
    </w:p>
    <w:p>
      <w:pPr>
        <w:spacing w:line="400" w:lineRule="exact"/>
        <w:ind w:firstLine="480" w:firstLineChars="200"/>
        <w:rPr>
          <w:rFonts w:ascii="宋体"/>
          <w:sz w:val="24"/>
        </w:rPr>
      </w:pPr>
      <w:r>
        <w:rPr>
          <w:rFonts w:hint="eastAsia" w:ascii="宋体"/>
          <w:sz w:val="24"/>
        </w:rPr>
        <w:t>3.3比较与评价。按招标文件中规定的评标方法和标准，对未作无效投标处理的投标文件进行技术、服务、商务等方面评估，综合比较与评价。</w:t>
      </w:r>
    </w:p>
    <w:p>
      <w:pPr>
        <w:spacing w:line="400" w:lineRule="exact"/>
        <w:ind w:firstLine="480" w:firstLineChars="200"/>
        <w:rPr>
          <w:rFonts w:ascii="宋体"/>
          <w:sz w:val="24"/>
        </w:rPr>
      </w:pPr>
      <w:r>
        <w:rPr>
          <w:rFonts w:hint="eastAsia" w:ascii="宋体"/>
          <w:sz w:val="24"/>
        </w:rPr>
        <w:t>3.4复核。评分汇总结束后，评标委员会应当进行复核，特别要对拟推荐为中标候选供应商的、报价最低的、投标文件被认定为无效的进行重点复核。</w:t>
      </w:r>
    </w:p>
    <w:p>
      <w:pPr>
        <w:spacing w:line="400" w:lineRule="exact"/>
        <w:ind w:firstLine="480" w:firstLineChars="200"/>
        <w:rPr>
          <w:rFonts w:ascii="宋体"/>
          <w:sz w:val="24"/>
        </w:rPr>
      </w:pPr>
      <w:r>
        <w:rPr>
          <w:rFonts w:hint="eastAsia" w:ascii="宋体"/>
          <w:sz w:val="24"/>
        </w:rPr>
        <w:t>3.5推荐中标候选供应商。中标候选供应商应当排序。采用综合评分法的，按评审后得分由高到低顺序排列。投标文件满足招标文件全部实质性要求，且按照评审因素的量化指标评审得分最高的投标人为排名第一的中标候选人。排名并列的由采购人自主采取随机抽取的方式选择中标供应商。</w:t>
      </w:r>
    </w:p>
    <w:p>
      <w:pPr>
        <w:spacing w:line="400" w:lineRule="exact"/>
        <w:ind w:firstLine="480" w:firstLineChars="200"/>
        <w:rPr>
          <w:rFonts w:ascii="宋体"/>
          <w:sz w:val="24"/>
        </w:rPr>
      </w:pPr>
      <w:r>
        <w:rPr>
          <w:rFonts w:hint="eastAsia" w:ascii="宋体"/>
          <w:sz w:val="24"/>
        </w:rPr>
        <w:t>评标委员会可推荐的中标候选供应商数量不能满足招标文件规定的数量的，只有在获得采购人书面同意后，可以根据实际情况推荐中标候选供应商。未获得采购人的书面同意,评标委员会不得在招标文件规定之外推荐中标候选供应商，否则，采购人可以不予认可。</w:t>
      </w:r>
    </w:p>
    <w:p>
      <w:pPr>
        <w:spacing w:line="400" w:lineRule="exact"/>
        <w:ind w:firstLine="480" w:firstLineChars="200"/>
        <w:rPr>
          <w:rFonts w:ascii="宋体"/>
          <w:sz w:val="24"/>
        </w:rPr>
      </w:pPr>
      <w:r>
        <w:rPr>
          <w:rFonts w:hint="eastAsia" w:ascii="宋体"/>
          <w:sz w:val="24"/>
        </w:rPr>
        <w:t>3.6出具评标报告。评标委员会推荐中标候选供应商后，应当向招标采购单位出具评标报告。评标报告应当包括下列内容：</w:t>
      </w:r>
    </w:p>
    <w:p>
      <w:pPr>
        <w:spacing w:line="400" w:lineRule="exact"/>
        <w:ind w:firstLine="480" w:firstLineChars="200"/>
        <w:rPr>
          <w:rFonts w:ascii="宋体"/>
          <w:sz w:val="24"/>
        </w:rPr>
      </w:pPr>
      <w:r>
        <w:rPr>
          <w:rFonts w:hint="eastAsia" w:ascii="宋体"/>
          <w:sz w:val="24"/>
        </w:rPr>
        <w:t>（一）招标公告刊登的媒体名称、开标日期和地点；</w:t>
      </w:r>
    </w:p>
    <w:p>
      <w:pPr>
        <w:spacing w:line="400" w:lineRule="exact"/>
        <w:ind w:firstLine="480" w:firstLineChars="200"/>
        <w:rPr>
          <w:rFonts w:ascii="宋体"/>
          <w:sz w:val="24"/>
        </w:rPr>
      </w:pPr>
      <w:r>
        <w:rPr>
          <w:rFonts w:hint="eastAsia" w:ascii="宋体"/>
          <w:sz w:val="24"/>
        </w:rPr>
        <w:t>（二）获取招标文件的投标人名单和评标委员会成员名单；</w:t>
      </w:r>
    </w:p>
    <w:p>
      <w:pPr>
        <w:spacing w:line="400" w:lineRule="exact"/>
        <w:ind w:firstLine="480" w:firstLineChars="200"/>
        <w:rPr>
          <w:rFonts w:ascii="宋体"/>
          <w:sz w:val="24"/>
        </w:rPr>
      </w:pPr>
      <w:r>
        <w:rPr>
          <w:rFonts w:hint="eastAsia" w:ascii="宋体"/>
          <w:sz w:val="24"/>
        </w:rPr>
        <w:t>（三）评标方法和标准；</w:t>
      </w:r>
    </w:p>
    <w:p>
      <w:pPr>
        <w:spacing w:line="400" w:lineRule="exact"/>
        <w:ind w:firstLine="480" w:firstLineChars="200"/>
        <w:rPr>
          <w:rFonts w:ascii="宋体"/>
          <w:sz w:val="24"/>
        </w:rPr>
      </w:pPr>
      <w:r>
        <w:rPr>
          <w:rFonts w:hint="eastAsia" w:ascii="宋体"/>
          <w:sz w:val="24"/>
        </w:rPr>
        <w:t>（四）开标记录和评标情况及说明，包括无效投标人名单及原因；</w:t>
      </w:r>
    </w:p>
    <w:p>
      <w:pPr>
        <w:spacing w:line="400" w:lineRule="exact"/>
        <w:ind w:firstLine="480" w:firstLineChars="200"/>
        <w:rPr>
          <w:rFonts w:ascii="宋体"/>
          <w:sz w:val="24"/>
        </w:rPr>
      </w:pPr>
      <w:r>
        <w:rPr>
          <w:rFonts w:hint="eastAsia" w:ascii="宋体"/>
          <w:sz w:val="24"/>
        </w:rPr>
        <w:t>（五）评标结果和中标候选供应商排序表；</w:t>
      </w:r>
    </w:p>
    <w:p>
      <w:pPr>
        <w:spacing w:line="400" w:lineRule="exact"/>
        <w:ind w:firstLine="480" w:firstLineChars="200"/>
        <w:rPr>
          <w:rFonts w:ascii="宋体"/>
          <w:sz w:val="24"/>
        </w:rPr>
      </w:pPr>
      <w:r>
        <w:rPr>
          <w:rFonts w:hint="eastAsia" w:ascii="宋体"/>
          <w:sz w:val="24"/>
        </w:rPr>
        <w:t>（六）评标委员会授标建议；</w:t>
      </w:r>
    </w:p>
    <w:p>
      <w:pPr>
        <w:spacing w:line="400" w:lineRule="exact"/>
        <w:ind w:firstLine="480" w:firstLineChars="200"/>
        <w:rPr>
          <w:rFonts w:ascii="宋体"/>
          <w:sz w:val="24"/>
        </w:rPr>
      </w:pPr>
      <w:r>
        <w:rPr>
          <w:rFonts w:hint="eastAsia" w:ascii="宋体"/>
          <w:sz w:val="24"/>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400" w:lineRule="exact"/>
        <w:ind w:firstLine="480" w:firstLineChars="200"/>
        <w:rPr>
          <w:rFonts w:ascii="宋体"/>
          <w:sz w:val="24"/>
        </w:rPr>
      </w:pPr>
      <w:r>
        <w:rPr>
          <w:rFonts w:hint="eastAsia" w:ascii="宋体"/>
          <w:sz w:val="24"/>
        </w:rPr>
        <w:t>3.7评标争议处理规则。评标委员会在评审过程中，对于符合性审查、对供应商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招标采购单位书面反映。招标采购单位收到书面反映后，应当书面报告采购项目同级财政部门依法处理。</w:t>
      </w:r>
    </w:p>
    <w:p>
      <w:pPr>
        <w:spacing w:line="400" w:lineRule="exact"/>
        <w:ind w:firstLine="480" w:firstLineChars="200"/>
        <w:rPr>
          <w:rFonts w:ascii="宋体"/>
          <w:sz w:val="24"/>
        </w:rPr>
      </w:pPr>
      <w:r>
        <w:rPr>
          <w:rFonts w:hint="eastAsia" w:ascii="宋体"/>
          <w:sz w:val="24"/>
        </w:rPr>
        <w:t>3.8供应商应当书面澄清、说明或者更正。</w:t>
      </w:r>
    </w:p>
    <w:p>
      <w:pPr>
        <w:spacing w:line="400" w:lineRule="exact"/>
        <w:ind w:firstLine="480" w:firstLineChars="200"/>
        <w:rPr>
          <w:rFonts w:ascii="宋体"/>
          <w:sz w:val="24"/>
        </w:rPr>
      </w:pPr>
      <w:r>
        <w:rPr>
          <w:rFonts w:hint="eastAsia" w:ascii="宋体"/>
          <w:sz w:val="24"/>
        </w:rPr>
        <w:t>3.8.1在评标过程中，供应商投标文件实质性符合招标文件要求的前提下，评标委员会对投标文件中含义不明确、同类问题表述不一致或者有明显文字和计算错误的内容，应当以书面形式（须由评标委员会全体成员签字）要求供应商作出必要的书面澄清、说明或者更正，并给予供应商必要的反馈时间。</w:t>
      </w:r>
    </w:p>
    <w:p>
      <w:pPr>
        <w:spacing w:line="400" w:lineRule="exact"/>
        <w:ind w:firstLine="480" w:firstLineChars="200"/>
        <w:rPr>
          <w:rFonts w:ascii="宋体"/>
          <w:sz w:val="24"/>
        </w:rPr>
      </w:pPr>
      <w:r>
        <w:rPr>
          <w:rFonts w:hint="eastAsia" w:ascii="宋体"/>
          <w:sz w:val="24"/>
        </w:rPr>
        <w:t>3.8.2供应商应当书面澄清、说明或者更正，并加盖公章或签字确认（供应商为法人的，应当由其法定代表人/单位负责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p>
    <w:p>
      <w:pPr>
        <w:spacing w:line="400" w:lineRule="exact"/>
        <w:ind w:firstLine="480" w:firstLineChars="200"/>
        <w:rPr>
          <w:rFonts w:ascii="宋体"/>
          <w:sz w:val="24"/>
        </w:rPr>
      </w:pPr>
      <w:r>
        <w:rPr>
          <w:rFonts w:hint="eastAsia" w:ascii="宋体"/>
          <w:sz w:val="24"/>
        </w:rPr>
        <w:t>3.8.3评标委员会要求供应商澄清、说明或者更正，不得超出招标文件的范围，不得以此让供应商实质改变投标文件的内容，不得影响供应商公平竞争。本项目下列内容不得澄清：</w:t>
      </w:r>
    </w:p>
    <w:p>
      <w:pPr>
        <w:spacing w:line="400" w:lineRule="exact"/>
        <w:ind w:firstLine="480" w:firstLineChars="200"/>
        <w:rPr>
          <w:rFonts w:ascii="宋体"/>
          <w:sz w:val="24"/>
        </w:rPr>
      </w:pPr>
      <w:r>
        <w:rPr>
          <w:rFonts w:hint="eastAsia" w:ascii="宋体"/>
          <w:sz w:val="24"/>
        </w:rPr>
        <w:t>（一）按财政部规定应当在评标时不予承认的投标文件内容事项；</w:t>
      </w:r>
    </w:p>
    <w:p>
      <w:pPr>
        <w:spacing w:line="400" w:lineRule="exact"/>
        <w:ind w:firstLine="480" w:firstLineChars="200"/>
        <w:rPr>
          <w:rFonts w:ascii="宋体"/>
          <w:sz w:val="24"/>
        </w:rPr>
      </w:pPr>
      <w:r>
        <w:rPr>
          <w:rFonts w:hint="eastAsia" w:ascii="宋体"/>
          <w:sz w:val="24"/>
        </w:rPr>
        <w:t>（二）投标文件中已经明确的内容事项；</w:t>
      </w:r>
    </w:p>
    <w:p>
      <w:pPr>
        <w:spacing w:line="400" w:lineRule="exact"/>
        <w:ind w:firstLine="480" w:firstLineChars="200"/>
        <w:rPr>
          <w:rFonts w:ascii="宋体"/>
          <w:sz w:val="24"/>
        </w:rPr>
      </w:pPr>
      <w:r>
        <w:rPr>
          <w:rFonts w:hint="eastAsia" w:ascii="宋体"/>
          <w:sz w:val="24"/>
        </w:rPr>
        <w:t>3.8.4 本项目采购过程中，投标文件报价出现前后不一致的，按照下列规定修正：</w:t>
      </w:r>
    </w:p>
    <w:p>
      <w:pPr>
        <w:spacing w:line="400" w:lineRule="exact"/>
        <w:ind w:firstLine="480" w:firstLineChars="200"/>
        <w:rPr>
          <w:rFonts w:ascii="宋体"/>
          <w:sz w:val="24"/>
        </w:rPr>
      </w:pPr>
      <w:r>
        <w:rPr>
          <w:rFonts w:hint="eastAsia" w:ascii="宋体"/>
          <w:sz w:val="24"/>
        </w:rPr>
        <w:t>（一）投标文件中开标一览表（报价表）内容与投标文件中相应内容不一致的，以开标一览表（报价表）为准；</w:t>
      </w:r>
    </w:p>
    <w:p>
      <w:pPr>
        <w:spacing w:line="400" w:lineRule="exact"/>
        <w:ind w:firstLine="480" w:firstLineChars="200"/>
        <w:rPr>
          <w:rFonts w:ascii="宋体"/>
          <w:sz w:val="24"/>
        </w:rPr>
      </w:pPr>
      <w:r>
        <w:rPr>
          <w:rFonts w:hint="eastAsia" w:ascii="宋体"/>
          <w:sz w:val="24"/>
        </w:rPr>
        <w:t>（二）大写金额和小写金额不一致的，以大写金额为准；</w:t>
      </w:r>
    </w:p>
    <w:p>
      <w:pPr>
        <w:spacing w:line="400" w:lineRule="exact"/>
        <w:ind w:firstLine="480" w:firstLineChars="200"/>
        <w:rPr>
          <w:rFonts w:ascii="宋体"/>
          <w:sz w:val="24"/>
        </w:rPr>
      </w:pPr>
      <w:r>
        <w:rPr>
          <w:rFonts w:hint="eastAsia" w:ascii="宋体"/>
          <w:sz w:val="24"/>
        </w:rPr>
        <w:t>（三）单价金额小数点或者百分比有明显错位的，以开标一览表的总价为准，并修改单价；</w:t>
      </w:r>
    </w:p>
    <w:p>
      <w:pPr>
        <w:spacing w:line="400" w:lineRule="exact"/>
        <w:ind w:firstLine="480" w:firstLineChars="200"/>
        <w:rPr>
          <w:rFonts w:ascii="宋体"/>
          <w:sz w:val="24"/>
        </w:rPr>
      </w:pPr>
      <w:r>
        <w:rPr>
          <w:rFonts w:hint="eastAsia" w:ascii="宋体"/>
          <w:sz w:val="24"/>
        </w:rPr>
        <w:t>（四）总价金额与按单价汇总金额不一致的，以单价金额计算结果为准。</w:t>
      </w:r>
    </w:p>
    <w:p>
      <w:pPr>
        <w:spacing w:line="400" w:lineRule="exact"/>
        <w:ind w:firstLine="480" w:firstLineChars="200"/>
        <w:rPr>
          <w:rFonts w:ascii="宋体"/>
          <w:sz w:val="24"/>
        </w:rPr>
      </w:pPr>
      <w:r>
        <w:rPr>
          <w:rFonts w:hint="eastAsia" w:ascii="宋体"/>
          <w:sz w:val="24"/>
        </w:rPr>
        <w:t>同时出现两种以上不一致的，按照前款规定的顺序修正。修正后的报价按照本章3.8.1-3.8.3的规定经投标人确认后产生约束力，投标人不确认的，其投标无效。</w:t>
      </w:r>
    </w:p>
    <w:p>
      <w:pPr>
        <w:spacing w:line="400" w:lineRule="exact"/>
        <w:ind w:firstLine="482" w:firstLineChars="200"/>
        <w:rPr>
          <w:rFonts w:ascii="宋体"/>
          <w:b/>
          <w:sz w:val="24"/>
        </w:rPr>
      </w:pPr>
      <w:r>
        <w:rPr>
          <w:rFonts w:hint="eastAsia" w:ascii="宋体"/>
          <w:b/>
          <w:sz w:val="24"/>
        </w:rPr>
        <w:t>注：评标委员会当积极履行澄清、说明或者更正的职责，不得滥用权力。供应商的投标文件应当要求澄清、说明或者更正的，不得未经澄清、说明或者更正而直接作无效投标处理。</w:t>
      </w:r>
    </w:p>
    <w:p>
      <w:pPr>
        <w:pStyle w:val="57"/>
        <w:ind w:firstLine="480" w:firstLineChars="200"/>
        <w:jc w:val="both"/>
      </w:pPr>
      <w:r>
        <w:rPr>
          <w:rFonts w:hint="eastAsia"/>
        </w:rPr>
        <w:t>3.9低于成本价投标处理。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57"/>
        <w:ind w:firstLine="480" w:firstLineChars="200"/>
        <w:jc w:val="both"/>
      </w:pPr>
      <w:r>
        <w:rPr>
          <w:rFonts w:hint="eastAsia"/>
        </w:rPr>
        <w:t>3.10招标采购单位现场复核评标结果。</w:t>
      </w:r>
    </w:p>
    <w:p>
      <w:pPr>
        <w:pStyle w:val="57"/>
        <w:ind w:firstLine="480" w:firstLineChars="200"/>
        <w:jc w:val="both"/>
      </w:pPr>
      <w:r>
        <w:rPr>
          <w:rFonts w:hint="eastAsia"/>
        </w:rPr>
        <w:t>3.10.1评标结果汇总完成后，评标委员会拟出具评标报告前，招标采购单位应当组织2名以上的本单位工作人员，在采购现场监督人员的监督之下，依据有关的法律制度和采购文件对评标结果进行复核，出具复核报告。除下列情形外，任何人不得修改评标结果：</w:t>
      </w:r>
    </w:p>
    <w:p>
      <w:pPr>
        <w:pStyle w:val="57"/>
        <w:ind w:firstLine="480" w:firstLineChars="200"/>
        <w:jc w:val="both"/>
      </w:pPr>
      <w:r>
        <w:rPr>
          <w:rFonts w:hint="eastAsia"/>
        </w:rPr>
        <w:t>（一）分值汇总计算错误的；</w:t>
      </w:r>
    </w:p>
    <w:p>
      <w:pPr>
        <w:pStyle w:val="57"/>
        <w:ind w:firstLine="480" w:firstLineChars="200"/>
        <w:jc w:val="both"/>
      </w:pPr>
      <w:r>
        <w:rPr>
          <w:rFonts w:hint="eastAsia"/>
        </w:rPr>
        <w:t>（二）分项评分超出评分标准范围的；</w:t>
      </w:r>
    </w:p>
    <w:p>
      <w:pPr>
        <w:pStyle w:val="57"/>
        <w:ind w:firstLine="480" w:firstLineChars="200"/>
        <w:jc w:val="both"/>
      </w:pPr>
      <w:r>
        <w:rPr>
          <w:rFonts w:hint="eastAsia"/>
        </w:rPr>
        <w:t>（三）客观评分不一致的；</w:t>
      </w:r>
    </w:p>
    <w:p>
      <w:pPr>
        <w:pStyle w:val="57"/>
        <w:ind w:firstLine="480" w:firstLineChars="200"/>
        <w:jc w:val="both"/>
      </w:pPr>
      <w:r>
        <w:rPr>
          <w:rFonts w:hint="eastAsia"/>
        </w:rPr>
        <w:t>（四）经评标委员会认定评分畸高畸低的。</w:t>
      </w:r>
    </w:p>
    <w:p>
      <w:pPr>
        <w:pStyle w:val="57"/>
        <w:ind w:firstLine="480" w:firstLineChars="200"/>
        <w:jc w:val="both"/>
      </w:pPr>
      <w:r>
        <w:rPr>
          <w:rFonts w:hint="eastAsia"/>
        </w:rPr>
        <w:t>存在本条上述规定情形的，由评标委员会自主决定是否采纳招标采购单位的书面建议，并承担独立评审责任。评标委员会采纳招标采购单位书面建议的，应当按照规定现场修改评标结果或者重新评审，并在评标报告中详细记载有关事宜；不采纳招标采购单位书面建议的，应当书面说明理由。招标采购单位书面建议未被评标委员会采纳的，应当按照规定程序要求继续组织实施采购活动，不得擅自中止采购活动。招标采购单位认为评标委员会评标结果不合法的，应当书面报告采购项目同级财政部门依法处理。</w:t>
      </w:r>
    </w:p>
    <w:p>
      <w:pPr>
        <w:pStyle w:val="57"/>
        <w:ind w:firstLine="480" w:firstLineChars="200"/>
        <w:jc w:val="both"/>
      </w:pPr>
      <w:r>
        <w:rPr>
          <w:rFonts w:hint="eastAsia"/>
        </w:rPr>
        <w:t>3.10.2有下列情形之一的，不得修改评标结果或者重新评审：</w:t>
      </w:r>
    </w:p>
    <w:p>
      <w:pPr>
        <w:pStyle w:val="57"/>
        <w:ind w:firstLine="480" w:firstLineChars="200"/>
        <w:jc w:val="both"/>
      </w:pPr>
      <w:r>
        <w:rPr>
          <w:rFonts w:hint="eastAsia"/>
        </w:rPr>
        <w:t>（一）招标采购单位现场复核时，复核工作人员数量不足的；</w:t>
      </w:r>
    </w:p>
    <w:p>
      <w:pPr>
        <w:pStyle w:val="57"/>
        <w:ind w:firstLine="480" w:firstLineChars="200"/>
        <w:jc w:val="both"/>
      </w:pPr>
      <w:r>
        <w:rPr>
          <w:rFonts w:hint="eastAsia"/>
        </w:rPr>
        <w:t>（二）招标采购单位现场复核时，没有采购监督人员现场监督的；</w:t>
      </w:r>
    </w:p>
    <w:p>
      <w:pPr>
        <w:pStyle w:val="57"/>
        <w:ind w:firstLine="480" w:firstLineChars="200"/>
        <w:jc w:val="both"/>
      </w:pPr>
      <w:r>
        <w:rPr>
          <w:rFonts w:hint="eastAsia"/>
        </w:rPr>
        <w:t>（三）招标采购单位现场复核内容超出规定范围的；</w:t>
      </w:r>
    </w:p>
    <w:p>
      <w:pPr>
        <w:pStyle w:val="57"/>
        <w:ind w:firstLine="480" w:firstLineChars="200"/>
        <w:jc w:val="both"/>
      </w:pPr>
      <w:r>
        <w:rPr>
          <w:rFonts w:hint="eastAsia"/>
        </w:rPr>
        <w:t>（四）招标采购单位未提供书面建议的。</w:t>
      </w:r>
    </w:p>
    <w:p>
      <w:pPr>
        <w:pStyle w:val="4"/>
        <w:rPr>
          <w:sz w:val="24"/>
          <w:szCs w:val="24"/>
        </w:rPr>
      </w:pPr>
      <w:r>
        <w:rPr>
          <w:rFonts w:hint="eastAsia"/>
          <w:sz w:val="24"/>
          <w:szCs w:val="24"/>
        </w:rPr>
        <w:t>4. 评标细则及标准</w:t>
      </w:r>
      <w:bookmarkEnd w:id="175"/>
    </w:p>
    <w:p>
      <w:pPr>
        <w:spacing w:line="400" w:lineRule="exact"/>
        <w:ind w:firstLine="480" w:firstLineChars="200"/>
        <w:rPr>
          <w:sz w:val="24"/>
        </w:rPr>
      </w:pPr>
      <w:r>
        <w:rPr>
          <w:rFonts w:hint="eastAsia" w:ascii="宋体"/>
          <w:sz w:val="24"/>
        </w:rPr>
        <w:t>4.1</w:t>
      </w:r>
      <w:r>
        <w:rPr>
          <w:rFonts w:hint="eastAsia"/>
          <w:sz w:val="24"/>
        </w:rPr>
        <w:t>本项目采用综合评分法，评分因素详见综合评分明细表。</w:t>
      </w:r>
    </w:p>
    <w:p>
      <w:pPr>
        <w:pStyle w:val="57"/>
        <w:ind w:firstLine="480" w:firstLineChars="200"/>
        <w:jc w:val="both"/>
      </w:pPr>
      <w:r>
        <w:rPr>
          <w:rFonts w:hint="eastAsia"/>
        </w:rPr>
        <w:t>4.2 评标委员会成员应当根据自身专业情况对每个有效投标供应商的投标文件进行独立评分，加权汇总每项评分因素的得分，得出每个有效投标供应商的总分。技术类评分因素由技术方面评标委员会成员独立评分。经济类评分因素由经济方面评标委员会成员独立评分。政策合同类的评分因素由法律方面评标委员会成员独立评分。采购人代表原则上对技术类评分因素独立评分。价格和其他不能明确区分的评分因素由评标委员会成员共同评分。</w:t>
      </w:r>
    </w:p>
    <w:p>
      <w:pPr>
        <w:pStyle w:val="17"/>
        <w:tabs>
          <w:tab w:val="left" w:pos="600"/>
        </w:tabs>
        <w:spacing w:line="400" w:lineRule="exact"/>
        <w:ind w:firstLine="480" w:firstLineChars="200"/>
        <w:rPr>
          <w:rFonts w:ascii="宋体"/>
          <w:sz w:val="24"/>
          <w:szCs w:val="24"/>
        </w:rPr>
      </w:pPr>
      <w:r>
        <w:rPr>
          <w:rFonts w:hint="eastAsia" w:ascii="宋体"/>
          <w:sz w:val="24"/>
          <w:szCs w:val="24"/>
        </w:rPr>
        <w:t>4.3综合评分明细表</w:t>
      </w:r>
    </w:p>
    <w:p>
      <w:pPr>
        <w:widowControl/>
        <w:ind w:firstLine="480" w:firstLineChars="200"/>
        <w:jc w:val="left"/>
        <w:rPr>
          <w:rFonts w:ascii="宋体"/>
          <w:sz w:val="24"/>
        </w:rPr>
      </w:pPr>
      <w:r>
        <w:rPr>
          <w:rFonts w:hint="eastAsia" w:ascii="宋体"/>
          <w:sz w:val="24"/>
        </w:rPr>
        <w:t>4.3.</w:t>
      </w:r>
      <w:r>
        <w:rPr>
          <w:rFonts w:ascii="宋体"/>
          <w:sz w:val="24"/>
        </w:rPr>
        <w:t>1</w:t>
      </w:r>
      <w:r>
        <w:rPr>
          <w:rFonts w:hint="eastAsia" w:ascii="宋体"/>
          <w:sz w:val="24"/>
        </w:rPr>
        <w:t xml:space="preserve"> 综合评分明细表按须知表中的相关要求进行价格调整，再参与价格分评审。</w:t>
      </w:r>
      <w:bookmarkEnd w:id="168"/>
    </w:p>
    <w:p>
      <w:pPr>
        <w:pStyle w:val="17"/>
        <w:tabs>
          <w:tab w:val="left" w:pos="600"/>
        </w:tabs>
        <w:spacing w:line="400" w:lineRule="exact"/>
        <w:ind w:firstLine="480" w:firstLineChars="200"/>
        <w:rPr>
          <w:rFonts w:ascii="宋体"/>
          <w:sz w:val="24"/>
          <w:szCs w:val="24"/>
        </w:rPr>
      </w:pPr>
      <w:r>
        <w:rPr>
          <w:rFonts w:hint="eastAsia" w:ascii="宋体"/>
          <w:sz w:val="24"/>
          <w:szCs w:val="24"/>
        </w:rPr>
        <w:t>4.3.</w:t>
      </w:r>
      <w:r>
        <w:rPr>
          <w:rFonts w:ascii="宋体"/>
          <w:sz w:val="24"/>
          <w:szCs w:val="24"/>
        </w:rPr>
        <w:t>2</w:t>
      </w:r>
      <w:r>
        <w:rPr>
          <w:rFonts w:hint="eastAsia" w:ascii="宋体"/>
          <w:sz w:val="24"/>
          <w:szCs w:val="24"/>
        </w:rPr>
        <w:t>综合评分明细表</w:t>
      </w:r>
      <w:bookmarkStart w:id="177" w:name="PO_评分明细表格_1"/>
    </w:p>
    <w:tbl>
      <w:tblPr>
        <w:tblStyle w:val="40"/>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952"/>
        <w:gridCol w:w="1143"/>
        <w:gridCol w:w="5321"/>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80" w:lineRule="auto"/>
              <w:jc w:val="center"/>
              <w:rPr>
                <w:color w:val="000000" w:themeColor="text1"/>
              </w:rPr>
            </w:pPr>
            <w:r>
              <w:rPr>
                <w:rFonts w:hint="eastAsia"/>
                <w:color w:val="000000" w:themeColor="text1"/>
              </w:rPr>
              <w:t>序号</w:t>
            </w:r>
          </w:p>
        </w:tc>
        <w:tc>
          <w:tcPr>
            <w:tcW w:w="2095" w:type="dxa"/>
            <w:gridSpan w:val="2"/>
            <w:vAlign w:val="center"/>
          </w:tcPr>
          <w:p>
            <w:pPr>
              <w:spacing w:line="360" w:lineRule="auto"/>
              <w:jc w:val="center"/>
              <w:rPr>
                <w:color w:val="000000" w:themeColor="text1"/>
              </w:rPr>
            </w:pPr>
            <w:r>
              <w:rPr>
                <w:rFonts w:hint="eastAsia"/>
                <w:color w:val="000000" w:themeColor="text1"/>
              </w:rPr>
              <w:t>评 分 项 目</w:t>
            </w:r>
          </w:p>
        </w:tc>
        <w:tc>
          <w:tcPr>
            <w:tcW w:w="5321" w:type="dxa"/>
            <w:vAlign w:val="center"/>
          </w:tcPr>
          <w:p>
            <w:pPr>
              <w:spacing w:line="360" w:lineRule="auto"/>
              <w:jc w:val="center"/>
              <w:rPr>
                <w:color w:val="000000" w:themeColor="text1"/>
              </w:rPr>
            </w:pPr>
            <w:r>
              <w:rPr>
                <w:color w:val="000000" w:themeColor="text1"/>
              </w:rPr>
              <w:t>评分标准</w:t>
            </w:r>
          </w:p>
        </w:tc>
        <w:tc>
          <w:tcPr>
            <w:tcW w:w="1169" w:type="dxa"/>
            <w:vAlign w:val="center"/>
          </w:tcPr>
          <w:p>
            <w:pPr>
              <w:spacing w:line="360" w:lineRule="auto"/>
              <w:jc w:val="center"/>
              <w:rPr>
                <w:color w:val="000000" w:themeColor="text1"/>
              </w:rPr>
            </w:pPr>
            <w:r>
              <w:rPr>
                <w:color w:val="000000" w:themeColor="text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5" w:hRule="atLeast"/>
          <w:jc w:val="center"/>
        </w:trPr>
        <w:tc>
          <w:tcPr>
            <w:tcW w:w="703" w:type="dxa"/>
            <w:vAlign w:val="center"/>
          </w:tcPr>
          <w:p>
            <w:pPr>
              <w:spacing w:line="440" w:lineRule="exact"/>
              <w:jc w:val="center"/>
              <w:rPr>
                <w:color w:val="000000" w:themeColor="text1"/>
              </w:rPr>
            </w:pPr>
            <w:r>
              <w:rPr>
                <w:rFonts w:hint="eastAsia"/>
                <w:color w:val="000000" w:themeColor="text1"/>
              </w:rPr>
              <w:t>1</w:t>
            </w:r>
          </w:p>
        </w:tc>
        <w:tc>
          <w:tcPr>
            <w:tcW w:w="2095" w:type="dxa"/>
            <w:gridSpan w:val="2"/>
            <w:vAlign w:val="center"/>
          </w:tcPr>
          <w:p>
            <w:pPr>
              <w:spacing w:line="440" w:lineRule="exact"/>
              <w:rPr>
                <w:color w:val="000000" w:themeColor="text1"/>
              </w:rPr>
            </w:pPr>
            <w:r>
              <w:rPr>
                <w:rFonts w:hint="eastAsia"/>
                <w:color w:val="000000" w:themeColor="text1"/>
              </w:rPr>
              <w:t>报价得分(2</w:t>
            </w:r>
            <w:r>
              <w:rPr>
                <w:color w:val="000000" w:themeColor="text1"/>
              </w:rPr>
              <w:t>0</w:t>
            </w:r>
            <w:r>
              <w:rPr>
                <w:rFonts w:hint="eastAsia"/>
                <w:color w:val="000000" w:themeColor="text1"/>
              </w:rPr>
              <w:t>分)</w:t>
            </w:r>
          </w:p>
        </w:tc>
        <w:tc>
          <w:tcPr>
            <w:tcW w:w="5321" w:type="dxa"/>
            <w:vAlign w:val="center"/>
          </w:tcPr>
          <w:p>
            <w:pPr>
              <w:spacing w:line="440" w:lineRule="exact"/>
              <w:rPr>
                <w:rFonts w:hint="default" w:eastAsia="宋体"/>
                <w:color w:val="000000" w:themeColor="text1"/>
                <w:lang w:val="en-US" w:eastAsia="zh-CN"/>
              </w:rPr>
            </w:pPr>
            <w:r>
              <w:rPr>
                <w:rFonts w:hint="eastAsia"/>
                <w:color w:val="000000" w:themeColor="text1"/>
              </w:rPr>
              <w:t>完全响应</w:t>
            </w:r>
            <w:r>
              <w:rPr>
                <w:rFonts w:hint="eastAsia"/>
                <w:color w:val="000000" w:themeColor="text1"/>
                <w:lang w:val="en-US" w:eastAsia="zh-CN"/>
              </w:rPr>
              <w:t>第五章招标项目及</w:t>
            </w:r>
            <w:r>
              <w:rPr>
                <w:rFonts w:hint="eastAsia"/>
                <w:color w:val="000000" w:themeColor="text1"/>
              </w:rPr>
              <w:t>要求</w:t>
            </w:r>
            <w:r>
              <w:rPr>
                <w:rFonts w:hint="eastAsia"/>
                <w:color w:val="000000" w:themeColor="text1"/>
                <w:lang w:val="en-US" w:eastAsia="zh-CN"/>
              </w:rPr>
              <w:t>外包费用的相关要求。</w:t>
            </w:r>
          </w:p>
        </w:tc>
        <w:tc>
          <w:tcPr>
            <w:tcW w:w="1169" w:type="dxa"/>
            <w:vAlign w:val="center"/>
          </w:tcPr>
          <w:p>
            <w:pPr>
              <w:spacing w:line="440" w:lineRule="exact"/>
              <w:ind w:firstLine="210" w:firstLineChars="100"/>
              <w:rPr>
                <w:color w:val="000000" w:themeColor="text1"/>
              </w:rPr>
            </w:pPr>
            <w:r>
              <w:rPr>
                <w:rFonts w:hint="eastAsia"/>
                <w:color w:val="000000" w:themeColor="text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703" w:type="dxa"/>
            <w:vAlign w:val="center"/>
          </w:tcPr>
          <w:p>
            <w:pPr>
              <w:spacing w:line="440" w:lineRule="exact"/>
              <w:jc w:val="center"/>
              <w:rPr>
                <w:color w:val="000000" w:themeColor="text1"/>
              </w:rPr>
            </w:pPr>
            <w:r>
              <w:rPr>
                <w:rFonts w:hint="eastAsia"/>
                <w:color w:val="000000" w:themeColor="text1"/>
              </w:rPr>
              <w:t>3</w:t>
            </w:r>
          </w:p>
        </w:tc>
        <w:tc>
          <w:tcPr>
            <w:tcW w:w="952" w:type="dxa"/>
            <w:vAlign w:val="center"/>
          </w:tcPr>
          <w:p>
            <w:pPr>
              <w:pStyle w:val="20"/>
              <w:spacing w:beforeLines="5" w:afterLines="5"/>
              <w:jc w:val="center"/>
              <w:rPr>
                <w:rFonts w:hAnsi="宋体" w:cs="宋体"/>
                <w:color w:val="000000" w:themeColor="text1"/>
              </w:rPr>
            </w:pPr>
            <w:r>
              <w:rPr>
                <w:rFonts w:hint="eastAsia" w:hAnsi="宋体" w:cs="宋体"/>
                <w:color w:val="000000" w:themeColor="text1"/>
              </w:rPr>
              <w:t>业绩</w:t>
            </w:r>
          </w:p>
          <w:p>
            <w:pPr>
              <w:pStyle w:val="20"/>
              <w:spacing w:beforeLines="5" w:afterLines="5"/>
              <w:rPr>
                <w:color w:val="000000" w:themeColor="text1"/>
              </w:rPr>
            </w:pPr>
            <w:r>
              <w:rPr>
                <w:rFonts w:hint="eastAsia" w:hAnsi="宋体" w:cs="宋体"/>
                <w:color w:val="000000" w:themeColor="text1"/>
              </w:rPr>
              <w:t>（</w:t>
            </w:r>
            <w:r>
              <w:rPr>
                <w:rFonts w:hAnsi="宋体" w:cs="宋体"/>
                <w:color w:val="000000" w:themeColor="text1"/>
              </w:rPr>
              <w:t>20</w:t>
            </w:r>
            <w:r>
              <w:rPr>
                <w:rFonts w:hint="eastAsia" w:hAnsi="宋体" w:cs="宋体"/>
                <w:color w:val="000000" w:themeColor="text1"/>
              </w:rPr>
              <w:t>分）</w:t>
            </w:r>
          </w:p>
        </w:tc>
        <w:tc>
          <w:tcPr>
            <w:tcW w:w="1143" w:type="dxa"/>
            <w:vAlign w:val="center"/>
          </w:tcPr>
          <w:p>
            <w:pPr>
              <w:pStyle w:val="20"/>
              <w:spacing w:beforeLines="5" w:afterLines="5"/>
              <w:jc w:val="center"/>
              <w:rPr>
                <w:rFonts w:hAnsi="宋体" w:cs="宋体"/>
                <w:color w:val="000000" w:themeColor="text1"/>
              </w:rPr>
            </w:pPr>
            <w:r>
              <w:rPr>
                <w:rFonts w:hint="eastAsia" w:hAnsi="宋体" w:cs="宋体"/>
                <w:color w:val="000000" w:themeColor="text1"/>
              </w:rPr>
              <w:t>近三年（2016-2018年）同类经历</w:t>
            </w:r>
          </w:p>
          <w:p>
            <w:pPr>
              <w:pStyle w:val="20"/>
              <w:spacing w:beforeLines="5" w:afterLines="5"/>
              <w:jc w:val="center"/>
              <w:rPr>
                <w:color w:val="000000" w:themeColor="text1"/>
              </w:rPr>
            </w:pPr>
            <w:r>
              <w:rPr>
                <w:rFonts w:hint="eastAsia" w:hAnsi="宋体" w:cs="宋体"/>
                <w:color w:val="000000" w:themeColor="text1"/>
              </w:rPr>
              <w:t>（</w:t>
            </w:r>
            <w:r>
              <w:rPr>
                <w:rFonts w:hAnsi="宋体" w:cs="宋体"/>
                <w:color w:val="000000" w:themeColor="text1"/>
              </w:rPr>
              <w:t>20</w:t>
            </w:r>
            <w:r>
              <w:rPr>
                <w:rFonts w:hint="eastAsia" w:hAnsi="宋体" w:cs="宋体"/>
                <w:color w:val="000000" w:themeColor="text1"/>
              </w:rPr>
              <w:t>分）</w:t>
            </w:r>
          </w:p>
        </w:tc>
        <w:tc>
          <w:tcPr>
            <w:tcW w:w="5321" w:type="dxa"/>
            <w:vAlign w:val="center"/>
          </w:tcPr>
          <w:p>
            <w:pPr>
              <w:pStyle w:val="20"/>
              <w:spacing w:beforeLines="5" w:afterLines="5"/>
              <w:jc w:val="left"/>
              <w:rPr>
                <w:color w:val="000000" w:themeColor="text1"/>
              </w:rPr>
            </w:pPr>
            <w:r>
              <w:rPr>
                <w:rFonts w:hint="eastAsia" w:hAnsi="宋体" w:cs="宋体"/>
                <w:color w:val="000000" w:themeColor="text1"/>
              </w:rPr>
              <w:t>每提供一个类似业绩得4分，最多得20分。</w:t>
            </w:r>
          </w:p>
        </w:tc>
        <w:tc>
          <w:tcPr>
            <w:tcW w:w="1169" w:type="dxa"/>
            <w:vAlign w:val="center"/>
          </w:tcPr>
          <w:p>
            <w:pPr>
              <w:spacing w:line="440" w:lineRule="exact"/>
              <w:jc w:val="center"/>
              <w:rPr>
                <w:color w:val="000000" w:themeColor="text1"/>
              </w:rPr>
            </w:pPr>
            <w:r>
              <w:rPr>
                <w:color w:val="000000" w:themeColor="text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703" w:type="dxa"/>
            <w:vMerge w:val="restart"/>
            <w:vAlign w:val="center"/>
          </w:tcPr>
          <w:p>
            <w:pPr>
              <w:spacing w:line="440" w:lineRule="exact"/>
              <w:jc w:val="center"/>
              <w:rPr>
                <w:color w:val="000000" w:themeColor="text1"/>
              </w:rPr>
            </w:pPr>
            <w:r>
              <w:rPr>
                <w:rFonts w:hint="eastAsia"/>
                <w:color w:val="000000" w:themeColor="text1"/>
              </w:rPr>
              <w:t>2</w:t>
            </w:r>
          </w:p>
        </w:tc>
        <w:tc>
          <w:tcPr>
            <w:tcW w:w="952" w:type="dxa"/>
            <w:vMerge w:val="restart"/>
            <w:vAlign w:val="center"/>
          </w:tcPr>
          <w:p>
            <w:pPr>
              <w:spacing w:line="440" w:lineRule="exact"/>
              <w:rPr>
                <w:color w:val="000000" w:themeColor="text1"/>
              </w:rPr>
            </w:pPr>
            <w:r>
              <w:rPr>
                <w:rFonts w:hint="eastAsia"/>
                <w:color w:val="000000" w:themeColor="text1"/>
              </w:rPr>
              <w:t>人员配置（25分）</w:t>
            </w:r>
          </w:p>
        </w:tc>
        <w:tc>
          <w:tcPr>
            <w:tcW w:w="1143" w:type="dxa"/>
            <w:vMerge w:val="restart"/>
            <w:vAlign w:val="center"/>
          </w:tcPr>
          <w:p>
            <w:pPr>
              <w:spacing w:line="440" w:lineRule="exact"/>
              <w:rPr>
                <w:color w:val="000000" w:themeColor="text1"/>
              </w:rPr>
            </w:pPr>
            <w:r>
              <w:rPr>
                <w:rFonts w:hint="eastAsia"/>
                <w:color w:val="000000" w:themeColor="text1"/>
              </w:rPr>
              <w:t>人员配置（25</w:t>
            </w:r>
            <w:r>
              <w:rPr>
                <w:color w:val="000000" w:themeColor="text1"/>
              </w:rPr>
              <w:t>分</w:t>
            </w:r>
            <w:r>
              <w:rPr>
                <w:rFonts w:hint="eastAsia"/>
                <w:color w:val="000000" w:themeColor="text1"/>
              </w:rPr>
              <w:t>）</w:t>
            </w:r>
          </w:p>
        </w:tc>
        <w:tc>
          <w:tcPr>
            <w:tcW w:w="5321" w:type="dxa"/>
            <w:vAlign w:val="center"/>
          </w:tcPr>
          <w:p>
            <w:pPr>
              <w:spacing w:line="440" w:lineRule="exact"/>
              <w:rPr>
                <w:color w:val="000000" w:themeColor="text1"/>
              </w:rPr>
            </w:pPr>
            <w:r>
              <w:rPr>
                <w:rFonts w:hint="eastAsia"/>
                <w:color w:val="000000" w:themeColor="text1"/>
              </w:rPr>
              <w:t>拟投入本项目人员的职务类别、结构的合理性、从业年限等全面的得25分</w:t>
            </w:r>
          </w:p>
        </w:tc>
        <w:tc>
          <w:tcPr>
            <w:tcW w:w="1169" w:type="dxa"/>
            <w:vAlign w:val="center"/>
          </w:tcPr>
          <w:p>
            <w:pPr>
              <w:spacing w:line="440" w:lineRule="exact"/>
              <w:jc w:val="center"/>
              <w:rPr>
                <w:color w:val="000000" w:themeColor="text1"/>
              </w:rPr>
            </w:pPr>
            <w:r>
              <w:rPr>
                <w:rFonts w:hint="eastAsia"/>
                <w:color w:val="000000" w:themeColor="text1"/>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5" w:hRule="atLeast"/>
          <w:jc w:val="center"/>
        </w:trPr>
        <w:tc>
          <w:tcPr>
            <w:tcW w:w="703" w:type="dxa"/>
            <w:vMerge w:val="continue"/>
            <w:vAlign w:val="center"/>
          </w:tcPr>
          <w:p>
            <w:pPr>
              <w:spacing w:line="440" w:lineRule="exact"/>
              <w:jc w:val="center"/>
              <w:rPr>
                <w:color w:val="000000" w:themeColor="text1"/>
              </w:rPr>
            </w:pPr>
          </w:p>
        </w:tc>
        <w:tc>
          <w:tcPr>
            <w:tcW w:w="952" w:type="dxa"/>
            <w:vMerge w:val="continue"/>
            <w:vAlign w:val="center"/>
          </w:tcPr>
          <w:p>
            <w:pPr>
              <w:spacing w:line="440" w:lineRule="exact"/>
              <w:rPr>
                <w:color w:val="000000" w:themeColor="text1"/>
              </w:rPr>
            </w:pPr>
          </w:p>
        </w:tc>
        <w:tc>
          <w:tcPr>
            <w:tcW w:w="1143" w:type="dxa"/>
            <w:vMerge w:val="continue"/>
            <w:vAlign w:val="center"/>
          </w:tcPr>
          <w:p>
            <w:pPr>
              <w:spacing w:line="440" w:lineRule="exact"/>
              <w:rPr>
                <w:color w:val="000000" w:themeColor="text1"/>
              </w:rPr>
            </w:pPr>
          </w:p>
        </w:tc>
        <w:tc>
          <w:tcPr>
            <w:tcW w:w="5321" w:type="dxa"/>
            <w:vAlign w:val="center"/>
          </w:tcPr>
          <w:p>
            <w:pPr>
              <w:spacing w:line="440" w:lineRule="exact"/>
              <w:rPr>
                <w:color w:val="000000" w:themeColor="text1"/>
              </w:rPr>
            </w:pPr>
            <w:r>
              <w:rPr>
                <w:rFonts w:hint="eastAsia"/>
                <w:color w:val="000000" w:themeColor="text1"/>
              </w:rPr>
              <w:t>拟投入本项目评审人员的职务类别、结构的合理性、从业年限等一般的得18分</w:t>
            </w:r>
          </w:p>
        </w:tc>
        <w:tc>
          <w:tcPr>
            <w:tcW w:w="1169" w:type="dxa"/>
            <w:vAlign w:val="center"/>
          </w:tcPr>
          <w:p>
            <w:pPr>
              <w:spacing w:line="440" w:lineRule="exact"/>
              <w:jc w:val="center"/>
              <w:rPr>
                <w:color w:val="000000" w:themeColor="text1"/>
              </w:rPr>
            </w:pPr>
            <w:r>
              <w:rPr>
                <w:rFonts w:hint="eastAsia"/>
                <w:color w:val="000000" w:themeColor="text1"/>
              </w:rPr>
              <w:t>18分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7" w:hRule="atLeast"/>
          <w:jc w:val="center"/>
        </w:trPr>
        <w:tc>
          <w:tcPr>
            <w:tcW w:w="703" w:type="dxa"/>
            <w:vMerge w:val="continue"/>
            <w:vAlign w:val="center"/>
          </w:tcPr>
          <w:p>
            <w:pPr>
              <w:spacing w:line="440" w:lineRule="exact"/>
              <w:jc w:val="center"/>
              <w:rPr>
                <w:color w:val="000000" w:themeColor="text1"/>
              </w:rPr>
            </w:pPr>
          </w:p>
        </w:tc>
        <w:tc>
          <w:tcPr>
            <w:tcW w:w="952" w:type="dxa"/>
            <w:vMerge w:val="continue"/>
            <w:vAlign w:val="center"/>
          </w:tcPr>
          <w:p>
            <w:pPr>
              <w:spacing w:line="440" w:lineRule="exact"/>
              <w:rPr>
                <w:color w:val="000000" w:themeColor="text1"/>
              </w:rPr>
            </w:pPr>
          </w:p>
        </w:tc>
        <w:tc>
          <w:tcPr>
            <w:tcW w:w="1143" w:type="dxa"/>
            <w:vMerge w:val="continue"/>
            <w:vAlign w:val="center"/>
          </w:tcPr>
          <w:p>
            <w:pPr>
              <w:spacing w:line="440" w:lineRule="exact"/>
              <w:rPr>
                <w:color w:val="000000" w:themeColor="text1"/>
              </w:rPr>
            </w:pPr>
          </w:p>
        </w:tc>
        <w:tc>
          <w:tcPr>
            <w:tcW w:w="5321" w:type="dxa"/>
            <w:vAlign w:val="center"/>
          </w:tcPr>
          <w:p>
            <w:pPr>
              <w:spacing w:line="440" w:lineRule="exact"/>
              <w:rPr>
                <w:color w:val="000000" w:themeColor="text1"/>
              </w:rPr>
            </w:pPr>
            <w:r>
              <w:rPr>
                <w:rFonts w:hint="eastAsia"/>
                <w:color w:val="000000" w:themeColor="text1"/>
              </w:rPr>
              <w:t>拟投入本项目评审人员的职务类别、结构的合理性、从业年限等差的得6分</w:t>
            </w:r>
          </w:p>
        </w:tc>
        <w:tc>
          <w:tcPr>
            <w:tcW w:w="1169" w:type="dxa"/>
            <w:vAlign w:val="center"/>
          </w:tcPr>
          <w:p>
            <w:pPr>
              <w:spacing w:line="440" w:lineRule="exact"/>
              <w:jc w:val="center"/>
              <w:rPr>
                <w:color w:val="000000" w:themeColor="text1"/>
              </w:rPr>
            </w:pPr>
            <w:r>
              <w:rPr>
                <w:rFonts w:hint="eastAsia"/>
                <w:color w:val="000000" w:themeColor="text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jc w:val="center"/>
        </w:trPr>
        <w:tc>
          <w:tcPr>
            <w:tcW w:w="703" w:type="dxa"/>
            <w:vMerge w:val="restart"/>
            <w:vAlign w:val="center"/>
          </w:tcPr>
          <w:p>
            <w:pPr>
              <w:spacing w:line="4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4</w:t>
            </w:r>
          </w:p>
        </w:tc>
        <w:tc>
          <w:tcPr>
            <w:tcW w:w="952" w:type="dxa"/>
            <w:vMerge w:val="restart"/>
            <w:vAlign w:val="center"/>
          </w:tcPr>
          <w:p>
            <w:pPr>
              <w:ind w:left="71" w:leftChars="34"/>
              <w:rPr>
                <w:rFonts w:ascii="宋体" w:hAnsi="宋体" w:cs="宋体"/>
                <w:color w:val="000000" w:themeColor="text1"/>
                <w:kern w:val="0"/>
                <w:sz w:val="20"/>
                <w:szCs w:val="21"/>
              </w:rPr>
            </w:pPr>
            <w:r>
              <w:rPr>
                <w:rFonts w:hint="eastAsia" w:ascii="宋体" w:hAnsi="宋体" w:cs="宋体"/>
                <w:color w:val="000000" w:themeColor="text1"/>
                <w:kern w:val="0"/>
                <w:sz w:val="20"/>
                <w:szCs w:val="21"/>
              </w:rPr>
              <w:t>实施方案（25分）</w:t>
            </w:r>
          </w:p>
        </w:tc>
        <w:tc>
          <w:tcPr>
            <w:tcW w:w="1143" w:type="dxa"/>
            <w:vMerge w:val="restart"/>
            <w:vAlign w:val="center"/>
          </w:tcPr>
          <w:p>
            <w:pPr>
              <w:ind w:left="71" w:leftChars="34"/>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评审实施方案（25分）</w:t>
            </w:r>
          </w:p>
        </w:tc>
        <w:tc>
          <w:tcPr>
            <w:tcW w:w="5321" w:type="dxa"/>
            <w:vAlign w:val="center"/>
          </w:tcPr>
          <w:p>
            <w:pPr>
              <w:jc w:val="left"/>
              <w:rPr>
                <w:rFonts w:ascii="宋体" w:hAnsi="宋体" w:cs="宋体"/>
                <w:color w:val="000000" w:themeColor="text1"/>
                <w:kern w:val="0"/>
                <w:sz w:val="20"/>
                <w:szCs w:val="21"/>
              </w:rPr>
            </w:pPr>
            <w:r>
              <w:rPr>
                <w:rFonts w:hint="eastAsia" w:ascii="宋体" w:hAnsi="宋体" w:cs="宋体"/>
                <w:color w:val="000000" w:themeColor="text1"/>
                <w:kern w:val="0"/>
                <w:sz w:val="20"/>
                <w:szCs w:val="21"/>
              </w:rPr>
              <w:t>投标人提供本项目的评审实施方案，根据实施方案目标的明确性、内容的完整性、重点是否突出、措施的可操作性进行综合比较评分：</w:t>
            </w:r>
          </w:p>
          <w:p>
            <w:pPr>
              <w:jc w:val="left"/>
              <w:rPr>
                <w:rFonts w:ascii="宋体" w:hAnsi="宋体" w:cs="宋体"/>
                <w:color w:val="000000" w:themeColor="text1"/>
                <w:kern w:val="0"/>
                <w:sz w:val="20"/>
                <w:szCs w:val="21"/>
              </w:rPr>
            </w:pPr>
            <w:r>
              <w:rPr>
                <w:rFonts w:hint="eastAsia" w:ascii="宋体" w:hAnsi="宋体" w:cs="宋体"/>
                <w:color w:val="000000" w:themeColor="text1"/>
                <w:kern w:val="0"/>
                <w:sz w:val="20"/>
                <w:szCs w:val="21"/>
              </w:rPr>
              <w:t>1、实施方案目标明确、组织架构完整、人员安排合理、措施具体、方法得当、效率优化、风险防控能力强等得25分；</w:t>
            </w:r>
          </w:p>
        </w:tc>
        <w:tc>
          <w:tcPr>
            <w:tcW w:w="1169" w:type="dxa"/>
            <w:vAlign w:val="center"/>
          </w:tcPr>
          <w:p>
            <w:pPr>
              <w:spacing w:line="4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8" w:hRule="atLeast"/>
          <w:jc w:val="center"/>
        </w:trPr>
        <w:tc>
          <w:tcPr>
            <w:tcW w:w="703" w:type="dxa"/>
            <w:vMerge w:val="continue"/>
            <w:vAlign w:val="center"/>
          </w:tcPr>
          <w:p>
            <w:pPr>
              <w:spacing w:line="440" w:lineRule="exact"/>
              <w:jc w:val="center"/>
              <w:rPr>
                <w:rFonts w:ascii="宋体" w:hAnsi="宋体" w:cs="宋体"/>
                <w:color w:val="000000" w:themeColor="text1"/>
                <w:kern w:val="0"/>
                <w:sz w:val="20"/>
                <w:szCs w:val="21"/>
              </w:rPr>
            </w:pPr>
          </w:p>
        </w:tc>
        <w:tc>
          <w:tcPr>
            <w:tcW w:w="952" w:type="dxa"/>
            <w:vMerge w:val="continue"/>
            <w:vAlign w:val="center"/>
          </w:tcPr>
          <w:p>
            <w:pPr>
              <w:ind w:left="71" w:leftChars="34"/>
              <w:rPr>
                <w:rFonts w:ascii="宋体" w:hAnsi="宋体" w:cs="宋体"/>
                <w:color w:val="000000" w:themeColor="text1"/>
                <w:kern w:val="0"/>
                <w:sz w:val="20"/>
                <w:szCs w:val="21"/>
              </w:rPr>
            </w:pPr>
          </w:p>
        </w:tc>
        <w:tc>
          <w:tcPr>
            <w:tcW w:w="1143" w:type="dxa"/>
            <w:vMerge w:val="continue"/>
            <w:vAlign w:val="center"/>
          </w:tcPr>
          <w:p>
            <w:pPr>
              <w:ind w:left="71" w:leftChars="34"/>
              <w:jc w:val="center"/>
              <w:rPr>
                <w:rFonts w:ascii="宋体" w:hAnsi="宋体" w:cs="宋体"/>
                <w:color w:val="000000" w:themeColor="text1"/>
                <w:kern w:val="0"/>
                <w:sz w:val="20"/>
                <w:szCs w:val="21"/>
              </w:rPr>
            </w:pPr>
          </w:p>
        </w:tc>
        <w:tc>
          <w:tcPr>
            <w:tcW w:w="5321" w:type="dxa"/>
            <w:vAlign w:val="center"/>
          </w:tcPr>
          <w:p>
            <w:pPr>
              <w:jc w:val="left"/>
              <w:rPr>
                <w:rFonts w:ascii="宋体" w:hAnsi="宋体" w:cs="宋体"/>
                <w:color w:val="000000" w:themeColor="text1"/>
                <w:kern w:val="0"/>
                <w:sz w:val="20"/>
                <w:szCs w:val="21"/>
              </w:rPr>
            </w:pPr>
            <w:r>
              <w:rPr>
                <w:rFonts w:hint="eastAsia" w:ascii="宋体" w:hAnsi="宋体" w:cs="宋体"/>
                <w:color w:val="000000" w:themeColor="text1"/>
                <w:kern w:val="0"/>
                <w:sz w:val="20"/>
                <w:szCs w:val="21"/>
              </w:rPr>
              <w:t>2、实施方案较目标明确、组织架构较完整、人员安排较合理、措施较具体、方法较得当、效率较优化、风险防控能力较强得18分；</w:t>
            </w:r>
          </w:p>
        </w:tc>
        <w:tc>
          <w:tcPr>
            <w:tcW w:w="1169" w:type="dxa"/>
            <w:vAlign w:val="center"/>
          </w:tcPr>
          <w:p>
            <w:pPr>
              <w:spacing w:line="4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18分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3" w:hRule="atLeast"/>
          <w:jc w:val="center"/>
        </w:trPr>
        <w:tc>
          <w:tcPr>
            <w:tcW w:w="703" w:type="dxa"/>
            <w:vMerge w:val="continue"/>
            <w:vAlign w:val="center"/>
          </w:tcPr>
          <w:p>
            <w:pPr>
              <w:spacing w:line="440" w:lineRule="exact"/>
              <w:jc w:val="center"/>
              <w:rPr>
                <w:rFonts w:ascii="宋体" w:hAnsi="宋体" w:cs="宋体"/>
                <w:color w:val="000000" w:themeColor="text1"/>
                <w:kern w:val="0"/>
                <w:sz w:val="20"/>
                <w:szCs w:val="21"/>
              </w:rPr>
            </w:pPr>
          </w:p>
        </w:tc>
        <w:tc>
          <w:tcPr>
            <w:tcW w:w="952" w:type="dxa"/>
            <w:vMerge w:val="continue"/>
            <w:vAlign w:val="center"/>
          </w:tcPr>
          <w:p>
            <w:pPr>
              <w:ind w:left="71" w:leftChars="34"/>
              <w:rPr>
                <w:rFonts w:ascii="宋体" w:hAnsi="宋体" w:cs="宋体"/>
                <w:color w:val="000000" w:themeColor="text1"/>
                <w:kern w:val="0"/>
                <w:sz w:val="20"/>
                <w:szCs w:val="21"/>
              </w:rPr>
            </w:pPr>
          </w:p>
        </w:tc>
        <w:tc>
          <w:tcPr>
            <w:tcW w:w="1143" w:type="dxa"/>
            <w:vMerge w:val="continue"/>
            <w:vAlign w:val="center"/>
          </w:tcPr>
          <w:p>
            <w:pPr>
              <w:ind w:left="71" w:leftChars="34"/>
              <w:jc w:val="center"/>
              <w:rPr>
                <w:rFonts w:ascii="宋体" w:hAnsi="宋体" w:cs="宋体"/>
                <w:color w:val="000000" w:themeColor="text1"/>
                <w:kern w:val="0"/>
                <w:sz w:val="20"/>
                <w:szCs w:val="21"/>
              </w:rPr>
            </w:pPr>
          </w:p>
        </w:tc>
        <w:tc>
          <w:tcPr>
            <w:tcW w:w="5321" w:type="dxa"/>
            <w:vAlign w:val="center"/>
          </w:tcPr>
          <w:p>
            <w:pPr>
              <w:jc w:val="left"/>
              <w:rPr>
                <w:rFonts w:ascii="宋体" w:hAnsi="宋体" w:cs="宋体"/>
                <w:color w:val="000000" w:themeColor="text1"/>
                <w:kern w:val="0"/>
                <w:sz w:val="20"/>
                <w:szCs w:val="21"/>
              </w:rPr>
            </w:pPr>
            <w:r>
              <w:rPr>
                <w:rFonts w:hint="eastAsia" w:ascii="宋体" w:hAnsi="宋体" w:cs="宋体"/>
                <w:color w:val="000000" w:themeColor="text1"/>
                <w:kern w:val="0"/>
                <w:sz w:val="20"/>
                <w:szCs w:val="21"/>
              </w:rPr>
              <w:t>3、实施方案目标明确、组织架构完整性一般、人员安排合理性一般、措施具体性一般得6分。</w:t>
            </w:r>
          </w:p>
        </w:tc>
        <w:tc>
          <w:tcPr>
            <w:tcW w:w="1169" w:type="dxa"/>
            <w:vAlign w:val="center"/>
          </w:tcPr>
          <w:p>
            <w:pPr>
              <w:spacing w:line="4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jc w:val="center"/>
        </w:trPr>
        <w:tc>
          <w:tcPr>
            <w:tcW w:w="703" w:type="dxa"/>
            <w:vMerge w:val="continue"/>
            <w:vAlign w:val="center"/>
          </w:tcPr>
          <w:p>
            <w:pPr>
              <w:spacing w:line="440" w:lineRule="exact"/>
              <w:jc w:val="center"/>
              <w:rPr>
                <w:rFonts w:ascii="宋体" w:hAnsi="宋体" w:cs="宋体"/>
                <w:color w:val="000000" w:themeColor="text1"/>
                <w:kern w:val="0"/>
                <w:sz w:val="20"/>
                <w:szCs w:val="21"/>
              </w:rPr>
            </w:pPr>
          </w:p>
        </w:tc>
        <w:tc>
          <w:tcPr>
            <w:tcW w:w="952" w:type="dxa"/>
            <w:vMerge w:val="continue"/>
            <w:vAlign w:val="center"/>
          </w:tcPr>
          <w:p>
            <w:pPr>
              <w:ind w:left="71" w:leftChars="34"/>
              <w:rPr>
                <w:rFonts w:ascii="宋体" w:hAnsi="宋体" w:cs="宋体"/>
                <w:color w:val="000000" w:themeColor="text1"/>
                <w:kern w:val="0"/>
                <w:sz w:val="20"/>
                <w:szCs w:val="21"/>
              </w:rPr>
            </w:pPr>
          </w:p>
        </w:tc>
        <w:tc>
          <w:tcPr>
            <w:tcW w:w="1143" w:type="dxa"/>
            <w:vMerge w:val="continue"/>
            <w:vAlign w:val="center"/>
          </w:tcPr>
          <w:p>
            <w:pPr>
              <w:ind w:left="71" w:leftChars="34"/>
              <w:jc w:val="center"/>
              <w:rPr>
                <w:rFonts w:ascii="宋体" w:hAnsi="宋体" w:cs="宋体"/>
                <w:color w:val="000000" w:themeColor="text1"/>
                <w:kern w:val="0"/>
                <w:sz w:val="20"/>
                <w:szCs w:val="21"/>
              </w:rPr>
            </w:pPr>
          </w:p>
        </w:tc>
        <w:tc>
          <w:tcPr>
            <w:tcW w:w="5321" w:type="dxa"/>
            <w:vAlign w:val="center"/>
          </w:tcPr>
          <w:p>
            <w:pPr>
              <w:jc w:val="left"/>
              <w:rPr>
                <w:rFonts w:ascii="宋体" w:hAnsi="宋体" w:cs="宋体"/>
                <w:color w:val="000000" w:themeColor="text1"/>
                <w:kern w:val="0"/>
                <w:sz w:val="20"/>
                <w:szCs w:val="21"/>
              </w:rPr>
            </w:pPr>
            <w:r>
              <w:rPr>
                <w:rFonts w:hint="eastAsia" w:ascii="宋体" w:hAnsi="宋体" w:cs="宋体"/>
                <w:color w:val="000000" w:themeColor="text1"/>
                <w:kern w:val="0"/>
                <w:sz w:val="20"/>
                <w:szCs w:val="21"/>
              </w:rPr>
              <w:t>4、无不得分。</w:t>
            </w:r>
          </w:p>
        </w:tc>
        <w:tc>
          <w:tcPr>
            <w:tcW w:w="1169" w:type="dxa"/>
            <w:vAlign w:val="center"/>
          </w:tcPr>
          <w:p>
            <w:pPr>
              <w:spacing w:line="4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703" w:type="dxa"/>
            <w:vAlign w:val="center"/>
          </w:tcPr>
          <w:p>
            <w:pPr>
              <w:spacing w:line="4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5</w:t>
            </w:r>
          </w:p>
        </w:tc>
        <w:tc>
          <w:tcPr>
            <w:tcW w:w="2095" w:type="dxa"/>
            <w:gridSpan w:val="2"/>
            <w:vAlign w:val="center"/>
          </w:tcPr>
          <w:p>
            <w:pPr>
              <w:spacing w:line="3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投标制作规范（10分）</w:t>
            </w:r>
          </w:p>
        </w:tc>
        <w:tc>
          <w:tcPr>
            <w:tcW w:w="5321" w:type="dxa"/>
            <w:vAlign w:val="center"/>
          </w:tcPr>
          <w:p>
            <w:pPr>
              <w:spacing w:line="340" w:lineRule="exact"/>
              <w:jc w:val="left"/>
              <w:rPr>
                <w:rFonts w:ascii="宋体" w:hAnsi="宋体" w:cs="宋体"/>
                <w:color w:val="000000" w:themeColor="text1"/>
                <w:kern w:val="0"/>
                <w:sz w:val="20"/>
                <w:szCs w:val="21"/>
              </w:rPr>
            </w:pPr>
            <w:r>
              <w:rPr>
                <w:rFonts w:hint="eastAsia" w:ascii="宋体" w:hAnsi="宋体" w:cs="宋体"/>
                <w:color w:val="000000" w:themeColor="text1"/>
                <w:kern w:val="0"/>
                <w:sz w:val="20"/>
                <w:szCs w:val="21"/>
              </w:rPr>
              <w:t>投标文件制作规范，没有细微偏差情形的得10分；有一项细微偏差扣2分，直至该项分值扣完为止</w:t>
            </w:r>
          </w:p>
        </w:tc>
        <w:tc>
          <w:tcPr>
            <w:tcW w:w="1169" w:type="dxa"/>
            <w:vAlign w:val="center"/>
          </w:tcPr>
          <w:p>
            <w:pPr>
              <w:spacing w:line="340" w:lineRule="exact"/>
              <w:jc w:val="center"/>
              <w:rPr>
                <w:rFonts w:ascii="宋体" w:hAnsi="宋体" w:cs="宋体"/>
                <w:color w:val="000000" w:themeColor="text1"/>
                <w:kern w:val="0"/>
                <w:sz w:val="20"/>
                <w:szCs w:val="21"/>
              </w:rPr>
            </w:pPr>
            <w:r>
              <w:rPr>
                <w:rFonts w:hint="eastAsia" w:ascii="宋体" w:hAnsi="宋体" w:cs="宋体"/>
                <w:color w:val="000000" w:themeColor="text1"/>
                <w:kern w:val="0"/>
                <w:sz w:val="20"/>
                <w:szCs w:val="21"/>
              </w:rPr>
              <w:t>10分</w:t>
            </w:r>
          </w:p>
        </w:tc>
      </w:tr>
    </w:tbl>
    <w:p>
      <w:pPr>
        <w:pStyle w:val="17"/>
        <w:tabs>
          <w:tab w:val="left" w:pos="600"/>
        </w:tabs>
        <w:spacing w:line="400" w:lineRule="exact"/>
        <w:ind w:firstLine="480" w:firstLineChars="200"/>
        <w:rPr>
          <w:rFonts w:ascii="宋体"/>
          <w:sz w:val="24"/>
          <w:szCs w:val="24"/>
        </w:rPr>
      </w:pPr>
    </w:p>
    <w:p>
      <w:pPr>
        <w:ind w:firstLine="360" w:firstLineChars="150"/>
        <w:rPr>
          <w:sz w:val="24"/>
        </w:rPr>
      </w:pPr>
      <w:r>
        <w:rPr>
          <w:sz w:val="24"/>
        </w:rPr>
        <w:t xml:space="preserve"> </w:t>
      </w:r>
      <w:bookmarkEnd w:id="177"/>
      <w:r>
        <w:rPr>
          <w:rFonts w:hint="eastAsia"/>
          <w:sz w:val="24"/>
        </w:rPr>
        <w:t>注： 评分的取值按四舍五入法，保留小数点后两位。</w:t>
      </w:r>
    </w:p>
    <w:p>
      <w:pPr>
        <w:pStyle w:val="15"/>
        <w:ind w:firstLine="420" w:firstLineChars="175"/>
        <w:rPr>
          <w:sz w:val="24"/>
        </w:rPr>
      </w:pPr>
      <w:bookmarkStart w:id="178" w:name="_Toc217446059"/>
      <w:bookmarkStart w:id="179" w:name="PO_默认文件内容_36"/>
      <w:r>
        <w:rPr>
          <w:rFonts w:hint="eastAsia" w:ascii="宋体"/>
          <w:sz w:val="24"/>
        </w:rPr>
        <w:t>4.3.</w:t>
      </w:r>
      <w:r>
        <w:rPr>
          <w:sz w:val="24"/>
        </w:rPr>
        <w:t>3</w:t>
      </w:r>
      <w:r>
        <w:rPr>
          <w:rFonts w:hint="eastAsia"/>
          <w:sz w:val="24"/>
        </w:rPr>
        <w:t xml:space="preserve"> 本次综合评分法由评标委员会各成员独立对通过初审（资格检查和符合性检查）的投标人的投标文件进行评审和打分，    </w:t>
      </w:r>
    </w:p>
    <w:bookmarkEnd w:id="178"/>
    <w:p>
      <w:pPr>
        <w:pStyle w:val="4"/>
        <w:spacing w:line="400" w:lineRule="exact"/>
        <w:ind w:firstLine="472" w:firstLineChars="196"/>
        <w:rPr>
          <w:rFonts w:ascii="黑体"/>
          <w:sz w:val="24"/>
          <w:szCs w:val="24"/>
        </w:rPr>
      </w:pPr>
      <w:bookmarkStart w:id="180" w:name="_Toc217446060"/>
      <w:r>
        <w:rPr>
          <w:rFonts w:hint="eastAsia" w:ascii="黑体"/>
          <w:sz w:val="24"/>
          <w:szCs w:val="24"/>
        </w:rPr>
        <w:t>5、 废 标</w:t>
      </w:r>
    </w:p>
    <w:p>
      <w:pPr>
        <w:spacing w:line="400" w:lineRule="exact"/>
        <w:ind w:firstLine="480" w:firstLineChars="200"/>
        <w:rPr>
          <w:rFonts w:ascii="宋体"/>
          <w:sz w:val="24"/>
        </w:rPr>
      </w:pPr>
      <w:r>
        <w:rPr>
          <w:rFonts w:hint="eastAsia" w:ascii="宋体"/>
          <w:sz w:val="24"/>
        </w:rPr>
        <w:t>5.1本次政府采购活动中，出现下列情形之一的，予以废标：</w:t>
      </w:r>
    </w:p>
    <w:p>
      <w:pPr>
        <w:spacing w:line="400" w:lineRule="exact"/>
        <w:ind w:firstLine="480" w:firstLineChars="200"/>
        <w:rPr>
          <w:rFonts w:ascii="宋体"/>
          <w:sz w:val="24"/>
        </w:rPr>
      </w:pPr>
      <w:r>
        <w:rPr>
          <w:rFonts w:hint="eastAsia" w:ascii="宋体"/>
          <w:sz w:val="24"/>
        </w:rPr>
        <w:t>（1）符合专业条件的供应商或者对招标文件作实质响应的供应商不足三家的；</w:t>
      </w:r>
    </w:p>
    <w:p>
      <w:pPr>
        <w:spacing w:line="400" w:lineRule="exact"/>
        <w:ind w:firstLine="480" w:firstLineChars="200"/>
        <w:rPr>
          <w:rFonts w:ascii="宋体"/>
          <w:sz w:val="24"/>
        </w:rPr>
      </w:pPr>
      <w:r>
        <w:rPr>
          <w:rFonts w:hint="eastAsia" w:ascii="宋体"/>
          <w:sz w:val="24"/>
        </w:rPr>
        <w:t>（2）出现影响采购公正的违法、违规行为的；</w:t>
      </w:r>
    </w:p>
    <w:p>
      <w:pPr>
        <w:spacing w:line="400" w:lineRule="exact"/>
        <w:ind w:firstLine="480" w:firstLineChars="200"/>
        <w:rPr>
          <w:rFonts w:ascii="宋体"/>
          <w:sz w:val="24"/>
        </w:rPr>
      </w:pPr>
      <w:r>
        <w:rPr>
          <w:rFonts w:hint="eastAsia" w:ascii="宋体"/>
          <w:sz w:val="24"/>
        </w:rPr>
        <w:t>（3）投标人的报价均超过了采购预算，采购人不能支付的；</w:t>
      </w:r>
    </w:p>
    <w:p>
      <w:pPr>
        <w:spacing w:line="400" w:lineRule="exact"/>
        <w:ind w:firstLine="480" w:firstLineChars="200"/>
        <w:rPr>
          <w:rFonts w:ascii="宋体"/>
          <w:sz w:val="24"/>
        </w:rPr>
      </w:pPr>
      <w:r>
        <w:rPr>
          <w:rFonts w:hint="eastAsia" w:ascii="宋体"/>
          <w:sz w:val="24"/>
        </w:rPr>
        <w:t>（4）因重大变故，采购任务取消的。</w:t>
      </w:r>
    </w:p>
    <w:p>
      <w:pPr>
        <w:spacing w:line="400" w:lineRule="exact"/>
        <w:ind w:firstLine="480" w:firstLineChars="200"/>
        <w:rPr>
          <w:rFonts w:ascii="宋体"/>
          <w:sz w:val="24"/>
        </w:rPr>
      </w:pPr>
      <w:r>
        <w:rPr>
          <w:rFonts w:hint="eastAsia" w:ascii="宋体"/>
          <w:sz w:val="24"/>
        </w:rPr>
        <w:t>废标后，采购代理机构应在中国采购与招标网上公告，并公告废标的情形。投标人需要知晓导致废标情形的具体原因和理由的，可以通过书面形式询问招标采购单位。</w:t>
      </w:r>
    </w:p>
    <w:p>
      <w:pPr>
        <w:spacing w:line="400" w:lineRule="exact"/>
        <w:ind w:firstLine="480" w:firstLineChars="200"/>
        <w:rPr>
          <w:rFonts w:ascii="宋体"/>
          <w:sz w:val="24"/>
        </w:rPr>
      </w:pPr>
      <w:r>
        <w:rPr>
          <w:rFonts w:hint="eastAsia" w:ascii="宋体"/>
          <w:sz w:val="24"/>
        </w:rPr>
        <w:t>5.2对于评标过程中废标的采购项目，评标委员会应当对招标文件是否存在倾向性和歧视性、是否存在不合理条款进行论证，并出具书面论证意见。</w:t>
      </w:r>
    </w:p>
    <w:p>
      <w:pPr>
        <w:pStyle w:val="4"/>
        <w:spacing w:line="400" w:lineRule="exact"/>
        <w:ind w:firstLine="472" w:firstLineChars="196"/>
        <w:rPr>
          <w:rFonts w:ascii="黑体"/>
          <w:sz w:val="24"/>
          <w:szCs w:val="24"/>
        </w:rPr>
      </w:pPr>
      <w:r>
        <w:rPr>
          <w:rFonts w:hint="eastAsia" w:ascii="黑体"/>
          <w:sz w:val="24"/>
          <w:szCs w:val="24"/>
        </w:rPr>
        <w:t>6、定标</w:t>
      </w:r>
      <w:bookmarkEnd w:id="180"/>
      <w:bookmarkStart w:id="181" w:name="_Toc217446061"/>
    </w:p>
    <w:p>
      <w:pPr>
        <w:spacing w:line="400" w:lineRule="exact"/>
        <w:ind w:firstLine="480" w:firstLineChars="200"/>
        <w:rPr>
          <w:rFonts w:ascii="宋体"/>
          <w:sz w:val="24"/>
        </w:rPr>
      </w:pPr>
      <w:r>
        <w:rPr>
          <w:rFonts w:hint="eastAsia" w:ascii="宋体"/>
          <w:sz w:val="24"/>
        </w:rPr>
        <w:t>6.1. 定标原则</w:t>
      </w:r>
      <w:bookmarkEnd w:id="181"/>
      <w:r>
        <w:rPr>
          <w:rFonts w:hint="eastAsia" w:ascii="宋体"/>
          <w:sz w:val="24"/>
        </w:rPr>
        <w:t>：本项目根据评标委员会推荐的中标候选供应商名单，按顺序确定中标供应商。</w:t>
      </w:r>
    </w:p>
    <w:p>
      <w:pPr>
        <w:spacing w:line="400" w:lineRule="exact"/>
        <w:ind w:firstLine="480" w:firstLineChars="200"/>
        <w:rPr>
          <w:rFonts w:ascii="宋体"/>
          <w:sz w:val="24"/>
        </w:rPr>
      </w:pPr>
      <w:bookmarkStart w:id="182" w:name="_Toc217446062"/>
      <w:r>
        <w:rPr>
          <w:rFonts w:hint="eastAsia" w:ascii="宋体"/>
          <w:sz w:val="24"/>
        </w:rPr>
        <w:t>6.2. 定标程序</w:t>
      </w:r>
      <w:bookmarkEnd w:id="182"/>
    </w:p>
    <w:p>
      <w:pPr>
        <w:spacing w:line="400" w:lineRule="exact"/>
        <w:ind w:firstLine="480" w:firstLineChars="200"/>
        <w:rPr>
          <w:rFonts w:ascii="宋体"/>
          <w:sz w:val="24"/>
        </w:rPr>
      </w:pPr>
      <w:r>
        <w:rPr>
          <w:rFonts w:hint="eastAsia" w:ascii="宋体"/>
          <w:sz w:val="24"/>
        </w:rPr>
        <w:t>6.2.1 评标委员会将评标情况写出书面报告，推荐中标候选供应商。</w:t>
      </w:r>
    </w:p>
    <w:p>
      <w:pPr>
        <w:spacing w:line="400" w:lineRule="exact"/>
        <w:ind w:firstLine="480" w:firstLineChars="200"/>
        <w:rPr>
          <w:rFonts w:ascii="宋体"/>
          <w:sz w:val="24"/>
        </w:rPr>
      </w:pPr>
      <w:r>
        <w:rPr>
          <w:rFonts w:hint="eastAsia" w:ascii="宋体"/>
          <w:sz w:val="24"/>
        </w:rPr>
        <w:t>6.2.2 采购代理机构在评标结束后2个工作日内将评标报告送采购人。</w:t>
      </w:r>
    </w:p>
    <w:p>
      <w:pPr>
        <w:spacing w:line="400" w:lineRule="exact"/>
        <w:ind w:firstLine="480" w:firstLineChars="200"/>
        <w:rPr>
          <w:rFonts w:ascii="宋体"/>
          <w:sz w:val="24"/>
        </w:rPr>
      </w:pPr>
      <w:r>
        <w:rPr>
          <w:rFonts w:hint="eastAsia" w:ascii="宋体"/>
          <w:sz w:val="24"/>
        </w:rPr>
        <w:t>6.2.3 采购人在收到评标报告后5个工作日内，按照评标报告中推荐的中标候选供应商顺序确定中标供应商。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采用综合评分法的，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并列的由采购人自主采取随机抽取的方式选择中标供应商。</w:t>
      </w:r>
    </w:p>
    <w:p>
      <w:pPr>
        <w:spacing w:line="400" w:lineRule="exact"/>
        <w:ind w:firstLine="480" w:firstLineChars="200"/>
        <w:rPr>
          <w:rFonts w:ascii="宋体"/>
          <w:b/>
          <w:color w:val="0000FF"/>
          <w:sz w:val="24"/>
        </w:rPr>
      </w:pPr>
      <w:r>
        <w:rPr>
          <w:rFonts w:hint="eastAsia" w:ascii="宋体"/>
          <w:sz w:val="24"/>
        </w:rPr>
        <w:t>注意，采购人按照推荐的中标候选供应商排名顺序确定入库中标供应商。</w:t>
      </w:r>
    </w:p>
    <w:p>
      <w:pPr>
        <w:spacing w:line="400" w:lineRule="exact"/>
        <w:ind w:firstLine="480" w:firstLineChars="200"/>
        <w:rPr>
          <w:rFonts w:ascii="宋体"/>
          <w:sz w:val="24"/>
        </w:rPr>
      </w:pPr>
      <w:r>
        <w:rPr>
          <w:rFonts w:hint="eastAsia" w:ascii="宋体"/>
          <w:sz w:val="24"/>
        </w:rPr>
        <w:t>6.2.4 根据采购人确定的中标供应商，采购代理机构在中国采购与招标网上发布中标公告，并自采购人确定中标之日起2个工作日内向中标供应商发出中标通知书。</w:t>
      </w:r>
    </w:p>
    <w:p>
      <w:pPr>
        <w:spacing w:line="400" w:lineRule="exact"/>
        <w:ind w:firstLine="480" w:firstLineChars="200"/>
        <w:rPr>
          <w:rFonts w:ascii="宋体"/>
          <w:sz w:val="24"/>
        </w:rPr>
      </w:pPr>
      <w:r>
        <w:rPr>
          <w:rFonts w:hint="eastAsia" w:ascii="宋体"/>
          <w:sz w:val="24"/>
        </w:rPr>
        <w:t>6.2.5 招标采购单位不退回投标人投标文件和其他投标资料。</w:t>
      </w:r>
    </w:p>
    <w:bookmarkEnd w:id="176"/>
    <w:p>
      <w:pPr>
        <w:pStyle w:val="4"/>
        <w:spacing w:line="400" w:lineRule="exact"/>
        <w:ind w:firstLine="482" w:firstLineChars="200"/>
        <w:rPr>
          <w:rFonts w:ascii="黑体"/>
          <w:bCs w:val="0"/>
          <w:sz w:val="24"/>
          <w:szCs w:val="24"/>
        </w:rPr>
      </w:pPr>
      <w:bookmarkStart w:id="183" w:name="_Toc183582297"/>
      <w:bookmarkStart w:id="184" w:name="_Toc217446105"/>
      <w:bookmarkStart w:id="185" w:name="_Toc183682432"/>
      <w:bookmarkStart w:id="186" w:name="_Toc208849022"/>
      <w:r>
        <w:rPr>
          <w:rFonts w:hint="eastAsia" w:ascii="黑体"/>
          <w:bCs w:val="0"/>
          <w:sz w:val="24"/>
          <w:szCs w:val="24"/>
        </w:rPr>
        <w:t xml:space="preserve">7. </w:t>
      </w:r>
      <w:bookmarkEnd w:id="183"/>
      <w:bookmarkEnd w:id="184"/>
      <w:bookmarkEnd w:id="185"/>
      <w:bookmarkEnd w:id="186"/>
      <w:r>
        <w:rPr>
          <w:rFonts w:hint="eastAsia" w:ascii="黑体"/>
          <w:sz w:val="24"/>
          <w:szCs w:val="24"/>
        </w:rPr>
        <w:t>评标专家在</w:t>
      </w:r>
      <w:r>
        <w:rPr>
          <w:rFonts w:hint="eastAsia" w:ascii="黑体"/>
          <w:sz w:val="24"/>
        </w:rPr>
        <w:t>政府采购活动</w:t>
      </w:r>
      <w:r>
        <w:rPr>
          <w:rFonts w:hint="eastAsia" w:ascii="黑体"/>
          <w:sz w:val="24"/>
          <w:szCs w:val="24"/>
        </w:rPr>
        <w:t>中承担以下义务：</w:t>
      </w:r>
    </w:p>
    <w:p>
      <w:pPr>
        <w:spacing w:line="400" w:lineRule="exact"/>
        <w:ind w:firstLine="480" w:firstLineChars="200"/>
        <w:rPr>
          <w:rFonts w:ascii="宋体"/>
          <w:sz w:val="24"/>
        </w:rPr>
      </w:pPr>
      <w:r>
        <w:rPr>
          <w:rFonts w:hint="eastAsia" w:ascii="宋体"/>
          <w:sz w:val="24"/>
        </w:rPr>
        <w:t xml:space="preserve">（一）遵守评审工作纪律； </w:t>
      </w:r>
    </w:p>
    <w:p>
      <w:pPr>
        <w:spacing w:line="400" w:lineRule="exact"/>
        <w:ind w:firstLine="480" w:firstLineChars="200"/>
        <w:rPr>
          <w:rFonts w:ascii="宋体"/>
          <w:sz w:val="24"/>
        </w:rPr>
      </w:pPr>
      <w:r>
        <w:rPr>
          <w:rFonts w:hint="eastAsia" w:ascii="宋体"/>
          <w:sz w:val="24"/>
        </w:rPr>
        <w:t>（二）按照客观、公正、审慎的原则，根据采购文件规定的评审程序、评审方法和评审标准进行独立评审；</w:t>
      </w:r>
    </w:p>
    <w:p>
      <w:pPr>
        <w:spacing w:line="400" w:lineRule="exact"/>
        <w:ind w:firstLine="480" w:firstLineChars="200"/>
        <w:rPr>
          <w:rFonts w:ascii="宋体"/>
          <w:sz w:val="24"/>
        </w:rPr>
      </w:pPr>
      <w:r>
        <w:rPr>
          <w:rFonts w:hint="eastAsia" w:ascii="宋体"/>
          <w:sz w:val="24"/>
        </w:rPr>
        <w:t>（三）不得泄露评审文件、评审情况和在评审过程中获悉的商业秘密；</w:t>
      </w:r>
    </w:p>
    <w:p>
      <w:pPr>
        <w:spacing w:line="400" w:lineRule="exact"/>
        <w:ind w:firstLine="480" w:firstLineChars="200"/>
        <w:rPr>
          <w:rFonts w:ascii="宋体"/>
          <w:sz w:val="24"/>
        </w:rPr>
      </w:pPr>
      <w:r>
        <w:rPr>
          <w:rFonts w:hint="eastAsia" w:ascii="宋体"/>
          <w:sz w:val="24"/>
        </w:rPr>
        <w:t>（四）及时向监督部门报告评审过程中采购组织单位向评审专家做倾向性、误导性的解释或者说明，供应商行贿、提供虚假材料或者串通、受到的非法干预情况等违法违规行为；</w:t>
      </w:r>
    </w:p>
    <w:p>
      <w:pPr>
        <w:spacing w:line="400" w:lineRule="exact"/>
        <w:ind w:firstLine="480" w:firstLineChars="200"/>
        <w:rPr>
          <w:rFonts w:ascii="宋体"/>
          <w:sz w:val="24"/>
        </w:rPr>
      </w:pPr>
      <w:r>
        <w:rPr>
          <w:rFonts w:hint="eastAsia" w:ascii="宋体"/>
          <w:sz w:val="24"/>
        </w:rPr>
        <w:t>（五）发现采购文件内容违反国家有关强制性规定或者存在歧义、重大缺陷导致评审工作无法进行时，停止评审并向采购组织单位书面说明情况；</w:t>
      </w:r>
    </w:p>
    <w:p>
      <w:pPr>
        <w:spacing w:line="400" w:lineRule="exact"/>
        <w:ind w:firstLine="480" w:firstLineChars="200"/>
        <w:rPr>
          <w:rFonts w:ascii="宋体"/>
          <w:sz w:val="24"/>
        </w:rPr>
      </w:pPr>
      <w:r>
        <w:rPr>
          <w:rFonts w:hint="eastAsia" w:ascii="宋体"/>
          <w:sz w:val="24"/>
        </w:rPr>
        <w:t>（六）配合答复处理供应商的询问、质疑和投诉等事项；</w:t>
      </w:r>
    </w:p>
    <w:p>
      <w:pPr>
        <w:spacing w:line="400" w:lineRule="exact"/>
        <w:ind w:firstLine="480" w:firstLineChars="200"/>
        <w:rPr>
          <w:rFonts w:ascii="宋体"/>
          <w:sz w:val="24"/>
        </w:rPr>
      </w:pPr>
      <w:r>
        <w:rPr>
          <w:rFonts w:hint="eastAsia" w:ascii="宋体"/>
          <w:sz w:val="24"/>
        </w:rPr>
        <w:t>（七）法律、法规和规章规定的其他义务。</w:t>
      </w:r>
    </w:p>
    <w:p>
      <w:pPr>
        <w:pStyle w:val="4"/>
        <w:spacing w:line="400" w:lineRule="exact"/>
        <w:ind w:firstLine="482" w:firstLineChars="200"/>
        <w:rPr>
          <w:rFonts w:ascii="黑体"/>
          <w:bCs w:val="0"/>
          <w:sz w:val="24"/>
          <w:szCs w:val="24"/>
        </w:rPr>
      </w:pPr>
      <w:r>
        <w:rPr>
          <w:rFonts w:hint="eastAsia" w:ascii="黑体"/>
          <w:bCs w:val="0"/>
          <w:sz w:val="24"/>
          <w:szCs w:val="24"/>
        </w:rPr>
        <w:t>8.评标专家在政府采购活动中应当遵守以下工作纪律：</w:t>
      </w:r>
    </w:p>
    <w:p>
      <w:pPr>
        <w:spacing w:line="400" w:lineRule="exact"/>
        <w:ind w:firstLine="480" w:firstLineChars="200"/>
        <w:rPr>
          <w:rFonts w:ascii="宋体"/>
          <w:sz w:val="24"/>
        </w:rPr>
      </w:pPr>
      <w:r>
        <w:rPr>
          <w:rFonts w:hint="eastAsia" w:ascii="宋体"/>
          <w:sz w:val="24"/>
        </w:rPr>
        <w:t>（一）遵行《政府采购法》第十二条和《政府采购法实施条例》第九条及财政部关于回避的规定。</w:t>
      </w:r>
    </w:p>
    <w:p>
      <w:pPr>
        <w:spacing w:line="400" w:lineRule="exact"/>
        <w:ind w:firstLine="480" w:firstLineChars="200"/>
        <w:rPr>
          <w:rFonts w:ascii="宋体"/>
          <w:sz w:val="24"/>
        </w:rPr>
      </w:pPr>
      <w:r>
        <w:rPr>
          <w:rFonts w:hint="eastAsia" w:ascii="宋体"/>
          <w:sz w:val="24"/>
        </w:rPr>
        <w:t>（二）评标前，应当将通讯工具或者相关电子设备交由招标采购单位统一保管。</w:t>
      </w:r>
    </w:p>
    <w:p>
      <w:pPr>
        <w:spacing w:line="400" w:lineRule="exact"/>
        <w:ind w:firstLine="480" w:firstLineChars="200"/>
        <w:rPr>
          <w:rFonts w:ascii="宋体"/>
          <w:sz w:val="24"/>
        </w:rPr>
      </w:pPr>
      <w:r>
        <w:rPr>
          <w:rFonts w:hint="eastAsia" w:ascii="宋体"/>
          <w:sz w:val="24"/>
        </w:rPr>
        <w:t>（三）评标过程中，不得与外界联系，因发生不可预见情况，确实需要与外界联系的，应当在监督人员监督之下办理。</w:t>
      </w:r>
    </w:p>
    <w:p>
      <w:pPr>
        <w:spacing w:line="400" w:lineRule="exact"/>
        <w:ind w:firstLine="480" w:firstLineChars="200"/>
        <w:rPr>
          <w:rFonts w:ascii="宋体"/>
          <w:sz w:val="24"/>
        </w:rPr>
      </w:pPr>
      <w:r>
        <w:rPr>
          <w:rFonts w:hint="eastAsia" w:ascii="宋体"/>
          <w:sz w:val="24"/>
        </w:rPr>
        <w:t>（四）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400" w:lineRule="exact"/>
        <w:ind w:firstLine="480" w:firstLineChars="200"/>
        <w:rPr>
          <w:rFonts w:ascii="宋体"/>
          <w:sz w:val="24"/>
        </w:rPr>
      </w:pPr>
      <w:r>
        <w:rPr>
          <w:rFonts w:hint="eastAsia" w:ascii="宋体"/>
          <w:sz w:val="24"/>
        </w:rPr>
        <w:t>（五）在评标过程中和评标结束后，不得记录、复制或带走任何评标资料，除因规定的义务外，不得向外界透露评标内容。</w:t>
      </w:r>
    </w:p>
    <w:p>
      <w:pPr>
        <w:spacing w:line="400" w:lineRule="exact"/>
        <w:ind w:firstLine="480" w:firstLineChars="200"/>
        <w:rPr>
          <w:rFonts w:ascii="宋体"/>
          <w:sz w:val="24"/>
        </w:rPr>
      </w:pPr>
      <w:r>
        <w:rPr>
          <w:rFonts w:hint="eastAsia" w:ascii="宋体"/>
          <w:sz w:val="24"/>
        </w:rPr>
        <w:t>（六）服从评标现场招标采购单位的现场秩序管理，接受评标现场监督人员的合法监督。</w:t>
      </w:r>
    </w:p>
    <w:p>
      <w:pPr>
        <w:spacing w:line="400" w:lineRule="exact"/>
        <w:ind w:firstLine="480" w:firstLineChars="200"/>
        <w:rPr>
          <w:rFonts w:ascii="宋体"/>
          <w:sz w:val="24"/>
        </w:rPr>
      </w:pPr>
      <w:r>
        <w:rPr>
          <w:rFonts w:hint="eastAsia" w:ascii="宋体"/>
          <w:sz w:val="24"/>
        </w:rPr>
        <w:t>（七）遵守有关廉洁自律规定，不得私下接触供应商，不得收受供应商及有关业务单位和个人的财物或好处，不得接受采购组织单位的请托。</w:t>
      </w:r>
    </w:p>
    <w:p>
      <w:pPr>
        <w:pStyle w:val="3"/>
        <w:spacing w:line="240" w:lineRule="atLeast"/>
        <w:jc w:val="center"/>
        <w:rPr>
          <w:rFonts w:ascii="华文中宋" w:hAnsi="华文中宋" w:eastAsia="华文中宋"/>
          <w:sz w:val="36"/>
          <w:szCs w:val="36"/>
        </w:rPr>
      </w:pPr>
      <w:bookmarkStart w:id="187" w:name="_Toc23042"/>
      <w:r>
        <w:rPr>
          <w:rFonts w:hint="eastAsia"/>
          <w:sz w:val="36"/>
          <w:szCs w:val="36"/>
        </w:rPr>
        <w:br w:type="page"/>
      </w:r>
      <w:bookmarkStart w:id="188" w:name="_Toc513065353"/>
      <w:r>
        <w:rPr>
          <w:rFonts w:hint="eastAsia" w:ascii="华文中宋" w:hAnsi="华文中宋" w:eastAsia="华文中宋"/>
          <w:sz w:val="36"/>
          <w:szCs w:val="36"/>
        </w:rPr>
        <w:t>第七章  政府采购合同</w:t>
      </w:r>
      <w:bookmarkEnd w:id="187"/>
      <w:bookmarkEnd w:id="188"/>
    </w:p>
    <w:p>
      <w:pPr>
        <w:pStyle w:val="3"/>
        <w:spacing w:line="500" w:lineRule="exact"/>
        <w:rPr>
          <w:color w:val="000000"/>
        </w:rPr>
      </w:pPr>
      <w:bookmarkStart w:id="189" w:name="_Toc6946"/>
      <w:bookmarkStart w:id="190" w:name="_Toc14688_WPSOffice_Level1"/>
      <w:r>
        <w:rPr>
          <w:rFonts w:hint="eastAsia"/>
          <w:color w:val="000000"/>
          <w:sz w:val="36"/>
          <w:szCs w:val="36"/>
        </w:rPr>
        <w:t xml:space="preserve">  政府采购合同（仅供参考）</w:t>
      </w:r>
      <w:bookmarkEnd w:id="189"/>
      <w:bookmarkEnd w:id="190"/>
    </w:p>
    <w:p>
      <w:pPr>
        <w:spacing w:line="500" w:lineRule="exact"/>
        <w:ind w:firstLine="480" w:firstLineChars="200"/>
        <w:rPr>
          <w:rFonts w:hAnsi="宋体" w:cs="宋体"/>
          <w:color w:val="000000"/>
          <w:sz w:val="24"/>
        </w:rPr>
      </w:pPr>
      <w:r>
        <w:rPr>
          <w:rFonts w:hint="eastAsia" w:hAnsi="宋体" w:cs="宋体"/>
          <w:color w:val="000000"/>
          <w:sz w:val="24"/>
        </w:rPr>
        <w:t>合同编号：</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签订地点：</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签订时间：</w:t>
      </w:r>
      <w:r>
        <w:rPr>
          <w:rFonts w:hint="eastAsia" w:hAnsi="宋体" w:cs="宋体"/>
          <w:color w:val="000000"/>
          <w:sz w:val="24"/>
          <w:u w:val="single"/>
        </w:rPr>
        <w:t xml:space="preserve">    </w:t>
      </w:r>
      <w:r>
        <w:rPr>
          <w:rFonts w:hint="eastAsia" w:hAnsi="宋体" w:cs="宋体"/>
          <w:color w:val="000000"/>
          <w:sz w:val="24"/>
        </w:rPr>
        <w:t>年</w:t>
      </w:r>
      <w:r>
        <w:rPr>
          <w:rFonts w:hint="eastAsia" w:hAnsi="宋体" w:cs="宋体"/>
          <w:color w:val="000000"/>
          <w:sz w:val="24"/>
          <w:u w:val="single"/>
        </w:rPr>
        <w:t xml:space="preserve">    </w:t>
      </w:r>
      <w:r>
        <w:rPr>
          <w:rFonts w:hint="eastAsia" w:hAnsi="宋体" w:cs="宋体"/>
          <w:color w:val="000000"/>
          <w:sz w:val="24"/>
        </w:rPr>
        <w:t>月</w:t>
      </w:r>
      <w:r>
        <w:rPr>
          <w:rFonts w:hint="eastAsia" w:hAnsi="宋体" w:cs="宋体"/>
          <w:color w:val="000000"/>
          <w:sz w:val="24"/>
          <w:u w:val="single"/>
        </w:rPr>
        <w:t xml:space="preserve">    </w:t>
      </w:r>
      <w:r>
        <w:rPr>
          <w:rFonts w:hint="eastAsia" w:hAnsi="宋体" w:cs="宋体"/>
          <w:color w:val="000000"/>
          <w:sz w:val="24"/>
        </w:rPr>
        <w:t>日</w:t>
      </w:r>
    </w:p>
    <w:p>
      <w:pPr>
        <w:spacing w:line="500" w:lineRule="exact"/>
        <w:ind w:firstLine="480" w:firstLineChars="200"/>
        <w:rPr>
          <w:rFonts w:hAnsi="宋体" w:cs="宋体"/>
          <w:color w:val="000000"/>
          <w:sz w:val="24"/>
        </w:rPr>
      </w:pPr>
      <w:r>
        <w:rPr>
          <w:rFonts w:hint="eastAsia" w:hAnsi="宋体" w:cs="宋体"/>
          <w:color w:val="000000"/>
          <w:sz w:val="24"/>
        </w:rPr>
        <w:t>采购人（甲方）：</w:t>
      </w:r>
      <w:r>
        <w:rPr>
          <w:rFonts w:hint="eastAsia" w:hAnsi="宋体" w:cs="宋体"/>
          <w:color w:val="000000"/>
          <w:sz w:val="24"/>
          <w:u w:val="single"/>
        </w:rPr>
        <w:t xml:space="preserve">              </w:t>
      </w:r>
      <w:r>
        <w:rPr>
          <w:rFonts w:hint="eastAsia" w:hAnsi="宋体" w:cs="宋体"/>
          <w:color w:val="000000"/>
          <w:sz w:val="24"/>
        </w:rPr>
        <w:t xml:space="preserve">                              </w:t>
      </w:r>
    </w:p>
    <w:p>
      <w:pPr>
        <w:spacing w:line="500" w:lineRule="exact"/>
        <w:ind w:firstLine="480" w:firstLineChars="200"/>
        <w:rPr>
          <w:rFonts w:hAnsi="宋体" w:cs="宋体"/>
          <w:color w:val="000000"/>
          <w:sz w:val="24"/>
        </w:rPr>
      </w:pPr>
      <w:r>
        <w:rPr>
          <w:rFonts w:hint="eastAsia" w:hAnsi="宋体" w:cs="宋体"/>
          <w:color w:val="000000"/>
          <w:sz w:val="24"/>
        </w:rPr>
        <w:t>供应商（乙方）：</w:t>
      </w:r>
      <w:r>
        <w:rPr>
          <w:rFonts w:hint="eastAsia" w:hAnsi="宋体" w:cs="宋体"/>
          <w:color w:val="000000"/>
          <w:sz w:val="24"/>
          <w:u w:val="single"/>
        </w:rPr>
        <w:t xml:space="preserve">              </w:t>
      </w:r>
      <w:r>
        <w:rPr>
          <w:rFonts w:hint="eastAsia" w:hAnsi="宋体" w:cs="宋体"/>
          <w:color w:val="000000"/>
          <w:sz w:val="24"/>
        </w:rPr>
        <w:t xml:space="preserve">                                                                     </w:t>
      </w:r>
    </w:p>
    <w:p>
      <w:pPr>
        <w:spacing w:line="500" w:lineRule="exact"/>
        <w:rPr>
          <w:rFonts w:hAnsi="宋体" w:cs="宋体"/>
          <w:color w:val="000000"/>
          <w:sz w:val="24"/>
        </w:rPr>
      </w:pPr>
    </w:p>
    <w:p>
      <w:pPr>
        <w:pStyle w:val="56"/>
        <w:spacing w:line="500" w:lineRule="exact"/>
        <w:ind w:firstLine="480"/>
        <w:rPr>
          <w:rFonts w:hAnsi="宋体"/>
          <w:color w:val="000000"/>
        </w:rPr>
      </w:pPr>
      <w:r>
        <w:rPr>
          <w:rFonts w:hint="eastAsia" w:hAnsi="宋体"/>
          <w:color w:val="000000"/>
        </w:rPr>
        <w:t>根据《中华人民共和国政府采购法》、《中华人民共和国合同法》及XXXX采购项目（项目编号：XX）的《招标文件》、乙方的《投标文件》及《中标通知书》，甲、乙双方同意签订本合同。详细技术说明及其他有关合同项目的特定信息由合同附件予以说明，合同附件及本项目的招标文件、投标文件、《中标通知书》等均为本合同不可分割的部分。双方同意共同遵守如下条款：</w:t>
      </w:r>
    </w:p>
    <w:p>
      <w:pPr>
        <w:numPr>
          <w:ilvl w:val="0"/>
          <w:numId w:val="6"/>
        </w:numPr>
        <w:spacing w:line="500" w:lineRule="exact"/>
        <w:rPr>
          <w:rFonts w:hAnsi="宋体" w:cs="宋体"/>
          <w:b/>
          <w:color w:val="000000"/>
          <w:sz w:val="24"/>
        </w:rPr>
      </w:pPr>
      <w:bookmarkStart w:id="191" w:name="_Toc217446115"/>
      <w:r>
        <w:rPr>
          <w:rFonts w:hint="eastAsia" w:hAnsi="宋体" w:cs="宋体"/>
          <w:b/>
          <w:color w:val="000000"/>
          <w:sz w:val="24"/>
        </w:rPr>
        <w:t>项目基本情况</w:t>
      </w:r>
    </w:p>
    <w:p>
      <w:pPr>
        <w:spacing w:line="500" w:lineRule="exact"/>
        <w:ind w:firstLine="630"/>
        <w:rPr>
          <w:rFonts w:hAnsi="宋体" w:cs="宋体"/>
          <w:b/>
          <w:color w:val="000000"/>
          <w:sz w:val="24"/>
        </w:rPr>
      </w:pPr>
      <w:r>
        <w:rPr>
          <w:rFonts w:hint="eastAsia" w:hAnsi="宋体" w:cs="宋体"/>
          <w:color w:val="000000"/>
          <w:sz w:val="24"/>
          <w:u w:val="single"/>
        </w:rPr>
        <w:t xml:space="preserve">                                                             </w:t>
      </w:r>
    </w:p>
    <w:p>
      <w:pPr>
        <w:numPr>
          <w:ilvl w:val="0"/>
          <w:numId w:val="6"/>
        </w:numPr>
        <w:spacing w:line="500" w:lineRule="exact"/>
        <w:rPr>
          <w:rFonts w:hAnsi="宋体" w:cs="宋体"/>
          <w:b/>
          <w:color w:val="000000"/>
          <w:sz w:val="24"/>
        </w:rPr>
      </w:pPr>
      <w:r>
        <w:rPr>
          <w:rFonts w:hint="eastAsia" w:hAnsi="宋体" w:cs="宋体"/>
          <w:b/>
          <w:color w:val="000000"/>
          <w:sz w:val="24"/>
        </w:rPr>
        <w:t>合同期限</w:t>
      </w:r>
    </w:p>
    <w:p>
      <w:pPr>
        <w:spacing w:line="500" w:lineRule="exact"/>
        <w:ind w:firstLine="630"/>
        <w:rPr>
          <w:rFonts w:hAnsi="宋体" w:cs="宋体"/>
          <w:color w:val="000000"/>
          <w:sz w:val="24"/>
        </w:rPr>
      </w:pPr>
      <w:r>
        <w:rPr>
          <w:rFonts w:hint="eastAsia" w:hAnsi="宋体" w:cs="宋体"/>
          <w:color w:val="000000"/>
          <w:sz w:val="24"/>
          <w:u w:val="single"/>
        </w:rPr>
        <w:t xml:space="preserve">                                                             </w:t>
      </w:r>
    </w:p>
    <w:p>
      <w:pPr>
        <w:numPr>
          <w:ilvl w:val="0"/>
          <w:numId w:val="6"/>
        </w:numPr>
        <w:spacing w:line="500" w:lineRule="exact"/>
        <w:rPr>
          <w:rFonts w:hAnsi="宋体" w:cs="宋体"/>
          <w:b/>
          <w:color w:val="000000"/>
          <w:sz w:val="24"/>
        </w:rPr>
      </w:pPr>
      <w:bookmarkStart w:id="192" w:name="_Toc251768862"/>
      <w:bookmarkStart w:id="193" w:name="_Toc282696226"/>
      <w:bookmarkStart w:id="194" w:name="_Toc185395249"/>
      <w:bookmarkStart w:id="195" w:name="_Toc232492928"/>
      <w:bookmarkStart w:id="196" w:name="_Toc239568418"/>
      <w:bookmarkStart w:id="197" w:name="_Toc283019214"/>
      <w:bookmarkStart w:id="198" w:name="_Toc247334841"/>
      <w:bookmarkStart w:id="199" w:name="_Toc212019594"/>
      <w:bookmarkStart w:id="200" w:name="_Toc237145406"/>
      <w:bookmarkStart w:id="201" w:name="_Toc239233914"/>
      <w:bookmarkStart w:id="202" w:name="_Toc225670751"/>
      <w:bookmarkStart w:id="203" w:name="_Toc211911348"/>
      <w:bookmarkStart w:id="204" w:name="_Toc211854449"/>
      <w:bookmarkStart w:id="205" w:name="_Toc286993786"/>
      <w:bookmarkStart w:id="206" w:name="_Toc225244852"/>
      <w:bookmarkStart w:id="207" w:name="_Toc238984975"/>
      <w:bookmarkStart w:id="208" w:name="_Toc241833903"/>
      <w:bookmarkStart w:id="209" w:name="_Toc225654644"/>
      <w:r>
        <w:rPr>
          <w:rFonts w:hint="eastAsia" w:hAnsi="宋体" w:cs="宋体"/>
          <w:b/>
          <w:color w:val="000000"/>
          <w:sz w:val="24"/>
        </w:rPr>
        <w:t>服务内容与质量标准</w:t>
      </w:r>
    </w:p>
    <w:p>
      <w:pPr>
        <w:spacing w:line="500" w:lineRule="exact"/>
        <w:ind w:firstLine="630"/>
        <w:rPr>
          <w:rFonts w:hAnsi="宋体" w:cs="宋体"/>
          <w:color w:val="000000"/>
          <w:sz w:val="24"/>
        </w:rPr>
      </w:pPr>
      <w:r>
        <w:rPr>
          <w:rFonts w:hint="eastAsia" w:hAnsi="宋体" w:cs="宋体"/>
          <w:color w:val="000000"/>
          <w:sz w:val="24"/>
          <w:u w:val="single"/>
        </w:rPr>
        <w:t xml:space="preserve">                                                             </w:t>
      </w:r>
    </w:p>
    <w:p>
      <w:pPr>
        <w:numPr>
          <w:ilvl w:val="0"/>
          <w:numId w:val="6"/>
        </w:numPr>
        <w:spacing w:line="500" w:lineRule="exact"/>
        <w:rPr>
          <w:rFonts w:hAnsi="宋体" w:cs="宋体"/>
          <w:b/>
          <w:color w:val="000000"/>
          <w:sz w:val="24"/>
        </w:rPr>
      </w:pPr>
      <w:r>
        <w:rPr>
          <w:rFonts w:hint="eastAsia" w:hAnsi="宋体" w:cs="宋体"/>
          <w:b/>
          <w:color w:val="000000"/>
          <w:sz w:val="24"/>
        </w:rPr>
        <w:t>服务费用及支付方式</w:t>
      </w:r>
    </w:p>
    <w:p>
      <w:pPr>
        <w:numPr>
          <w:ilvl w:val="0"/>
          <w:numId w:val="7"/>
        </w:numPr>
        <w:spacing w:line="500" w:lineRule="exact"/>
        <w:ind w:left="0" w:firstLine="567"/>
        <w:rPr>
          <w:rFonts w:hAnsi="宋体" w:cs="宋体"/>
          <w:b/>
          <w:color w:val="000000"/>
          <w:sz w:val="24"/>
        </w:rPr>
      </w:pPr>
      <w:r>
        <w:rPr>
          <w:rFonts w:hint="eastAsia" w:hAnsi="宋体" w:cs="宋体"/>
          <w:b/>
          <w:color w:val="000000"/>
          <w:sz w:val="24"/>
        </w:rPr>
        <w:t>本项目服务费用由以下组成：</w:t>
      </w:r>
      <w:r>
        <w:rPr>
          <w:rFonts w:hint="eastAsia" w:hAnsi="宋体" w:cs="宋体"/>
          <w:color w:val="000000"/>
          <w:sz w:val="24"/>
          <w:u w:val="single"/>
        </w:rPr>
        <w:t xml:space="preserve">                 </w:t>
      </w:r>
    </w:p>
    <w:p>
      <w:pPr>
        <w:numPr>
          <w:ilvl w:val="0"/>
          <w:numId w:val="7"/>
        </w:numPr>
        <w:tabs>
          <w:tab w:val="left" w:pos="780"/>
        </w:tabs>
        <w:spacing w:line="500" w:lineRule="exact"/>
        <w:ind w:left="0" w:firstLine="567"/>
        <w:rPr>
          <w:rFonts w:hAnsi="宋体" w:cs="宋体"/>
          <w:b/>
          <w:color w:val="000000"/>
          <w:sz w:val="24"/>
        </w:rPr>
      </w:pPr>
      <w:r>
        <w:rPr>
          <w:rFonts w:hint="eastAsia" w:hAnsi="宋体" w:cs="宋体"/>
          <w:b/>
          <w:color w:val="000000"/>
          <w:sz w:val="24"/>
        </w:rPr>
        <w:t>服务费支付方式：</w:t>
      </w:r>
      <w:r>
        <w:rPr>
          <w:rFonts w:hint="eastAsia" w:hAnsi="宋体" w:cs="宋体"/>
          <w:color w:val="000000"/>
          <w:sz w:val="24"/>
          <w:u w:val="single"/>
        </w:rPr>
        <w:t xml:space="preserve">                 </w:t>
      </w:r>
      <w:r>
        <w:rPr>
          <w:rFonts w:hint="eastAsia" w:hAnsi="宋体" w:cs="宋体"/>
          <w:b/>
          <w:color w:val="000000"/>
          <w:sz w:val="24"/>
        </w:rPr>
        <w:t xml:space="preserve"> </w:t>
      </w:r>
    </w:p>
    <w:p>
      <w:pPr>
        <w:numPr>
          <w:ilvl w:val="0"/>
          <w:numId w:val="6"/>
        </w:numPr>
        <w:spacing w:line="500" w:lineRule="exact"/>
        <w:rPr>
          <w:rFonts w:hAnsi="宋体" w:cs="宋体"/>
          <w:b/>
          <w:color w:val="000000"/>
          <w:sz w:val="24"/>
        </w:rPr>
      </w:pPr>
      <w:r>
        <w:rPr>
          <w:rFonts w:hint="eastAsia" w:hAnsi="宋体" w:cs="宋体"/>
          <w:b/>
          <w:color w:val="000000"/>
          <w:sz w:val="24"/>
        </w:rPr>
        <w:t>知识产权</w:t>
      </w:r>
    </w:p>
    <w:p>
      <w:pPr>
        <w:tabs>
          <w:tab w:val="left" w:pos="1440"/>
        </w:tabs>
        <w:spacing w:line="500" w:lineRule="exact"/>
        <w:ind w:firstLine="480" w:firstLineChars="200"/>
        <w:rPr>
          <w:rFonts w:hAnsi="宋体" w:cs="宋体"/>
          <w:color w:val="000000"/>
          <w:sz w:val="24"/>
        </w:rPr>
      </w:pPr>
      <w:r>
        <w:rPr>
          <w:rFonts w:hint="eastAsia" w:hAnsi="宋体" w:cs="宋体"/>
          <w:color w:val="000000"/>
          <w:sz w:val="24"/>
        </w:rPr>
        <w:t>乙方应保证所提供的服务或其任何一部分均不会侵犯任何第三方的专利权、商标权或著作权。</w:t>
      </w:r>
    </w:p>
    <w:p>
      <w:pPr>
        <w:numPr>
          <w:ilvl w:val="0"/>
          <w:numId w:val="6"/>
        </w:numPr>
        <w:spacing w:line="500" w:lineRule="exact"/>
        <w:rPr>
          <w:rFonts w:hAnsi="宋体" w:cs="宋体"/>
          <w:b/>
          <w:color w:val="000000"/>
          <w:sz w:val="24"/>
        </w:rPr>
      </w:pPr>
      <w:r>
        <w:rPr>
          <w:rFonts w:hint="eastAsia" w:hAnsi="宋体" w:cs="宋体"/>
          <w:b/>
          <w:color w:val="000000"/>
          <w:sz w:val="24"/>
        </w:rPr>
        <w:t>无产权瑕疵条款</w:t>
      </w:r>
    </w:p>
    <w:p>
      <w:pPr>
        <w:tabs>
          <w:tab w:val="left" w:pos="1440"/>
        </w:tabs>
        <w:spacing w:line="500" w:lineRule="exact"/>
        <w:ind w:firstLine="480" w:firstLineChars="200"/>
        <w:rPr>
          <w:rFonts w:hAnsi="宋体" w:cs="宋体"/>
          <w:color w:val="000000"/>
          <w:sz w:val="24"/>
        </w:rPr>
      </w:pPr>
      <w:r>
        <w:rPr>
          <w:rFonts w:hint="eastAsia" w:hAnsi="宋体" w:cs="宋体"/>
          <w:color w:val="000000"/>
          <w:sz w:val="24"/>
        </w:rPr>
        <w:t>乙方保证所提供的服务的所有权完全属于乙方且无任何抵押、查封等产权瑕疵。如有产权瑕疵的，视为乙方违约。乙方应负担由此而产生的一切损失。</w:t>
      </w:r>
    </w:p>
    <w:p>
      <w:pPr>
        <w:numPr>
          <w:ilvl w:val="0"/>
          <w:numId w:val="6"/>
        </w:numPr>
        <w:spacing w:line="500" w:lineRule="exact"/>
        <w:rPr>
          <w:rFonts w:hAnsi="宋体" w:cs="宋体"/>
          <w:b/>
          <w:color w:val="000000"/>
          <w:sz w:val="24"/>
        </w:rPr>
      </w:pPr>
      <w:r>
        <w:rPr>
          <w:rFonts w:hint="eastAsia" w:hAnsi="宋体" w:cs="宋体"/>
          <w:b/>
          <w:color w:val="000000"/>
          <w:sz w:val="24"/>
        </w:rPr>
        <w:t>履约保证金</w:t>
      </w:r>
    </w:p>
    <w:p>
      <w:pPr>
        <w:pStyle w:val="20"/>
        <w:numPr>
          <w:ilvl w:val="0"/>
          <w:numId w:val="8"/>
        </w:numPr>
        <w:spacing w:line="500" w:lineRule="exact"/>
        <w:ind w:left="0" w:firstLine="567"/>
        <w:rPr>
          <w:rFonts w:hAnsi="宋体" w:cs="宋体"/>
          <w:color w:val="000000"/>
          <w:sz w:val="24"/>
          <w:szCs w:val="24"/>
        </w:rPr>
      </w:pPr>
      <w:r>
        <w:rPr>
          <w:rFonts w:hint="eastAsia" w:hAnsi="宋体" w:cs="宋体"/>
          <w:color w:val="000000"/>
          <w:sz w:val="24"/>
          <w:szCs w:val="24"/>
        </w:rPr>
        <w:t>乙方交纳人民币</w:t>
      </w:r>
      <w:r>
        <w:rPr>
          <w:rFonts w:hint="eastAsia" w:hAnsi="宋体" w:cs="宋体"/>
          <w:color w:val="000000"/>
          <w:sz w:val="24"/>
          <w:szCs w:val="24"/>
          <w:u w:val="single"/>
        </w:rPr>
        <w:t>　　　　　　</w:t>
      </w:r>
      <w:r>
        <w:rPr>
          <w:rFonts w:hint="eastAsia" w:hAnsi="宋体" w:cs="宋体"/>
          <w:color w:val="000000"/>
          <w:sz w:val="24"/>
          <w:szCs w:val="24"/>
        </w:rPr>
        <w:t>元作为本合同的履约保证金。</w:t>
      </w:r>
    </w:p>
    <w:p>
      <w:pPr>
        <w:pStyle w:val="20"/>
        <w:numPr>
          <w:ilvl w:val="0"/>
          <w:numId w:val="8"/>
        </w:numPr>
        <w:spacing w:line="500" w:lineRule="exact"/>
        <w:ind w:left="0" w:firstLine="567"/>
        <w:rPr>
          <w:rFonts w:hAnsi="宋体" w:cs="宋体"/>
          <w:color w:val="000000"/>
          <w:sz w:val="24"/>
          <w:szCs w:val="24"/>
        </w:rPr>
      </w:pPr>
      <w:r>
        <w:rPr>
          <w:rFonts w:hint="eastAsia" w:hAnsi="宋体" w:cs="宋体"/>
          <w:color w:val="000000"/>
          <w:sz w:val="24"/>
          <w:szCs w:val="24"/>
        </w:rPr>
        <w:t>履约保证金作为违约金的一部分及用于补偿甲方因乙方不能履行合同义务而蒙受的损失。</w:t>
      </w:r>
    </w:p>
    <w:p>
      <w:pPr>
        <w:numPr>
          <w:ilvl w:val="0"/>
          <w:numId w:val="6"/>
        </w:numPr>
        <w:spacing w:line="500" w:lineRule="exact"/>
        <w:rPr>
          <w:rFonts w:hAnsi="宋体" w:cs="宋体"/>
          <w:b/>
          <w:color w:val="000000"/>
          <w:sz w:val="24"/>
        </w:rPr>
      </w:pPr>
      <w:r>
        <w:rPr>
          <w:rFonts w:hint="eastAsia" w:hAnsi="宋体" w:cs="宋体"/>
          <w:b/>
          <w:color w:val="000000"/>
          <w:sz w:val="24"/>
        </w:rPr>
        <w:t>甲方的权利和义务</w:t>
      </w:r>
    </w:p>
    <w:p>
      <w:pPr>
        <w:numPr>
          <w:ilvl w:val="0"/>
          <w:numId w:val="9"/>
        </w:numPr>
        <w:tabs>
          <w:tab w:val="left" w:pos="1440"/>
        </w:tabs>
        <w:adjustRightInd w:val="0"/>
        <w:spacing w:line="500" w:lineRule="exact"/>
        <w:ind w:left="0" w:firstLine="420"/>
        <w:jc w:val="left"/>
        <w:textAlignment w:val="baseline"/>
        <w:rPr>
          <w:rFonts w:hAnsi="宋体" w:cs="宋体"/>
          <w:bCs/>
          <w:color w:val="000000"/>
          <w:sz w:val="24"/>
        </w:rPr>
      </w:pPr>
      <w:r>
        <w:rPr>
          <w:rFonts w:hint="eastAsia" w:hAnsi="宋体" w:cs="宋体"/>
          <w:bCs/>
          <w:color w:val="000000"/>
          <w:sz w:val="24"/>
        </w:rPr>
        <w:t>甲方有权对合同规定范围内乙方的服务行为进行监督和检查，拥有监管权。有权定期核对乙方提供服务所配备的人员数量。对甲方认为不合理的部分有权下达整改通知书，并要求乙方限期整改。</w:t>
      </w:r>
    </w:p>
    <w:p>
      <w:pPr>
        <w:numPr>
          <w:ilvl w:val="0"/>
          <w:numId w:val="9"/>
        </w:numPr>
        <w:tabs>
          <w:tab w:val="left" w:pos="1440"/>
        </w:tabs>
        <w:adjustRightInd w:val="0"/>
        <w:spacing w:line="500" w:lineRule="exact"/>
        <w:ind w:left="0" w:firstLine="420"/>
        <w:jc w:val="left"/>
        <w:textAlignment w:val="baseline"/>
        <w:rPr>
          <w:rFonts w:hAnsi="宋体" w:cs="宋体"/>
          <w:bCs/>
          <w:color w:val="000000"/>
          <w:sz w:val="24"/>
        </w:rPr>
      </w:pPr>
      <w:r>
        <w:rPr>
          <w:rFonts w:hint="eastAsia" w:hAnsi="宋体" w:cs="宋体"/>
          <w:bCs/>
          <w:color w:val="000000"/>
          <w:sz w:val="24"/>
        </w:rPr>
        <w:t>甲方有权依据双方签订的考评办法对乙方提供的服务进行定期考评。当考评结果未达到标准时，有权依据考评办法约定的数额扣除履约保证金。</w:t>
      </w:r>
    </w:p>
    <w:p>
      <w:pPr>
        <w:numPr>
          <w:ilvl w:val="0"/>
          <w:numId w:val="9"/>
        </w:numPr>
        <w:tabs>
          <w:tab w:val="left" w:pos="1440"/>
        </w:tabs>
        <w:adjustRightInd w:val="0"/>
        <w:spacing w:line="500" w:lineRule="exact"/>
        <w:ind w:left="0" w:firstLine="420"/>
        <w:jc w:val="left"/>
        <w:textAlignment w:val="baseline"/>
        <w:rPr>
          <w:rFonts w:hAnsi="宋体" w:cs="宋体"/>
          <w:bCs/>
          <w:color w:val="000000"/>
          <w:sz w:val="24"/>
        </w:rPr>
      </w:pPr>
      <w:r>
        <w:rPr>
          <w:rFonts w:hint="eastAsia" w:hAnsi="宋体" w:cs="宋体"/>
          <w:bCs/>
          <w:color w:val="000000"/>
          <w:sz w:val="24"/>
        </w:rPr>
        <w:t>负责检查监督乙方管理工作的实施及制度的执行情况。</w:t>
      </w:r>
    </w:p>
    <w:p>
      <w:pPr>
        <w:numPr>
          <w:ilvl w:val="0"/>
          <w:numId w:val="9"/>
        </w:numPr>
        <w:tabs>
          <w:tab w:val="left" w:pos="1440"/>
        </w:tabs>
        <w:adjustRightInd w:val="0"/>
        <w:spacing w:line="500" w:lineRule="exact"/>
        <w:ind w:left="0" w:firstLine="420"/>
        <w:jc w:val="left"/>
        <w:textAlignment w:val="baseline"/>
        <w:rPr>
          <w:rFonts w:hAnsi="宋体" w:cs="宋体"/>
          <w:bCs/>
          <w:color w:val="000000"/>
          <w:sz w:val="24"/>
        </w:rPr>
      </w:pPr>
      <w:r>
        <w:rPr>
          <w:rFonts w:hint="eastAsia" w:hAnsi="宋体" w:cs="宋体"/>
          <w:bCs/>
          <w:color w:val="000000"/>
          <w:sz w:val="24"/>
        </w:rPr>
        <w:t>根据本合同规定，按时向乙方支付应付服务费用。</w:t>
      </w:r>
    </w:p>
    <w:p>
      <w:pPr>
        <w:numPr>
          <w:ilvl w:val="0"/>
          <w:numId w:val="9"/>
        </w:numPr>
        <w:tabs>
          <w:tab w:val="left" w:pos="1440"/>
        </w:tabs>
        <w:adjustRightInd w:val="0"/>
        <w:spacing w:line="500" w:lineRule="exact"/>
        <w:ind w:left="0" w:firstLine="420"/>
        <w:jc w:val="left"/>
        <w:textAlignment w:val="baseline"/>
        <w:rPr>
          <w:rFonts w:hAnsi="宋体" w:cs="宋体"/>
          <w:bCs/>
          <w:color w:val="000000"/>
          <w:sz w:val="24"/>
        </w:rPr>
      </w:pPr>
      <w:r>
        <w:rPr>
          <w:rFonts w:hint="eastAsia" w:hAnsi="宋体" w:cs="宋体"/>
          <w:bCs/>
          <w:color w:val="000000"/>
          <w:sz w:val="24"/>
        </w:rPr>
        <w:t>国家法律、法规所规定由甲方承担的其它责任。</w:t>
      </w:r>
    </w:p>
    <w:p>
      <w:pPr>
        <w:numPr>
          <w:ilvl w:val="0"/>
          <w:numId w:val="6"/>
        </w:numPr>
        <w:spacing w:line="500" w:lineRule="exact"/>
        <w:rPr>
          <w:rFonts w:hAnsi="宋体" w:cs="宋体"/>
          <w:b/>
          <w:color w:val="000000"/>
          <w:sz w:val="24"/>
        </w:rPr>
      </w:pPr>
      <w:r>
        <w:rPr>
          <w:rFonts w:hint="eastAsia" w:hAnsi="宋体" w:cs="宋体"/>
          <w:b/>
          <w:color w:val="000000"/>
          <w:sz w:val="24"/>
        </w:rPr>
        <w:t>乙方的权利和义务</w:t>
      </w:r>
    </w:p>
    <w:p>
      <w:pPr>
        <w:numPr>
          <w:ilvl w:val="0"/>
          <w:numId w:val="10"/>
        </w:numPr>
        <w:adjustRightInd w:val="0"/>
        <w:spacing w:line="500" w:lineRule="exact"/>
        <w:ind w:left="0" w:firstLine="567"/>
        <w:jc w:val="left"/>
        <w:textAlignment w:val="baseline"/>
        <w:rPr>
          <w:rFonts w:hAnsi="宋体" w:cs="宋体"/>
          <w:bCs/>
          <w:color w:val="000000"/>
          <w:sz w:val="24"/>
        </w:rPr>
      </w:pPr>
      <w:r>
        <w:rPr>
          <w:rFonts w:hint="eastAsia" w:hAnsi="宋体" w:cs="宋体"/>
          <w:bCs/>
          <w:color w:val="000000"/>
          <w:sz w:val="24"/>
        </w:rPr>
        <w:t>对本合同规定的委托服务范围内的项目享有管理权及服务义务。</w:t>
      </w:r>
    </w:p>
    <w:p>
      <w:pPr>
        <w:numPr>
          <w:ilvl w:val="0"/>
          <w:numId w:val="10"/>
        </w:numPr>
        <w:adjustRightInd w:val="0"/>
        <w:spacing w:line="500" w:lineRule="exact"/>
        <w:ind w:left="0" w:firstLine="567"/>
        <w:jc w:val="left"/>
        <w:textAlignment w:val="baseline"/>
        <w:rPr>
          <w:rFonts w:hAnsi="宋体" w:cs="宋体"/>
          <w:bCs/>
          <w:color w:val="000000"/>
          <w:sz w:val="24"/>
        </w:rPr>
      </w:pPr>
      <w:r>
        <w:rPr>
          <w:rFonts w:hint="eastAsia" w:hAnsi="宋体" w:cs="宋体"/>
          <w:bCs/>
          <w:color w:val="000000"/>
          <w:sz w:val="24"/>
        </w:rPr>
        <w:t>根据本合同的规定向甲方收取相关服务费用，并有权在本项目管理范围内管理及合理使用。</w:t>
      </w:r>
    </w:p>
    <w:p>
      <w:pPr>
        <w:numPr>
          <w:ilvl w:val="0"/>
          <w:numId w:val="10"/>
        </w:numPr>
        <w:adjustRightInd w:val="0"/>
        <w:spacing w:line="500" w:lineRule="exact"/>
        <w:ind w:left="0" w:firstLine="567"/>
        <w:jc w:val="left"/>
        <w:textAlignment w:val="baseline"/>
        <w:rPr>
          <w:rFonts w:hAnsi="宋体" w:cs="宋体"/>
          <w:bCs/>
          <w:color w:val="000000"/>
          <w:sz w:val="24"/>
        </w:rPr>
      </w:pPr>
      <w:r>
        <w:rPr>
          <w:rFonts w:hint="eastAsia" w:hAnsi="宋体" w:cs="宋体"/>
          <w:color w:val="000000"/>
          <w:sz w:val="24"/>
        </w:rPr>
        <w:t>及时向甲方通告本项目服务范围内有关服务的重大事项，及时配合处理投诉。</w:t>
      </w:r>
    </w:p>
    <w:p>
      <w:pPr>
        <w:numPr>
          <w:ilvl w:val="0"/>
          <w:numId w:val="10"/>
        </w:numPr>
        <w:adjustRightInd w:val="0"/>
        <w:spacing w:line="500" w:lineRule="exact"/>
        <w:ind w:left="0" w:firstLine="567"/>
        <w:jc w:val="left"/>
        <w:textAlignment w:val="baseline"/>
        <w:rPr>
          <w:rFonts w:hAnsi="宋体" w:cs="宋体"/>
          <w:bCs/>
          <w:color w:val="000000"/>
          <w:sz w:val="24"/>
        </w:rPr>
      </w:pPr>
      <w:r>
        <w:rPr>
          <w:rFonts w:hint="eastAsia" w:hAnsi="宋体" w:cs="宋体"/>
          <w:bCs/>
          <w:color w:val="000000"/>
          <w:sz w:val="24"/>
        </w:rPr>
        <w:t>接受项目行业管理部门及政府有关部门的指导，接受甲方的监督。</w:t>
      </w:r>
    </w:p>
    <w:p>
      <w:pPr>
        <w:numPr>
          <w:ilvl w:val="0"/>
          <w:numId w:val="10"/>
        </w:numPr>
        <w:adjustRightInd w:val="0"/>
        <w:spacing w:line="500" w:lineRule="exact"/>
        <w:ind w:left="0" w:firstLine="567"/>
        <w:jc w:val="left"/>
        <w:textAlignment w:val="baseline"/>
        <w:rPr>
          <w:rFonts w:hAnsi="宋体" w:cs="宋体"/>
          <w:bCs/>
          <w:color w:val="000000"/>
          <w:sz w:val="24"/>
        </w:rPr>
      </w:pPr>
      <w:r>
        <w:rPr>
          <w:rFonts w:hint="eastAsia" w:hAnsi="宋体" w:cs="宋体"/>
          <w:bCs/>
          <w:color w:val="000000"/>
          <w:sz w:val="24"/>
        </w:rPr>
        <w:t>国家法律、法规所规定由乙方承担的其它责任。</w:t>
      </w:r>
    </w:p>
    <w:p>
      <w:pPr>
        <w:numPr>
          <w:ilvl w:val="0"/>
          <w:numId w:val="6"/>
        </w:numPr>
        <w:spacing w:line="500" w:lineRule="exact"/>
        <w:rPr>
          <w:rFonts w:hAnsi="宋体" w:cs="宋体"/>
          <w:b/>
          <w:color w:val="000000"/>
          <w:sz w:val="24"/>
        </w:rPr>
      </w:pPr>
      <w:r>
        <w:rPr>
          <w:rFonts w:hint="eastAsia" w:hAnsi="宋体" w:cs="宋体"/>
          <w:b/>
          <w:color w:val="000000"/>
          <w:sz w:val="24"/>
        </w:rPr>
        <w:t>违约责任</w:t>
      </w:r>
    </w:p>
    <w:p>
      <w:pPr>
        <w:numPr>
          <w:ilvl w:val="0"/>
          <w:numId w:val="11"/>
        </w:numPr>
        <w:adjustRightInd w:val="0"/>
        <w:spacing w:line="500" w:lineRule="exact"/>
        <w:ind w:left="0" w:firstLine="567"/>
        <w:jc w:val="left"/>
        <w:textAlignment w:val="baseline"/>
        <w:rPr>
          <w:rFonts w:hAnsi="宋体" w:cs="宋体"/>
          <w:bCs/>
          <w:color w:val="000000"/>
          <w:sz w:val="24"/>
        </w:rPr>
      </w:pPr>
      <w:r>
        <w:rPr>
          <w:rFonts w:hint="eastAsia" w:hAnsi="宋体" w:cs="宋体"/>
          <w:bCs/>
          <w:color w:val="000000"/>
          <w:sz w:val="24"/>
        </w:rPr>
        <w:t>甲乙双方必须遵守本合同并执行合同中的各项规定，保证本合同的正常履行。</w:t>
      </w:r>
    </w:p>
    <w:p>
      <w:pPr>
        <w:numPr>
          <w:ilvl w:val="0"/>
          <w:numId w:val="11"/>
        </w:numPr>
        <w:adjustRightInd w:val="0"/>
        <w:spacing w:line="500" w:lineRule="exact"/>
        <w:ind w:left="0" w:firstLine="567"/>
        <w:jc w:val="left"/>
        <w:textAlignment w:val="baseline"/>
        <w:rPr>
          <w:rFonts w:hAnsi="宋体" w:cs="宋体"/>
          <w:bCs/>
          <w:color w:val="000000"/>
          <w:sz w:val="24"/>
        </w:rPr>
      </w:pPr>
      <w:r>
        <w:rPr>
          <w:rFonts w:hint="eastAsia" w:hAnsi="宋体" w:cs="宋体"/>
          <w:bCs/>
          <w:color w:val="000000"/>
          <w:sz w:val="24"/>
        </w:rPr>
        <w:t>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pPr>
        <w:numPr>
          <w:ilvl w:val="0"/>
          <w:numId w:val="6"/>
        </w:numPr>
        <w:spacing w:line="500" w:lineRule="exact"/>
        <w:rPr>
          <w:rFonts w:hAnsi="宋体" w:cs="宋体"/>
          <w:b/>
          <w:color w:val="000000"/>
          <w:sz w:val="24"/>
        </w:rPr>
      </w:pPr>
      <w:r>
        <w:rPr>
          <w:rFonts w:hint="eastAsia" w:hAnsi="宋体" w:cs="宋体"/>
          <w:b/>
          <w:color w:val="000000"/>
          <w:sz w:val="24"/>
        </w:rPr>
        <w:t>不可抗力事件处理</w:t>
      </w:r>
    </w:p>
    <w:p>
      <w:pPr>
        <w:numPr>
          <w:ilvl w:val="0"/>
          <w:numId w:val="12"/>
        </w:numPr>
        <w:tabs>
          <w:tab w:val="left" w:pos="0"/>
        </w:tabs>
        <w:spacing w:line="500" w:lineRule="exact"/>
        <w:ind w:left="0" w:firstLine="567"/>
        <w:rPr>
          <w:rFonts w:hAnsi="宋体" w:cs="宋体"/>
          <w:color w:val="000000"/>
          <w:sz w:val="24"/>
        </w:rPr>
      </w:pPr>
      <w:r>
        <w:rPr>
          <w:rFonts w:hint="eastAsia" w:hAnsi="宋体" w:cs="宋体"/>
          <w:color w:val="000000"/>
          <w:sz w:val="24"/>
        </w:rPr>
        <w:t>在合同有效期内，任何一方因不可抗力事件导致不能履行合同，则合同履行期可延长，其延长期与不可抗力影响期相同。</w:t>
      </w:r>
    </w:p>
    <w:p>
      <w:pPr>
        <w:numPr>
          <w:ilvl w:val="0"/>
          <w:numId w:val="12"/>
        </w:numPr>
        <w:tabs>
          <w:tab w:val="left" w:pos="0"/>
        </w:tabs>
        <w:spacing w:line="500" w:lineRule="exact"/>
        <w:ind w:left="0" w:firstLine="567"/>
        <w:rPr>
          <w:rFonts w:hAnsi="宋体" w:cs="宋体"/>
          <w:color w:val="000000"/>
          <w:sz w:val="24"/>
        </w:rPr>
      </w:pPr>
      <w:r>
        <w:rPr>
          <w:rFonts w:hint="eastAsia" w:hAnsi="宋体" w:cs="宋体"/>
          <w:color w:val="000000"/>
          <w:sz w:val="24"/>
        </w:rPr>
        <w:t>不可抗力事件发生后，应立即通知对方，并寄送有关权威机构出具的证明。</w:t>
      </w:r>
    </w:p>
    <w:p>
      <w:pPr>
        <w:numPr>
          <w:ilvl w:val="0"/>
          <w:numId w:val="12"/>
        </w:numPr>
        <w:tabs>
          <w:tab w:val="left" w:pos="0"/>
        </w:tabs>
        <w:spacing w:line="500" w:lineRule="exact"/>
        <w:ind w:left="0" w:firstLine="567"/>
        <w:rPr>
          <w:rFonts w:hAnsi="宋体" w:cs="宋体"/>
          <w:color w:val="000000"/>
          <w:sz w:val="24"/>
        </w:rPr>
      </w:pPr>
      <w:r>
        <w:rPr>
          <w:rFonts w:hint="eastAsia" w:hAnsi="宋体" w:cs="宋体"/>
          <w:color w:val="000000"/>
          <w:sz w:val="24"/>
        </w:rPr>
        <w:t>不可抗力事件延续120天以上，双方应通过友好协商，确定是否继续履行合同。</w:t>
      </w:r>
    </w:p>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Pr>
        <w:numPr>
          <w:ilvl w:val="0"/>
          <w:numId w:val="6"/>
        </w:numPr>
        <w:spacing w:line="500" w:lineRule="exact"/>
        <w:rPr>
          <w:rFonts w:hAnsi="宋体" w:cs="宋体"/>
          <w:b/>
          <w:color w:val="000000"/>
          <w:sz w:val="24"/>
        </w:rPr>
      </w:pPr>
      <w:bookmarkStart w:id="210" w:name="_Toc211911353"/>
      <w:bookmarkStart w:id="211" w:name="_Toc232492933"/>
      <w:bookmarkStart w:id="212" w:name="_Toc211854454"/>
      <w:bookmarkStart w:id="213" w:name="_Toc251768867"/>
      <w:bookmarkStart w:id="214" w:name="_Toc241833908"/>
      <w:bookmarkStart w:id="215" w:name="_Toc225654649"/>
      <w:bookmarkStart w:id="216" w:name="_Toc225670756"/>
      <w:bookmarkStart w:id="217" w:name="_Toc238984980"/>
      <w:bookmarkStart w:id="218" w:name="_Toc286993792"/>
      <w:bookmarkStart w:id="219" w:name="_Toc237145411"/>
      <w:bookmarkStart w:id="220" w:name="_Toc239568423"/>
      <w:bookmarkStart w:id="221" w:name="_Toc225244857"/>
      <w:bookmarkStart w:id="222" w:name="_Toc239233919"/>
      <w:bookmarkStart w:id="223" w:name="_Toc185395254"/>
      <w:bookmarkStart w:id="224" w:name="_Toc247334846"/>
      <w:bookmarkStart w:id="225" w:name="_Toc212019599"/>
      <w:r>
        <w:rPr>
          <w:rFonts w:hint="eastAsia" w:hAnsi="宋体" w:cs="宋体"/>
          <w:b/>
          <w:color w:val="000000"/>
          <w:sz w:val="24"/>
        </w:rPr>
        <w:t>解决合同纠纷的方式</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pPr>
        <w:numPr>
          <w:ilvl w:val="0"/>
          <w:numId w:val="13"/>
        </w:numPr>
        <w:tabs>
          <w:tab w:val="left" w:pos="0"/>
        </w:tabs>
        <w:spacing w:line="500" w:lineRule="exact"/>
        <w:ind w:left="0" w:firstLine="560"/>
        <w:rPr>
          <w:rFonts w:hAnsi="宋体" w:cs="宋体"/>
          <w:color w:val="000000"/>
          <w:sz w:val="24"/>
        </w:rPr>
      </w:pPr>
      <w:r>
        <w:rPr>
          <w:rFonts w:hint="eastAsia" w:hAnsi="宋体" w:cs="宋体"/>
          <w:color w:val="000000"/>
          <w:sz w:val="24"/>
        </w:rPr>
        <w:t>在执行本合同中发生的或与本合同有关的争端，双方应通过友好协商解决，经协商在60天内不能达成协议时，应提交成都仲裁委员会仲裁。</w:t>
      </w:r>
    </w:p>
    <w:p>
      <w:pPr>
        <w:numPr>
          <w:ilvl w:val="0"/>
          <w:numId w:val="13"/>
        </w:numPr>
        <w:tabs>
          <w:tab w:val="left" w:pos="0"/>
        </w:tabs>
        <w:spacing w:line="500" w:lineRule="exact"/>
        <w:ind w:left="0" w:firstLine="560"/>
        <w:rPr>
          <w:rFonts w:hAnsi="宋体" w:cs="宋体"/>
          <w:color w:val="000000"/>
          <w:sz w:val="24"/>
        </w:rPr>
      </w:pPr>
      <w:r>
        <w:rPr>
          <w:rFonts w:hint="eastAsia" w:hAnsi="宋体" w:cs="宋体"/>
          <w:color w:val="000000"/>
          <w:sz w:val="24"/>
        </w:rPr>
        <w:t>仲裁裁决应为最终决定，并对双方具有约束力。</w:t>
      </w:r>
    </w:p>
    <w:p>
      <w:pPr>
        <w:numPr>
          <w:ilvl w:val="0"/>
          <w:numId w:val="13"/>
        </w:numPr>
        <w:tabs>
          <w:tab w:val="left" w:pos="0"/>
        </w:tabs>
        <w:spacing w:line="500" w:lineRule="exact"/>
        <w:ind w:left="0" w:firstLine="560"/>
        <w:rPr>
          <w:rFonts w:hAnsi="宋体" w:cs="宋体"/>
          <w:color w:val="000000"/>
          <w:sz w:val="24"/>
        </w:rPr>
      </w:pPr>
      <w:r>
        <w:rPr>
          <w:rFonts w:hint="eastAsia" w:hAnsi="宋体" w:cs="宋体"/>
          <w:color w:val="000000"/>
          <w:sz w:val="24"/>
        </w:rPr>
        <w:t xml:space="preserve">除另有裁决外，仲裁费应由败诉方负担。 </w:t>
      </w:r>
    </w:p>
    <w:p>
      <w:pPr>
        <w:numPr>
          <w:ilvl w:val="0"/>
          <w:numId w:val="13"/>
        </w:numPr>
        <w:tabs>
          <w:tab w:val="left" w:pos="0"/>
        </w:tabs>
        <w:spacing w:line="500" w:lineRule="exact"/>
        <w:ind w:left="0" w:firstLine="560"/>
        <w:rPr>
          <w:rFonts w:hAnsi="宋体" w:cs="宋体"/>
          <w:color w:val="000000"/>
          <w:sz w:val="24"/>
        </w:rPr>
      </w:pPr>
      <w:r>
        <w:rPr>
          <w:rFonts w:hint="eastAsia" w:hAnsi="宋体" w:cs="宋体"/>
          <w:color w:val="000000"/>
          <w:sz w:val="24"/>
        </w:rPr>
        <w:t xml:space="preserve">在仲裁期间，除正在进行仲裁部分外，合同其他部分继续执行。  </w:t>
      </w:r>
    </w:p>
    <w:p>
      <w:pPr>
        <w:numPr>
          <w:ilvl w:val="0"/>
          <w:numId w:val="6"/>
        </w:numPr>
        <w:spacing w:line="500" w:lineRule="exact"/>
        <w:rPr>
          <w:rFonts w:hAnsi="宋体" w:cs="宋体"/>
          <w:b/>
          <w:color w:val="000000"/>
          <w:sz w:val="24"/>
        </w:rPr>
      </w:pPr>
      <w:bookmarkStart w:id="226" w:name="_Toc283019219"/>
      <w:bookmarkStart w:id="227" w:name="_Toc185395255"/>
      <w:bookmarkStart w:id="228" w:name="_Toc286993793"/>
      <w:bookmarkStart w:id="229" w:name="_Toc238984981"/>
      <w:bookmarkStart w:id="230" w:name="_Toc239568424"/>
      <w:bookmarkStart w:id="231" w:name="_Toc282696231"/>
      <w:bookmarkStart w:id="232" w:name="_Toc225654650"/>
      <w:bookmarkStart w:id="233" w:name="_Toc225244858"/>
      <w:bookmarkStart w:id="234" w:name="_Toc212019600"/>
      <w:bookmarkStart w:id="235" w:name="_Toc241833909"/>
      <w:bookmarkStart w:id="236" w:name="_Toc225670757"/>
      <w:bookmarkStart w:id="237" w:name="_Toc247334847"/>
      <w:bookmarkStart w:id="238" w:name="_Toc211911354"/>
      <w:bookmarkStart w:id="239" w:name="_Toc237145412"/>
      <w:bookmarkStart w:id="240" w:name="_Toc211854455"/>
      <w:bookmarkStart w:id="241" w:name="_Toc239233920"/>
      <w:bookmarkStart w:id="242" w:name="_Toc251768868"/>
      <w:bookmarkStart w:id="243" w:name="_Toc232492934"/>
      <w:r>
        <w:rPr>
          <w:rFonts w:hint="eastAsia" w:hAnsi="宋体" w:cs="宋体"/>
          <w:b/>
          <w:color w:val="000000"/>
          <w:sz w:val="24"/>
        </w:rPr>
        <w:t>合同</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hAnsi="宋体" w:cs="宋体"/>
          <w:b/>
          <w:color w:val="000000"/>
          <w:sz w:val="24"/>
        </w:rPr>
        <w:t>生效</w:t>
      </w:r>
    </w:p>
    <w:p>
      <w:pPr>
        <w:pStyle w:val="129"/>
        <w:numPr>
          <w:ilvl w:val="0"/>
          <w:numId w:val="14"/>
        </w:numPr>
        <w:spacing w:line="500" w:lineRule="exact"/>
        <w:ind w:left="0" w:firstLine="630" w:firstLineChars="0"/>
        <w:rPr>
          <w:rFonts w:hAnsi="宋体" w:cs="宋体"/>
          <w:color w:val="000000"/>
          <w:sz w:val="24"/>
          <w:szCs w:val="24"/>
        </w:rPr>
      </w:pPr>
      <w:r>
        <w:rPr>
          <w:rFonts w:hint="eastAsia" w:hAnsi="宋体" w:cs="宋体"/>
          <w:color w:val="000000"/>
          <w:sz w:val="24"/>
          <w:szCs w:val="24"/>
        </w:rPr>
        <w:t>合同经双方法定代表人或授权委托代理人签字并加盖单位公章后生效。</w:t>
      </w:r>
    </w:p>
    <w:p>
      <w:pPr>
        <w:pStyle w:val="129"/>
        <w:numPr>
          <w:ilvl w:val="0"/>
          <w:numId w:val="14"/>
        </w:numPr>
        <w:spacing w:line="500" w:lineRule="exact"/>
        <w:ind w:left="0" w:firstLine="630" w:firstLineChars="0"/>
        <w:rPr>
          <w:rFonts w:hAnsi="宋体" w:cs="宋体"/>
          <w:color w:val="000000"/>
          <w:sz w:val="24"/>
          <w:szCs w:val="24"/>
        </w:rPr>
      </w:pPr>
      <w:r>
        <w:rPr>
          <w:rFonts w:hint="eastAsia" w:hAnsi="宋体" w:cs="宋体"/>
          <w:color w:val="000000"/>
          <w:sz w:val="24"/>
          <w:szCs w:val="24"/>
        </w:rPr>
        <w:t>合同执行中涉及采购资金和采购内容修改或补充的，须经政府采购监管部门审批，并签书面补充协议报政府采购监督管理部门备案，方可作为主合同不可分割的一部分。</w:t>
      </w:r>
    </w:p>
    <w:p>
      <w:pPr>
        <w:numPr>
          <w:ilvl w:val="0"/>
          <w:numId w:val="6"/>
        </w:numPr>
        <w:spacing w:line="500" w:lineRule="exact"/>
        <w:rPr>
          <w:rFonts w:hAnsi="宋体" w:cs="宋体"/>
          <w:b/>
          <w:color w:val="000000"/>
          <w:sz w:val="24"/>
        </w:rPr>
      </w:pPr>
      <w:r>
        <w:rPr>
          <w:rFonts w:hint="eastAsia" w:hAnsi="宋体" w:cs="宋体"/>
          <w:b/>
          <w:color w:val="000000"/>
          <w:sz w:val="24"/>
        </w:rPr>
        <w:t>附件</w:t>
      </w:r>
    </w:p>
    <w:p>
      <w:pPr>
        <w:pStyle w:val="129"/>
        <w:numPr>
          <w:ilvl w:val="0"/>
          <w:numId w:val="15"/>
        </w:numPr>
        <w:spacing w:line="500" w:lineRule="exact"/>
        <w:ind w:firstLineChars="0"/>
        <w:rPr>
          <w:rFonts w:hAnsi="宋体" w:cs="宋体"/>
          <w:color w:val="000000"/>
          <w:sz w:val="24"/>
          <w:szCs w:val="24"/>
        </w:rPr>
      </w:pPr>
      <w:r>
        <w:rPr>
          <w:rFonts w:hint="eastAsia" w:hAnsi="宋体" w:cs="宋体"/>
          <w:color w:val="000000"/>
          <w:sz w:val="24"/>
          <w:szCs w:val="24"/>
        </w:rPr>
        <w:t>项目招标文件</w:t>
      </w:r>
    </w:p>
    <w:p>
      <w:pPr>
        <w:pStyle w:val="129"/>
        <w:numPr>
          <w:ilvl w:val="0"/>
          <w:numId w:val="15"/>
        </w:numPr>
        <w:spacing w:line="500" w:lineRule="exact"/>
        <w:ind w:firstLineChars="0"/>
        <w:rPr>
          <w:rFonts w:hAnsi="宋体" w:cs="宋体"/>
          <w:color w:val="000000"/>
          <w:sz w:val="24"/>
          <w:szCs w:val="24"/>
        </w:rPr>
      </w:pPr>
      <w:r>
        <w:rPr>
          <w:rFonts w:hint="eastAsia" w:hAnsi="宋体" w:cs="宋体"/>
          <w:color w:val="000000"/>
          <w:sz w:val="24"/>
          <w:szCs w:val="24"/>
        </w:rPr>
        <w:t>项目修改澄清文件</w:t>
      </w:r>
    </w:p>
    <w:p>
      <w:pPr>
        <w:pStyle w:val="129"/>
        <w:numPr>
          <w:ilvl w:val="0"/>
          <w:numId w:val="15"/>
        </w:numPr>
        <w:spacing w:line="500" w:lineRule="exact"/>
        <w:ind w:firstLineChars="0"/>
        <w:rPr>
          <w:rFonts w:hAnsi="宋体" w:cs="宋体"/>
          <w:color w:val="000000"/>
          <w:sz w:val="24"/>
          <w:szCs w:val="24"/>
        </w:rPr>
      </w:pPr>
      <w:r>
        <w:rPr>
          <w:rFonts w:hint="eastAsia" w:hAnsi="宋体" w:cs="宋体"/>
          <w:color w:val="000000"/>
          <w:sz w:val="24"/>
          <w:szCs w:val="24"/>
        </w:rPr>
        <w:t>项目投标文件</w:t>
      </w:r>
    </w:p>
    <w:p>
      <w:pPr>
        <w:pStyle w:val="129"/>
        <w:numPr>
          <w:ilvl w:val="0"/>
          <w:numId w:val="15"/>
        </w:numPr>
        <w:spacing w:line="500" w:lineRule="exact"/>
        <w:ind w:firstLineChars="0"/>
        <w:rPr>
          <w:rFonts w:hAnsi="宋体" w:cs="宋体"/>
          <w:color w:val="000000"/>
          <w:sz w:val="24"/>
          <w:szCs w:val="24"/>
        </w:rPr>
      </w:pPr>
      <w:r>
        <w:rPr>
          <w:rFonts w:hint="eastAsia" w:hAnsi="宋体" w:cs="宋体"/>
          <w:color w:val="000000"/>
          <w:sz w:val="24"/>
          <w:szCs w:val="24"/>
        </w:rPr>
        <w:t>中标通知书</w:t>
      </w:r>
    </w:p>
    <w:p>
      <w:pPr>
        <w:pStyle w:val="129"/>
        <w:numPr>
          <w:ilvl w:val="0"/>
          <w:numId w:val="15"/>
        </w:numPr>
        <w:spacing w:line="500" w:lineRule="exact"/>
        <w:ind w:firstLineChars="0"/>
        <w:rPr>
          <w:rFonts w:hAnsi="宋体" w:cs="宋体"/>
          <w:color w:val="000000"/>
          <w:sz w:val="24"/>
          <w:szCs w:val="24"/>
        </w:rPr>
      </w:pPr>
      <w:r>
        <w:rPr>
          <w:rFonts w:hint="eastAsia" w:hAnsi="宋体" w:cs="宋体"/>
          <w:color w:val="000000"/>
          <w:sz w:val="24"/>
          <w:szCs w:val="24"/>
        </w:rPr>
        <w:t>其他</w:t>
      </w:r>
    </w:p>
    <w:bookmarkEnd w:id="191"/>
    <w:p>
      <w:pPr>
        <w:numPr>
          <w:ilvl w:val="0"/>
          <w:numId w:val="6"/>
        </w:numPr>
        <w:spacing w:line="500" w:lineRule="exact"/>
        <w:rPr>
          <w:rFonts w:hAnsi="宋体" w:cs="宋体"/>
          <w:b/>
          <w:color w:val="000000"/>
          <w:sz w:val="24"/>
        </w:rPr>
      </w:pPr>
      <w:r>
        <w:rPr>
          <w:rFonts w:hint="eastAsia" w:hAnsi="宋体" w:cs="宋体"/>
          <w:b/>
          <w:color w:val="000000"/>
          <w:sz w:val="24"/>
        </w:rPr>
        <w:t>其他</w:t>
      </w:r>
    </w:p>
    <w:p>
      <w:pPr>
        <w:pStyle w:val="56"/>
        <w:spacing w:line="500" w:lineRule="exact"/>
        <w:ind w:firstLine="480"/>
        <w:rPr>
          <w:rFonts w:hAnsi="宋体"/>
          <w:color w:val="000000"/>
        </w:rPr>
      </w:pPr>
      <w:r>
        <w:rPr>
          <w:rFonts w:hint="eastAsia" w:hAnsi="宋体"/>
          <w:color w:val="000000"/>
        </w:rPr>
        <w:t>1、如有未尽事宜，由双方依法订立补充合同。</w:t>
      </w:r>
    </w:p>
    <w:p>
      <w:pPr>
        <w:pStyle w:val="92"/>
        <w:spacing w:line="440" w:lineRule="exact"/>
        <w:ind w:firstLine="480"/>
        <w:rPr>
          <w:color w:val="000000"/>
        </w:rPr>
      </w:pPr>
      <w:r>
        <w:rPr>
          <w:rFonts w:hint="eastAsia"/>
          <w:color w:val="000000"/>
        </w:rPr>
        <w:t>2、本合同一式</w:t>
      </w:r>
      <w:r>
        <w:rPr>
          <w:rFonts w:hint="eastAsia"/>
          <w:color w:val="000000"/>
          <w:u w:val="single"/>
        </w:rPr>
        <w:t xml:space="preserve">  </w:t>
      </w:r>
      <w:r>
        <w:rPr>
          <w:rFonts w:hint="eastAsia"/>
          <w:color w:val="000000"/>
        </w:rPr>
        <w:t>份，自双方签章之日起生效。甲方</w:t>
      </w:r>
      <w:r>
        <w:rPr>
          <w:rFonts w:hint="eastAsia"/>
          <w:color w:val="000000"/>
          <w:u w:val="single"/>
        </w:rPr>
        <w:t xml:space="preserve">  </w:t>
      </w:r>
      <w:r>
        <w:rPr>
          <w:rFonts w:hint="eastAsia"/>
          <w:color w:val="000000"/>
        </w:rPr>
        <w:t>份，乙方</w:t>
      </w:r>
      <w:r>
        <w:rPr>
          <w:rFonts w:hint="eastAsia"/>
          <w:color w:val="000000"/>
          <w:u w:val="single"/>
        </w:rPr>
        <w:t xml:space="preserve">  </w:t>
      </w:r>
      <w:r>
        <w:rPr>
          <w:rFonts w:hint="eastAsia"/>
          <w:color w:val="000000"/>
        </w:rPr>
        <w:t>份，政府采购代理机构</w:t>
      </w:r>
      <w:r>
        <w:rPr>
          <w:rFonts w:hint="eastAsia"/>
          <w:color w:val="000000"/>
          <w:u w:val="single"/>
        </w:rPr>
        <w:t xml:space="preserve">  </w:t>
      </w:r>
      <w:r>
        <w:rPr>
          <w:rFonts w:hint="eastAsia"/>
          <w:color w:val="000000"/>
        </w:rPr>
        <w:t>份，同级财政部门备案</w:t>
      </w:r>
      <w:r>
        <w:rPr>
          <w:rFonts w:hint="eastAsia"/>
          <w:color w:val="000000"/>
          <w:u w:val="single"/>
        </w:rPr>
        <w:t xml:space="preserve">  </w:t>
      </w:r>
      <w:r>
        <w:rPr>
          <w:rFonts w:hint="eastAsia"/>
          <w:color w:val="000000"/>
        </w:rPr>
        <w:t>份，具有同等法律效力。</w:t>
      </w:r>
    </w:p>
    <w:p>
      <w:pPr>
        <w:pStyle w:val="56"/>
        <w:spacing w:line="500" w:lineRule="exact"/>
        <w:ind w:firstLine="480"/>
        <w:rPr>
          <w:rFonts w:hAnsi="宋体"/>
          <w:color w:val="000000"/>
        </w:rPr>
      </w:pPr>
    </w:p>
    <w:p>
      <w:pPr>
        <w:spacing w:line="500" w:lineRule="exact"/>
        <w:rPr>
          <w:rFonts w:hAnsi="宋体" w:cs="宋体"/>
          <w:color w:val="000000"/>
          <w:sz w:val="24"/>
        </w:rPr>
      </w:pPr>
    </w:p>
    <w:p>
      <w:pPr>
        <w:spacing w:line="500" w:lineRule="exact"/>
        <w:ind w:firstLine="480" w:firstLineChars="200"/>
        <w:rPr>
          <w:rFonts w:hAnsi="宋体" w:cs="宋体"/>
          <w:color w:val="000000"/>
          <w:sz w:val="24"/>
        </w:rPr>
      </w:pPr>
      <w:r>
        <w:rPr>
          <w:rFonts w:hint="eastAsia" w:hAnsi="宋体" w:cs="宋体"/>
          <w:color w:val="000000"/>
          <w:sz w:val="24"/>
        </w:rPr>
        <w:t>甲方：</w:t>
      </w:r>
      <w:r>
        <w:rPr>
          <w:rFonts w:hint="eastAsia" w:hAnsi="宋体" w:cs="宋体"/>
          <w:color w:val="000000"/>
          <w:sz w:val="24"/>
          <w:u w:val="single"/>
        </w:rPr>
        <w:t xml:space="preserve">                </w:t>
      </w:r>
      <w:r>
        <w:rPr>
          <w:rFonts w:hint="eastAsia" w:hAnsi="宋体" w:cs="宋体"/>
          <w:color w:val="000000"/>
          <w:sz w:val="24"/>
        </w:rPr>
        <w:t xml:space="preserve">（盖章）   </w:t>
      </w:r>
      <w:r>
        <w:rPr>
          <w:rFonts w:hint="eastAsia" w:hAnsi="宋体" w:cs="宋体"/>
          <w:color w:val="000000"/>
          <w:sz w:val="24"/>
        </w:rPr>
        <w:tab/>
      </w:r>
      <w:r>
        <w:rPr>
          <w:rFonts w:hint="eastAsia" w:hAnsi="宋体" w:cs="宋体"/>
          <w:color w:val="000000"/>
          <w:sz w:val="24"/>
        </w:rPr>
        <w:t xml:space="preserve"> 乙方：</w:t>
      </w:r>
      <w:r>
        <w:rPr>
          <w:rFonts w:hint="eastAsia" w:hAnsi="宋体" w:cs="宋体"/>
          <w:color w:val="000000"/>
          <w:sz w:val="24"/>
          <w:u w:val="single"/>
        </w:rPr>
        <w:t xml:space="preserve">                 </w:t>
      </w:r>
      <w:r>
        <w:rPr>
          <w:rFonts w:hint="eastAsia" w:hAnsi="宋体" w:cs="宋体"/>
          <w:color w:val="000000"/>
          <w:sz w:val="24"/>
        </w:rPr>
        <w:t>（盖章）</w:t>
      </w:r>
    </w:p>
    <w:p>
      <w:pPr>
        <w:spacing w:line="500" w:lineRule="exact"/>
        <w:ind w:firstLine="480" w:firstLineChars="200"/>
        <w:rPr>
          <w:rFonts w:hAnsi="宋体" w:cs="宋体"/>
          <w:color w:val="000000"/>
          <w:sz w:val="24"/>
        </w:rPr>
      </w:pPr>
      <w:r>
        <w:rPr>
          <w:rFonts w:hint="eastAsia" w:hAnsi="宋体" w:cs="宋体"/>
          <w:color w:val="000000"/>
          <w:sz w:val="24"/>
        </w:rPr>
        <w:t>法定代表人（授权代表）：</w:t>
      </w:r>
      <w:r>
        <w:rPr>
          <w:rFonts w:hint="eastAsia" w:hAnsi="宋体" w:cs="宋体"/>
          <w:color w:val="000000"/>
          <w:sz w:val="24"/>
          <w:u w:val="single"/>
        </w:rPr>
        <w:t xml:space="preserve">      </w:t>
      </w:r>
      <w:r>
        <w:rPr>
          <w:rFonts w:hint="eastAsia" w:hAnsi="宋体" w:cs="宋体"/>
          <w:color w:val="000000"/>
          <w:sz w:val="24"/>
        </w:rPr>
        <w:t xml:space="preserve">      法定代表人（授权代表）：</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地    址：</w:t>
      </w:r>
      <w:r>
        <w:rPr>
          <w:rFonts w:hint="eastAsia" w:hAnsi="宋体" w:cs="宋体"/>
          <w:color w:val="000000"/>
          <w:sz w:val="24"/>
          <w:u w:val="single"/>
        </w:rPr>
        <w:t xml:space="preserve">                </w:t>
      </w:r>
      <w:r>
        <w:rPr>
          <w:rFonts w:hint="eastAsia" w:hAnsi="宋体" w:cs="宋体"/>
          <w:color w:val="000000"/>
          <w:sz w:val="24"/>
        </w:rPr>
        <w:t xml:space="preserve">         地    址：</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开户银行：</w:t>
      </w:r>
      <w:r>
        <w:rPr>
          <w:rFonts w:hint="eastAsia" w:hAnsi="宋体" w:cs="宋体"/>
          <w:color w:val="000000"/>
          <w:sz w:val="24"/>
          <w:u w:val="single"/>
        </w:rPr>
        <w:t xml:space="preserve">                </w:t>
      </w:r>
      <w:r>
        <w:rPr>
          <w:rFonts w:hint="eastAsia" w:hAnsi="宋体" w:cs="宋体"/>
          <w:color w:val="000000"/>
          <w:sz w:val="24"/>
        </w:rPr>
        <w:t xml:space="preserve">         开户银行：</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账    号：</w:t>
      </w:r>
      <w:r>
        <w:rPr>
          <w:rFonts w:hint="eastAsia" w:hAnsi="宋体" w:cs="宋体"/>
          <w:color w:val="000000"/>
          <w:sz w:val="24"/>
          <w:u w:val="single"/>
        </w:rPr>
        <w:t xml:space="preserve">                </w:t>
      </w:r>
      <w:r>
        <w:rPr>
          <w:rFonts w:hint="eastAsia" w:hAnsi="宋体" w:cs="宋体"/>
          <w:color w:val="000000"/>
          <w:sz w:val="24"/>
        </w:rPr>
        <w:t xml:space="preserve">         账    号：</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电    话：</w:t>
      </w:r>
      <w:r>
        <w:rPr>
          <w:rFonts w:hint="eastAsia" w:hAnsi="宋体" w:cs="宋体"/>
          <w:color w:val="000000"/>
          <w:sz w:val="24"/>
          <w:u w:val="single"/>
        </w:rPr>
        <w:t xml:space="preserve">                </w:t>
      </w:r>
      <w:r>
        <w:rPr>
          <w:rFonts w:hint="eastAsia" w:hAnsi="宋体" w:cs="宋体"/>
          <w:color w:val="000000"/>
          <w:sz w:val="24"/>
        </w:rPr>
        <w:t xml:space="preserve">         电    话：</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传    真：</w:t>
      </w:r>
      <w:r>
        <w:rPr>
          <w:rFonts w:hint="eastAsia" w:hAnsi="宋体" w:cs="宋体"/>
          <w:color w:val="000000"/>
          <w:sz w:val="24"/>
          <w:u w:val="single"/>
        </w:rPr>
        <w:t xml:space="preserve">                </w:t>
      </w:r>
      <w:r>
        <w:rPr>
          <w:rFonts w:hint="eastAsia" w:hAnsi="宋体" w:cs="宋体"/>
          <w:color w:val="000000"/>
          <w:sz w:val="24"/>
        </w:rPr>
        <w:t xml:space="preserve">         传    真：</w:t>
      </w:r>
      <w:r>
        <w:rPr>
          <w:rFonts w:hint="eastAsia" w:hAnsi="宋体" w:cs="宋体"/>
          <w:color w:val="000000"/>
          <w:sz w:val="24"/>
          <w:u w:val="single"/>
        </w:rPr>
        <w:t xml:space="preserve">                </w:t>
      </w:r>
    </w:p>
    <w:p>
      <w:pPr>
        <w:spacing w:line="500" w:lineRule="exact"/>
        <w:ind w:firstLine="480" w:firstLineChars="200"/>
        <w:rPr>
          <w:rFonts w:hAnsi="宋体" w:cs="宋体"/>
          <w:color w:val="000000"/>
          <w:sz w:val="24"/>
        </w:rPr>
      </w:pPr>
      <w:r>
        <w:rPr>
          <w:rFonts w:hint="eastAsia" w:hAnsi="宋体" w:cs="宋体"/>
          <w:color w:val="000000"/>
          <w:sz w:val="24"/>
        </w:rPr>
        <w:t>签约日期：</w:t>
      </w:r>
      <w:r>
        <w:rPr>
          <w:rFonts w:hint="eastAsia" w:hAnsi="宋体" w:cs="宋体"/>
          <w:color w:val="000000"/>
          <w:sz w:val="24"/>
          <w:u w:val="single"/>
        </w:rPr>
        <w:t xml:space="preserve">  </w:t>
      </w:r>
      <w:r>
        <w:rPr>
          <w:rFonts w:hint="eastAsia" w:hAnsi="宋体" w:cs="宋体"/>
          <w:color w:val="000000"/>
          <w:sz w:val="24"/>
        </w:rPr>
        <w:t>年</w:t>
      </w:r>
      <w:r>
        <w:rPr>
          <w:rFonts w:hint="eastAsia" w:hAnsi="宋体" w:cs="宋体"/>
          <w:color w:val="000000"/>
          <w:sz w:val="24"/>
          <w:u w:val="single"/>
        </w:rPr>
        <w:t xml:space="preserve">  </w:t>
      </w:r>
      <w:r>
        <w:rPr>
          <w:rFonts w:hint="eastAsia" w:hAnsi="宋体" w:cs="宋体"/>
          <w:color w:val="000000"/>
          <w:sz w:val="24"/>
        </w:rPr>
        <w:t>月</w:t>
      </w:r>
      <w:r>
        <w:rPr>
          <w:rFonts w:hint="eastAsia" w:hAnsi="宋体" w:cs="宋体"/>
          <w:color w:val="000000"/>
          <w:sz w:val="24"/>
          <w:u w:val="single"/>
        </w:rPr>
        <w:t xml:space="preserve">  </w:t>
      </w:r>
      <w:r>
        <w:rPr>
          <w:rFonts w:hint="eastAsia" w:hAnsi="宋体" w:cs="宋体"/>
          <w:color w:val="000000"/>
          <w:sz w:val="24"/>
        </w:rPr>
        <w:t xml:space="preserve">日 </w:t>
      </w:r>
      <w:r>
        <w:rPr>
          <w:rFonts w:hint="eastAsia" w:hAnsi="宋体" w:cs="宋体"/>
          <w:color w:val="000000"/>
          <w:sz w:val="24"/>
        </w:rPr>
        <w:tab/>
      </w:r>
      <w:r>
        <w:rPr>
          <w:rFonts w:hint="eastAsia" w:hAnsi="宋体" w:cs="宋体"/>
          <w:color w:val="000000"/>
          <w:sz w:val="24"/>
        </w:rPr>
        <w:tab/>
      </w:r>
      <w:r>
        <w:rPr>
          <w:rFonts w:hint="eastAsia" w:hAnsi="宋体" w:cs="宋体"/>
          <w:color w:val="000000"/>
          <w:sz w:val="24"/>
        </w:rPr>
        <w:tab/>
      </w:r>
      <w:r>
        <w:rPr>
          <w:rFonts w:hint="eastAsia" w:hAnsi="宋体" w:cs="宋体"/>
          <w:color w:val="000000"/>
          <w:sz w:val="24"/>
        </w:rPr>
        <w:t xml:space="preserve">    签约日期：</w:t>
      </w:r>
      <w:r>
        <w:rPr>
          <w:rFonts w:hint="eastAsia" w:hAnsi="宋体" w:cs="宋体"/>
          <w:color w:val="000000"/>
          <w:sz w:val="24"/>
          <w:u w:val="single"/>
        </w:rPr>
        <w:t xml:space="preserve">  </w:t>
      </w:r>
      <w:r>
        <w:rPr>
          <w:rFonts w:hint="eastAsia" w:hAnsi="宋体" w:cs="宋体"/>
          <w:color w:val="000000"/>
          <w:sz w:val="24"/>
        </w:rPr>
        <w:t>年</w:t>
      </w:r>
      <w:r>
        <w:rPr>
          <w:rFonts w:hint="eastAsia" w:hAnsi="宋体" w:cs="宋体"/>
          <w:color w:val="000000"/>
          <w:sz w:val="24"/>
          <w:u w:val="single"/>
        </w:rPr>
        <w:t xml:space="preserve">  </w:t>
      </w:r>
      <w:r>
        <w:rPr>
          <w:rFonts w:hint="eastAsia" w:hAnsi="宋体" w:cs="宋体"/>
          <w:color w:val="000000"/>
          <w:sz w:val="24"/>
        </w:rPr>
        <w:t>月</w:t>
      </w:r>
      <w:r>
        <w:rPr>
          <w:rFonts w:hint="eastAsia" w:hAnsi="宋体" w:cs="宋体"/>
          <w:color w:val="000000"/>
          <w:sz w:val="24"/>
          <w:u w:val="single"/>
        </w:rPr>
        <w:t xml:space="preserve">  </w:t>
      </w:r>
      <w:r>
        <w:rPr>
          <w:rFonts w:hint="eastAsia" w:hAnsi="宋体" w:cs="宋体"/>
          <w:color w:val="000000"/>
          <w:sz w:val="24"/>
        </w:rPr>
        <w:t>日</w:t>
      </w:r>
    </w:p>
    <w:p>
      <w:pPr>
        <w:pStyle w:val="2"/>
        <w:ind w:firstLine="562" w:firstLineChars="200"/>
        <w:rPr>
          <w:rFonts w:hAnsi="宋体" w:cs="黑体"/>
          <w:b/>
          <w:color w:val="000000"/>
          <w:sz w:val="28"/>
          <w:szCs w:val="28"/>
        </w:rPr>
      </w:pPr>
    </w:p>
    <w:p>
      <w:pPr>
        <w:pStyle w:val="2"/>
        <w:ind w:firstLine="562" w:firstLineChars="200"/>
        <w:rPr>
          <w:rFonts w:hAnsi="宋体"/>
          <w:color w:val="000000"/>
        </w:rPr>
      </w:pPr>
      <w:r>
        <w:rPr>
          <w:rFonts w:hint="eastAsia" w:hAnsi="宋体" w:cs="黑体"/>
          <w:b/>
          <w:color w:val="000000"/>
          <w:sz w:val="28"/>
          <w:szCs w:val="28"/>
        </w:rPr>
        <w:t>注：本合同仅供参考，具体内容由采购人和中标人在遵守中华人民共和国相关法律法规、本招标文件具体要求及中标人招标承诺的原则上协商签订。</w:t>
      </w:r>
    </w:p>
    <w:bookmarkEnd w:id="179"/>
    <w:p>
      <w:pPr>
        <w:spacing w:beforeLines="50" w:afterLines="50"/>
        <w:rPr>
          <w:rFonts w:hAnsi="宋体"/>
          <w:b/>
          <w:sz w:val="24"/>
          <w:szCs w:val="28"/>
        </w:rPr>
      </w:pPr>
    </w:p>
    <w:sectPr>
      <w:footerReference r:id="rId7" w:type="default"/>
      <w:pgSz w:w="11906"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Eʩ">
    <w:altName w:val="宋体"/>
    <w:panose1 w:val="00000000000000000000"/>
    <w:charset w:val="00"/>
    <w:family w:val="auto"/>
    <w:pitch w:val="default"/>
    <w:sig w:usb0="00000000" w:usb1="00000000" w:usb2="00000000" w:usb3="00000000" w:csb0="00040001" w:csb1="00000000"/>
  </w:font>
  <w:font w:name="Calibri Light">
    <w:panose1 w:val="020F0302020204030204"/>
    <w:charset w:val="00"/>
    <w:family w:val="swiss"/>
    <w:pitch w:val="default"/>
    <w:sig w:usb0="A00002EF" w:usb1="4000207B" w:usb2="00000000" w:usb3="00000000" w:csb0="2000019F" w:csb1="00000000"/>
  </w:font>
  <w:font w:name="Book Antiqua">
    <w:altName w:val="Segoe Print"/>
    <w:panose1 w:val="02040602050305030304"/>
    <w:charset w:val="00"/>
    <w:family w:val="roman"/>
    <w:pitch w:val="default"/>
    <w:sig w:usb0="00000000" w:usb1="00000000" w:usb2="00000000" w:usb3="00000000" w:csb0="2000009F" w:csb1="DFD70000"/>
  </w:font>
  <w:font w:name="仿宋_GB2312">
    <w:altName w:val="仿宋"/>
    <w:panose1 w:val="00000000000000000000"/>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43"/>
      </w:rPr>
    </w:pPr>
    <w:r>
      <w:fldChar w:fldCharType="begin"/>
    </w:r>
    <w:r>
      <w:rPr>
        <w:rStyle w:val="43"/>
      </w:rPr>
      <w:instrText xml:space="preserve">PAGE  </w:instrText>
    </w:r>
    <w:r>
      <w:fldChar w:fldCharType="separate"/>
    </w:r>
    <w:r>
      <w:rPr>
        <w:rStyle w:val="43"/>
      </w:rPr>
      <w:t>4</w:t>
    </w:r>
    <w:r>
      <w:fldChar w:fldCharType="end"/>
    </w:r>
  </w:p>
  <w:p>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4680" w:firstLineChars="2600"/>
    </w:pPr>
    <w:r>
      <w:rPr>
        <w:rFonts w:hint="eastAsia"/>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5"/>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5"/>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5"/>
                          </w:pPr>
                          <w:r>
                            <w:rPr>
                              <w:rFonts w:hint="eastAsia"/>
                            </w:rPr>
                            <w:fldChar w:fldCharType="begin"/>
                          </w:r>
                          <w:r>
                            <w:rPr>
                              <w:rFonts w:hint="eastAsia"/>
                            </w:rPr>
                            <w:instrText xml:space="preserve"> PAGE  \* MERGEFORMAT </w:instrText>
                          </w:r>
                          <w:r>
                            <w:rPr>
                              <w:rFonts w:hint="eastAsia"/>
                            </w:rPr>
                            <w:fldChar w:fldCharType="separate"/>
                          </w:r>
                          <w:r>
                            <w:t>47</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25"/>
                    </w:pPr>
                    <w:r>
                      <w:rPr>
                        <w:rFonts w:hint="eastAsia"/>
                      </w:rPr>
                      <w:fldChar w:fldCharType="begin"/>
                    </w:r>
                    <w:r>
                      <w:rPr>
                        <w:rFonts w:hint="eastAsia"/>
                      </w:rPr>
                      <w:instrText xml:space="preserve"> PAGE  \* MERGEFORMAT </w:instrText>
                    </w:r>
                    <w:r>
                      <w:rPr>
                        <w:rFonts w:hint="eastAsia"/>
                      </w:rPr>
                      <w:fldChar w:fldCharType="separate"/>
                    </w:r>
                    <w:r>
                      <w:t>47</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32AB27"/>
    <w:multiLevelType w:val="singleLevel"/>
    <w:tmpl w:val="FB32AB27"/>
    <w:lvl w:ilvl="0" w:tentative="0">
      <w:start w:val="1"/>
      <w:numFmt w:val="decimal"/>
      <w:suff w:val="nothing"/>
      <w:lvlText w:val="（%1）"/>
      <w:lvlJc w:val="left"/>
    </w:lvl>
  </w:abstractNum>
  <w:abstractNum w:abstractNumId="1">
    <w:nsid w:val="00000001"/>
    <w:multiLevelType w:val="multilevel"/>
    <w:tmpl w:val="00000001"/>
    <w:lvl w:ilvl="0" w:tentative="0">
      <w:start w:val="1"/>
      <w:numFmt w:val="decimal"/>
      <w:suff w:val="nothing"/>
      <w:lvlText w:val="%1."/>
      <w:lvlJc w:val="left"/>
      <w:pPr>
        <w:ind w:left="840" w:hanging="840"/>
      </w:pPr>
      <w:rPr>
        <w:rFonts w:hint="default"/>
      </w:rPr>
    </w:lvl>
    <w:lvl w:ilvl="1" w:tentative="0">
      <w:start w:val="1"/>
      <w:numFmt w:val="decimal"/>
      <w:lvlText w:val="%2、"/>
      <w:lvlJc w:val="left"/>
      <w:pPr>
        <w:tabs>
          <w:tab w:val="left" w:pos="1200"/>
        </w:tabs>
        <w:ind w:left="1200" w:hanging="36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00000002"/>
    <w:multiLevelType w:val="multilevel"/>
    <w:tmpl w:val="00000002"/>
    <w:lvl w:ilvl="0" w:tentative="0">
      <w:start w:val="1"/>
      <w:numFmt w:val="decimal"/>
      <w:suff w:val="nothing"/>
      <w:lvlText w:val="%1."/>
      <w:lvlJc w:val="left"/>
      <w:pPr>
        <w:ind w:left="846"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00000006"/>
    <w:multiLevelType w:val="multilevel"/>
    <w:tmpl w:val="00000006"/>
    <w:lvl w:ilvl="0" w:tentative="0">
      <w:start w:val="1"/>
      <w:numFmt w:val="decimal"/>
      <w:suff w:val="nothing"/>
      <w:lvlText w:val="%1."/>
      <w:lvlJc w:val="left"/>
      <w:pPr>
        <w:ind w:left="986" w:hanging="420"/>
      </w:pPr>
      <w:rPr>
        <w:rFonts w:hint="eastAsia"/>
      </w:rPr>
    </w:lvl>
    <w:lvl w:ilvl="1" w:tentative="0">
      <w:start w:val="1"/>
      <w:numFmt w:val="lowerLetter"/>
      <w:lvlText w:val="%2)"/>
      <w:lvlJc w:val="left"/>
      <w:pPr>
        <w:ind w:left="1596" w:hanging="420"/>
      </w:pPr>
    </w:lvl>
    <w:lvl w:ilvl="2" w:tentative="0">
      <w:start w:val="1"/>
      <w:numFmt w:val="lowerRoman"/>
      <w:lvlText w:val="%3."/>
      <w:lvlJc w:val="right"/>
      <w:pPr>
        <w:ind w:left="2016" w:hanging="420"/>
      </w:pPr>
    </w:lvl>
    <w:lvl w:ilvl="3" w:tentative="0">
      <w:start w:val="1"/>
      <w:numFmt w:val="decimal"/>
      <w:lvlText w:val="%4."/>
      <w:lvlJc w:val="left"/>
      <w:pPr>
        <w:ind w:left="2436" w:hanging="420"/>
      </w:pPr>
    </w:lvl>
    <w:lvl w:ilvl="4" w:tentative="0">
      <w:start w:val="1"/>
      <w:numFmt w:val="lowerLetter"/>
      <w:lvlText w:val="%5)"/>
      <w:lvlJc w:val="left"/>
      <w:pPr>
        <w:ind w:left="2856" w:hanging="420"/>
      </w:pPr>
    </w:lvl>
    <w:lvl w:ilvl="5" w:tentative="0">
      <w:start w:val="1"/>
      <w:numFmt w:val="lowerRoman"/>
      <w:lvlText w:val="%6."/>
      <w:lvlJc w:val="right"/>
      <w:pPr>
        <w:ind w:left="3276" w:hanging="420"/>
      </w:pPr>
    </w:lvl>
    <w:lvl w:ilvl="6" w:tentative="0">
      <w:start w:val="1"/>
      <w:numFmt w:val="decimal"/>
      <w:lvlText w:val="%7."/>
      <w:lvlJc w:val="left"/>
      <w:pPr>
        <w:ind w:left="3696" w:hanging="420"/>
      </w:pPr>
    </w:lvl>
    <w:lvl w:ilvl="7" w:tentative="0">
      <w:start w:val="1"/>
      <w:numFmt w:val="lowerLetter"/>
      <w:lvlText w:val="%8)"/>
      <w:lvlJc w:val="left"/>
      <w:pPr>
        <w:ind w:left="4116" w:hanging="420"/>
      </w:pPr>
    </w:lvl>
    <w:lvl w:ilvl="8" w:tentative="0">
      <w:start w:val="1"/>
      <w:numFmt w:val="lowerRoman"/>
      <w:lvlText w:val="%9."/>
      <w:lvlJc w:val="right"/>
      <w:pPr>
        <w:ind w:left="4536" w:hanging="420"/>
      </w:pPr>
    </w:lvl>
  </w:abstractNum>
  <w:abstractNum w:abstractNumId="4">
    <w:nsid w:val="00000007"/>
    <w:multiLevelType w:val="multilevel"/>
    <w:tmpl w:val="00000007"/>
    <w:lvl w:ilvl="0" w:tentative="0">
      <w:start w:val="1"/>
      <w:numFmt w:val="decimal"/>
      <w:suff w:val="nothing"/>
      <w:lvlText w:val="%1."/>
      <w:lvlJc w:val="left"/>
      <w:pPr>
        <w:ind w:left="1406" w:hanging="840"/>
      </w:pPr>
      <w:rPr>
        <w:rFonts w:hint="default"/>
      </w:rPr>
    </w:lvl>
    <w:lvl w:ilvl="1" w:tentative="0">
      <w:start w:val="1"/>
      <w:numFmt w:val="decimal"/>
      <w:lvlText w:val="%2、"/>
      <w:lvlJc w:val="left"/>
      <w:pPr>
        <w:tabs>
          <w:tab w:val="left" w:pos="1200"/>
        </w:tabs>
        <w:ind w:left="1200" w:hanging="36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08"/>
    <w:multiLevelType w:val="multilevel"/>
    <w:tmpl w:val="00000008"/>
    <w:lvl w:ilvl="0" w:tentative="0">
      <w:start w:val="1"/>
      <w:numFmt w:val="decimal"/>
      <w:suff w:val="nothing"/>
      <w:lvlText w:val="%1."/>
      <w:lvlJc w:val="left"/>
      <w:pPr>
        <w:ind w:left="420" w:hanging="420"/>
      </w:pPr>
      <w:rPr>
        <w:rFonts w:hint="eastAsia"/>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D"/>
    <w:multiLevelType w:val="multilevel"/>
    <w:tmpl w:val="0000000D"/>
    <w:lvl w:ilvl="0" w:tentative="0">
      <w:start w:val="1"/>
      <w:numFmt w:val="decimal"/>
      <w:suff w:val="nothing"/>
      <w:lvlText w:val="%1."/>
      <w:lvlJc w:val="left"/>
      <w:pPr>
        <w:ind w:left="840" w:hanging="840"/>
      </w:pPr>
      <w:rPr>
        <w:rFonts w:hint="default"/>
      </w:rPr>
    </w:lvl>
    <w:lvl w:ilvl="1" w:tentative="0">
      <w:start w:val="1"/>
      <w:numFmt w:val="decimal"/>
      <w:lvlText w:val="%2、"/>
      <w:lvlJc w:val="left"/>
      <w:pPr>
        <w:tabs>
          <w:tab w:val="left" w:pos="1200"/>
        </w:tabs>
        <w:ind w:left="1200" w:hanging="36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7">
    <w:nsid w:val="00000012"/>
    <w:multiLevelType w:val="singleLevel"/>
    <w:tmpl w:val="00000012"/>
    <w:lvl w:ilvl="0" w:tentative="0">
      <w:start w:val="1"/>
      <w:numFmt w:val="japaneseCounting"/>
      <w:lvlText w:val="第%1条"/>
      <w:lvlJc w:val="left"/>
      <w:pPr>
        <w:tabs>
          <w:tab w:val="left" w:pos="1521"/>
        </w:tabs>
        <w:ind w:left="1521" w:hanging="1095"/>
      </w:pPr>
      <w:rPr>
        <w:rFonts w:hint="eastAsia"/>
      </w:rPr>
    </w:lvl>
  </w:abstractNum>
  <w:abstractNum w:abstractNumId="8">
    <w:nsid w:val="00000014"/>
    <w:multiLevelType w:val="multilevel"/>
    <w:tmpl w:val="00000014"/>
    <w:lvl w:ilvl="0" w:tentative="0">
      <w:start w:val="1"/>
      <w:numFmt w:val="chineseCountingThousand"/>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16"/>
    <w:multiLevelType w:val="multilevel"/>
    <w:tmpl w:val="00000016"/>
    <w:lvl w:ilvl="0" w:tentative="0">
      <w:start w:val="1"/>
      <w:numFmt w:val="decimal"/>
      <w:suff w:val="nothing"/>
      <w:lvlText w:val="%1."/>
      <w:lvlJc w:val="left"/>
      <w:pPr>
        <w:ind w:left="1560" w:hanging="720"/>
      </w:pPr>
      <w:rPr>
        <w:rFonts w:hint="eastAsia"/>
        <w:sz w:val="28"/>
        <w:szCs w:val="28"/>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0">
    <w:nsid w:val="07C4A25A"/>
    <w:multiLevelType w:val="singleLevel"/>
    <w:tmpl w:val="07C4A25A"/>
    <w:lvl w:ilvl="0" w:tentative="0">
      <w:start w:val="2"/>
      <w:numFmt w:val="decimal"/>
      <w:lvlText w:val="%1."/>
      <w:lvlJc w:val="left"/>
      <w:pPr>
        <w:tabs>
          <w:tab w:val="left" w:pos="312"/>
        </w:tabs>
      </w:pPr>
    </w:lvl>
  </w:abstractNum>
  <w:abstractNum w:abstractNumId="11">
    <w:nsid w:val="0E50B92F"/>
    <w:multiLevelType w:val="singleLevel"/>
    <w:tmpl w:val="0E50B92F"/>
    <w:lvl w:ilvl="0" w:tentative="0">
      <w:start w:val="1"/>
      <w:numFmt w:val="chineseCounting"/>
      <w:suff w:val="nothing"/>
      <w:lvlText w:val="%1、"/>
      <w:lvlJc w:val="left"/>
      <w:rPr>
        <w:rFonts w:hint="eastAsia"/>
      </w:rPr>
    </w:lvl>
  </w:abstractNum>
  <w:abstractNum w:abstractNumId="12">
    <w:nsid w:val="5A4DDCB8"/>
    <w:multiLevelType w:val="singleLevel"/>
    <w:tmpl w:val="5A4DDCB8"/>
    <w:lvl w:ilvl="0" w:tentative="0">
      <w:start w:val="5"/>
      <w:numFmt w:val="chineseCounting"/>
      <w:suff w:val="space"/>
      <w:lvlText w:val="第%1章"/>
      <w:lvlJc w:val="left"/>
    </w:lvl>
  </w:abstractNum>
  <w:abstractNum w:abstractNumId="13">
    <w:nsid w:val="69DA2B38"/>
    <w:multiLevelType w:val="multilevel"/>
    <w:tmpl w:val="69DA2B38"/>
    <w:lvl w:ilvl="0" w:tentative="0">
      <w:start w:val="1"/>
      <w:numFmt w:val="decimal"/>
      <w:suff w:val="nothing"/>
      <w:lvlText w:val="%1."/>
      <w:lvlJc w:val="left"/>
      <w:pPr>
        <w:ind w:left="1560" w:hanging="720"/>
      </w:pPr>
      <w:rPr>
        <w:rFonts w:hint="eastAsia"/>
        <w:sz w:val="28"/>
        <w:szCs w:val="28"/>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4">
    <w:nsid w:val="6D081F33"/>
    <w:multiLevelType w:val="multilevel"/>
    <w:tmpl w:val="6D081F33"/>
    <w:lvl w:ilvl="0" w:tentative="0">
      <w:start w:val="1"/>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0"/>
  </w:num>
  <w:num w:numId="3">
    <w:abstractNumId w:val="10"/>
  </w:num>
  <w:num w:numId="4">
    <w:abstractNumId w:val="12"/>
  </w:num>
  <w:num w:numId="5">
    <w:abstractNumId w:val="14"/>
  </w:num>
  <w:num w:numId="6">
    <w:abstractNumId w:val="7"/>
  </w:num>
  <w:num w:numId="7">
    <w:abstractNumId w:val="8"/>
  </w:num>
  <w:num w:numId="8">
    <w:abstractNumId w:val="3"/>
  </w:num>
  <w:num w:numId="9">
    <w:abstractNumId w:val="1"/>
  </w:num>
  <w:num w:numId="10">
    <w:abstractNumId w:val="6"/>
  </w:num>
  <w:num w:numId="11">
    <w:abstractNumId w:val="4"/>
  </w:num>
  <w:num w:numId="12">
    <w:abstractNumId w:val="5"/>
  </w:num>
  <w:num w:numId="13">
    <w:abstractNumId w:val="2"/>
  </w:num>
  <w:num w:numId="14">
    <w:abstractNumId w:val="1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ocumentProtection w:edit="readOnly" w:enforcement="0"/>
  <w:defaultTabStop w:val="420"/>
  <w:drawingGridVerticalSpacing w:val="159"/>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83D"/>
    <w:rsid w:val="0000305B"/>
    <w:rsid w:val="00006162"/>
    <w:rsid w:val="0000748F"/>
    <w:rsid w:val="00007AD8"/>
    <w:rsid w:val="000131C5"/>
    <w:rsid w:val="00014E88"/>
    <w:rsid w:val="00015140"/>
    <w:rsid w:val="00025434"/>
    <w:rsid w:val="00026152"/>
    <w:rsid w:val="00030F2B"/>
    <w:rsid w:val="000313F9"/>
    <w:rsid w:val="00031B04"/>
    <w:rsid w:val="00034556"/>
    <w:rsid w:val="00036EEF"/>
    <w:rsid w:val="00040243"/>
    <w:rsid w:val="00047571"/>
    <w:rsid w:val="00047DD8"/>
    <w:rsid w:val="00061D5E"/>
    <w:rsid w:val="00061F47"/>
    <w:rsid w:val="00062AA7"/>
    <w:rsid w:val="00062BE3"/>
    <w:rsid w:val="000666CC"/>
    <w:rsid w:val="00066FC2"/>
    <w:rsid w:val="000706A5"/>
    <w:rsid w:val="00073133"/>
    <w:rsid w:val="00074DAD"/>
    <w:rsid w:val="00075C5E"/>
    <w:rsid w:val="00077433"/>
    <w:rsid w:val="000833C6"/>
    <w:rsid w:val="00084007"/>
    <w:rsid w:val="00090439"/>
    <w:rsid w:val="00091BAB"/>
    <w:rsid w:val="00093327"/>
    <w:rsid w:val="000940ED"/>
    <w:rsid w:val="00094AD1"/>
    <w:rsid w:val="00095107"/>
    <w:rsid w:val="00095DCE"/>
    <w:rsid w:val="000965E1"/>
    <w:rsid w:val="000A1509"/>
    <w:rsid w:val="000A246A"/>
    <w:rsid w:val="000A3DA2"/>
    <w:rsid w:val="000A70F2"/>
    <w:rsid w:val="000B1825"/>
    <w:rsid w:val="000B2FF2"/>
    <w:rsid w:val="000B4220"/>
    <w:rsid w:val="000B770A"/>
    <w:rsid w:val="000C28AF"/>
    <w:rsid w:val="000C297C"/>
    <w:rsid w:val="000C6FE5"/>
    <w:rsid w:val="000D22E0"/>
    <w:rsid w:val="000D35DD"/>
    <w:rsid w:val="000D717B"/>
    <w:rsid w:val="000D741F"/>
    <w:rsid w:val="000E0A14"/>
    <w:rsid w:val="000E0E14"/>
    <w:rsid w:val="000E1426"/>
    <w:rsid w:val="000E2B73"/>
    <w:rsid w:val="000F128F"/>
    <w:rsid w:val="000F1E01"/>
    <w:rsid w:val="000F3B3C"/>
    <w:rsid w:val="000F7452"/>
    <w:rsid w:val="000F7505"/>
    <w:rsid w:val="00101383"/>
    <w:rsid w:val="00102C09"/>
    <w:rsid w:val="001068FD"/>
    <w:rsid w:val="00114138"/>
    <w:rsid w:val="001161A9"/>
    <w:rsid w:val="00120FB9"/>
    <w:rsid w:val="00123110"/>
    <w:rsid w:val="00124A0E"/>
    <w:rsid w:val="00125703"/>
    <w:rsid w:val="001300AD"/>
    <w:rsid w:val="00131BF0"/>
    <w:rsid w:val="001324D0"/>
    <w:rsid w:val="00137914"/>
    <w:rsid w:val="0014031B"/>
    <w:rsid w:val="00140950"/>
    <w:rsid w:val="00141CC3"/>
    <w:rsid w:val="00141D1F"/>
    <w:rsid w:val="00142676"/>
    <w:rsid w:val="00143D88"/>
    <w:rsid w:val="00144B5B"/>
    <w:rsid w:val="0015022F"/>
    <w:rsid w:val="00151404"/>
    <w:rsid w:val="0015451A"/>
    <w:rsid w:val="00156AD0"/>
    <w:rsid w:val="001635E5"/>
    <w:rsid w:val="001654F0"/>
    <w:rsid w:val="0016664C"/>
    <w:rsid w:val="00167081"/>
    <w:rsid w:val="0017079F"/>
    <w:rsid w:val="0017673A"/>
    <w:rsid w:val="00176B08"/>
    <w:rsid w:val="00177C67"/>
    <w:rsid w:val="00181FC1"/>
    <w:rsid w:val="00185575"/>
    <w:rsid w:val="001873D5"/>
    <w:rsid w:val="00187840"/>
    <w:rsid w:val="0019289D"/>
    <w:rsid w:val="00194D30"/>
    <w:rsid w:val="00197444"/>
    <w:rsid w:val="001A1B9E"/>
    <w:rsid w:val="001A34F3"/>
    <w:rsid w:val="001A36DA"/>
    <w:rsid w:val="001A6131"/>
    <w:rsid w:val="001B050B"/>
    <w:rsid w:val="001B171B"/>
    <w:rsid w:val="001B1735"/>
    <w:rsid w:val="001B1AC0"/>
    <w:rsid w:val="001B20B2"/>
    <w:rsid w:val="001B2D61"/>
    <w:rsid w:val="001B4B80"/>
    <w:rsid w:val="001C02F0"/>
    <w:rsid w:val="001C03A0"/>
    <w:rsid w:val="001C1A21"/>
    <w:rsid w:val="001C6ECA"/>
    <w:rsid w:val="001D117A"/>
    <w:rsid w:val="001D4563"/>
    <w:rsid w:val="001D4748"/>
    <w:rsid w:val="001D4C75"/>
    <w:rsid w:val="001D6533"/>
    <w:rsid w:val="001E0570"/>
    <w:rsid w:val="001E06CF"/>
    <w:rsid w:val="001E220D"/>
    <w:rsid w:val="001E5DC8"/>
    <w:rsid w:val="001E7DDD"/>
    <w:rsid w:val="001F1AFA"/>
    <w:rsid w:val="001F66A8"/>
    <w:rsid w:val="001F7393"/>
    <w:rsid w:val="001F79FD"/>
    <w:rsid w:val="00202A19"/>
    <w:rsid w:val="00202EEE"/>
    <w:rsid w:val="002031AC"/>
    <w:rsid w:val="002044E6"/>
    <w:rsid w:val="002072BC"/>
    <w:rsid w:val="002075D4"/>
    <w:rsid w:val="0021066C"/>
    <w:rsid w:val="002120E1"/>
    <w:rsid w:val="002129B6"/>
    <w:rsid w:val="0021334F"/>
    <w:rsid w:val="00215DBE"/>
    <w:rsid w:val="00216109"/>
    <w:rsid w:val="0022001E"/>
    <w:rsid w:val="00221146"/>
    <w:rsid w:val="00222654"/>
    <w:rsid w:val="00223D2E"/>
    <w:rsid w:val="00231462"/>
    <w:rsid w:val="00231D79"/>
    <w:rsid w:val="0024048D"/>
    <w:rsid w:val="00240E13"/>
    <w:rsid w:val="002423CB"/>
    <w:rsid w:val="00260145"/>
    <w:rsid w:val="002620F9"/>
    <w:rsid w:val="002636ED"/>
    <w:rsid w:val="00266675"/>
    <w:rsid w:val="002679F8"/>
    <w:rsid w:val="002703ED"/>
    <w:rsid w:val="002734BB"/>
    <w:rsid w:val="002809EA"/>
    <w:rsid w:val="0028333E"/>
    <w:rsid w:val="0028461E"/>
    <w:rsid w:val="00294B66"/>
    <w:rsid w:val="002967CE"/>
    <w:rsid w:val="00297BD2"/>
    <w:rsid w:val="002A28BC"/>
    <w:rsid w:val="002A55EE"/>
    <w:rsid w:val="002A6D15"/>
    <w:rsid w:val="002B0731"/>
    <w:rsid w:val="002B219A"/>
    <w:rsid w:val="002B2897"/>
    <w:rsid w:val="002B2926"/>
    <w:rsid w:val="002B3F90"/>
    <w:rsid w:val="002B734E"/>
    <w:rsid w:val="002C2532"/>
    <w:rsid w:val="002C5335"/>
    <w:rsid w:val="002D2F1D"/>
    <w:rsid w:val="002D4F11"/>
    <w:rsid w:val="002E328B"/>
    <w:rsid w:val="002E388D"/>
    <w:rsid w:val="002F1190"/>
    <w:rsid w:val="002F2740"/>
    <w:rsid w:val="002F5751"/>
    <w:rsid w:val="002F677C"/>
    <w:rsid w:val="002F6D23"/>
    <w:rsid w:val="002F730B"/>
    <w:rsid w:val="00300093"/>
    <w:rsid w:val="00307E17"/>
    <w:rsid w:val="00313769"/>
    <w:rsid w:val="00313E67"/>
    <w:rsid w:val="00314A71"/>
    <w:rsid w:val="00316535"/>
    <w:rsid w:val="00322EC6"/>
    <w:rsid w:val="00326393"/>
    <w:rsid w:val="00326FBF"/>
    <w:rsid w:val="0032796C"/>
    <w:rsid w:val="003300C6"/>
    <w:rsid w:val="003300EE"/>
    <w:rsid w:val="00330FC4"/>
    <w:rsid w:val="0033324C"/>
    <w:rsid w:val="00333EDF"/>
    <w:rsid w:val="00337B54"/>
    <w:rsid w:val="00341919"/>
    <w:rsid w:val="00346016"/>
    <w:rsid w:val="00346B52"/>
    <w:rsid w:val="00346F88"/>
    <w:rsid w:val="00350287"/>
    <w:rsid w:val="00351D18"/>
    <w:rsid w:val="00352094"/>
    <w:rsid w:val="00352940"/>
    <w:rsid w:val="00353FA7"/>
    <w:rsid w:val="00354AE7"/>
    <w:rsid w:val="00355421"/>
    <w:rsid w:val="00355E78"/>
    <w:rsid w:val="0036121F"/>
    <w:rsid w:val="00361E03"/>
    <w:rsid w:val="00363398"/>
    <w:rsid w:val="0036414E"/>
    <w:rsid w:val="003651A1"/>
    <w:rsid w:val="00370B3A"/>
    <w:rsid w:val="003738E0"/>
    <w:rsid w:val="00374D64"/>
    <w:rsid w:val="00376876"/>
    <w:rsid w:val="00377585"/>
    <w:rsid w:val="00381B38"/>
    <w:rsid w:val="00383230"/>
    <w:rsid w:val="00385979"/>
    <w:rsid w:val="00391439"/>
    <w:rsid w:val="00393328"/>
    <w:rsid w:val="00394D48"/>
    <w:rsid w:val="003973EB"/>
    <w:rsid w:val="003A0B8A"/>
    <w:rsid w:val="003A32A6"/>
    <w:rsid w:val="003A6A7E"/>
    <w:rsid w:val="003C0E37"/>
    <w:rsid w:val="003C129B"/>
    <w:rsid w:val="003C5674"/>
    <w:rsid w:val="003C6641"/>
    <w:rsid w:val="003D09DE"/>
    <w:rsid w:val="003D2186"/>
    <w:rsid w:val="003E1ABC"/>
    <w:rsid w:val="003E3AA2"/>
    <w:rsid w:val="003E44F5"/>
    <w:rsid w:val="004027A8"/>
    <w:rsid w:val="00402938"/>
    <w:rsid w:val="00403DCD"/>
    <w:rsid w:val="00405BE2"/>
    <w:rsid w:val="00410EBD"/>
    <w:rsid w:val="00414E18"/>
    <w:rsid w:val="00415640"/>
    <w:rsid w:val="004223F6"/>
    <w:rsid w:val="00431AE3"/>
    <w:rsid w:val="00432277"/>
    <w:rsid w:val="00434342"/>
    <w:rsid w:val="00434529"/>
    <w:rsid w:val="00434B59"/>
    <w:rsid w:val="004370BE"/>
    <w:rsid w:val="00437902"/>
    <w:rsid w:val="00437AC0"/>
    <w:rsid w:val="004431F0"/>
    <w:rsid w:val="00445B0F"/>
    <w:rsid w:val="00445E84"/>
    <w:rsid w:val="004476A3"/>
    <w:rsid w:val="00447BA7"/>
    <w:rsid w:val="00450051"/>
    <w:rsid w:val="004500EF"/>
    <w:rsid w:val="004511CC"/>
    <w:rsid w:val="004557B0"/>
    <w:rsid w:val="00455E7D"/>
    <w:rsid w:val="00460537"/>
    <w:rsid w:val="00463521"/>
    <w:rsid w:val="00467156"/>
    <w:rsid w:val="00467B16"/>
    <w:rsid w:val="004724C6"/>
    <w:rsid w:val="00472787"/>
    <w:rsid w:val="00474567"/>
    <w:rsid w:val="00474AA3"/>
    <w:rsid w:val="00477A84"/>
    <w:rsid w:val="00477ED7"/>
    <w:rsid w:val="0048034B"/>
    <w:rsid w:val="00480529"/>
    <w:rsid w:val="00482AB7"/>
    <w:rsid w:val="004836E9"/>
    <w:rsid w:val="00483F3B"/>
    <w:rsid w:val="00492DCD"/>
    <w:rsid w:val="0049328A"/>
    <w:rsid w:val="00494396"/>
    <w:rsid w:val="0049594C"/>
    <w:rsid w:val="004A1847"/>
    <w:rsid w:val="004A2FE4"/>
    <w:rsid w:val="004A384C"/>
    <w:rsid w:val="004B0037"/>
    <w:rsid w:val="004B30A1"/>
    <w:rsid w:val="004B4A5A"/>
    <w:rsid w:val="004C42FC"/>
    <w:rsid w:val="004C6750"/>
    <w:rsid w:val="004C776B"/>
    <w:rsid w:val="004D1906"/>
    <w:rsid w:val="004D28D7"/>
    <w:rsid w:val="004D2BDA"/>
    <w:rsid w:val="004D491F"/>
    <w:rsid w:val="004D6936"/>
    <w:rsid w:val="004E3F88"/>
    <w:rsid w:val="004E4B68"/>
    <w:rsid w:val="004E4E93"/>
    <w:rsid w:val="004E620A"/>
    <w:rsid w:val="004F1D08"/>
    <w:rsid w:val="004F3A35"/>
    <w:rsid w:val="004F5C2C"/>
    <w:rsid w:val="00503DB5"/>
    <w:rsid w:val="0050511E"/>
    <w:rsid w:val="00506C10"/>
    <w:rsid w:val="00507FA7"/>
    <w:rsid w:val="0051441A"/>
    <w:rsid w:val="005212C2"/>
    <w:rsid w:val="00522A0A"/>
    <w:rsid w:val="00522C34"/>
    <w:rsid w:val="005233EC"/>
    <w:rsid w:val="0052595C"/>
    <w:rsid w:val="005264FA"/>
    <w:rsid w:val="00527A4A"/>
    <w:rsid w:val="00535A0F"/>
    <w:rsid w:val="00537DFD"/>
    <w:rsid w:val="00540529"/>
    <w:rsid w:val="00540911"/>
    <w:rsid w:val="00540949"/>
    <w:rsid w:val="005411AA"/>
    <w:rsid w:val="00542838"/>
    <w:rsid w:val="00542B66"/>
    <w:rsid w:val="005446A7"/>
    <w:rsid w:val="00547617"/>
    <w:rsid w:val="00550AED"/>
    <w:rsid w:val="00551D4E"/>
    <w:rsid w:val="005537D0"/>
    <w:rsid w:val="00553CAF"/>
    <w:rsid w:val="00556240"/>
    <w:rsid w:val="0056149A"/>
    <w:rsid w:val="00561BDA"/>
    <w:rsid w:val="00562C92"/>
    <w:rsid w:val="005663D3"/>
    <w:rsid w:val="00570379"/>
    <w:rsid w:val="005717CE"/>
    <w:rsid w:val="00572E9F"/>
    <w:rsid w:val="00580F0F"/>
    <w:rsid w:val="005823D5"/>
    <w:rsid w:val="00583D32"/>
    <w:rsid w:val="00584A71"/>
    <w:rsid w:val="005A0E27"/>
    <w:rsid w:val="005A2866"/>
    <w:rsid w:val="005A2D65"/>
    <w:rsid w:val="005A3B30"/>
    <w:rsid w:val="005B4374"/>
    <w:rsid w:val="005C2DEC"/>
    <w:rsid w:val="005C5F85"/>
    <w:rsid w:val="005D3A0A"/>
    <w:rsid w:val="005D7308"/>
    <w:rsid w:val="005D7AD2"/>
    <w:rsid w:val="005E112B"/>
    <w:rsid w:val="005E4A36"/>
    <w:rsid w:val="005E6359"/>
    <w:rsid w:val="005F0888"/>
    <w:rsid w:val="006029BE"/>
    <w:rsid w:val="0061403B"/>
    <w:rsid w:val="00614A60"/>
    <w:rsid w:val="00614DC0"/>
    <w:rsid w:val="00616599"/>
    <w:rsid w:val="00617033"/>
    <w:rsid w:val="00622231"/>
    <w:rsid w:val="006243C6"/>
    <w:rsid w:val="00632515"/>
    <w:rsid w:val="00634B10"/>
    <w:rsid w:val="0063512E"/>
    <w:rsid w:val="00636410"/>
    <w:rsid w:val="00640A83"/>
    <w:rsid w:val="0066176D"/>
    <w:rsid w:val="00663C15"/>
    <w:rsid w:val="00667779"/>
    <w:rsid w:val="00677C7E"/>
    <w:rsid w:val="00682254"/>
    <w:rsid w:val="0068412C"/>
    <w:rsid w:val="006848A1"/>
    <w:rsid w:val="00685341"/>
    <w:rsid w:val="006853DD"/>
    <w:rsid w:val="00686D66"/>
    <w:rsid w:val="00690CCA"/>
    <w:rsid w:val="00694D83"/>
    <w:rsid w:val="00696A54"/>
    <w:rsid w:val="006A0890"/>
    <w:rsid w:val="006A4518"/>
    <w:rsid w:val="006A47DE"/>
    <w:rsid w:val="006A4F7D"/>
    <w:rsid w:val="006B4813"/>
    <w:rsid w:val="006B70BA"/>
    <w:rsid w:val="006C3E08"/>
    <w:rsid w:val="006C3E88"/>
    <w:rsid w:val="006D169D"/>
    <w:rsid w:val="006D194E"/>
    <w:rsid w:val="006D41B9"/>
    <w:rsid w:val="006D58C2"/>
    <w:rsid w:val="006E2549"/>
    <w:rsid w:val="006E39F3"/>
    <w:rsid w:val="006E4069"/>
    <w:rsid w:val="006F1ACB"/>
    <w:rsid w:val="006F2511"/>
    <w:rsid w:val="006F2FC8"/>
    <w:rsid w:val="006F6F3F"/>
    <w:rsid w:val="00700B51"/>
    <w:rsid w:val="007014F1"/>
    <w:rsid w:val="00705D2D"/>
    <w:rsid w:val="0070720E"/>
    <w:rsid w:val="00707412"/>
    <w:rsid w:val="00710EAE"/>
    <w:rsid w:val="00713D9A"/>
    <w:rsid w:val="00716497"/>
    <w:rsid w:val="00724AAB"/>
    <w:rsid w:val="00727510"/>
    <w:rsid w:val="00731235"/>
    <w:rsid w:val="00736E62"/>
    <w:rsid w:val="00737C32"/>
    <w:rsid w:val="007462FA"/>
    <w:rsid w:val="00750B95"/>
    <w:rsid w:val="00751958"/>
    <w:rsid w:val="00751B95"/>
    <w:rsid w:val="0075240E"/>
    <w:rsid w:val="00757F72"/>
    <w:rsid w:val="00760C67"/>
    <w:rsid w:val="00761530"/>
    <w:rsid w:val="0076156A"/>
    <w:rsid w:val="0076731D"/>
    <w:rsid w:val="00775E7A"/>
    <w:rsid w:val="007875E3"/>
    <w:rsid w:val="0078771A"/>
    <w:rsid w:val="00790107"/>
    <w:rsid w:val="0079061C"/>
    <w:rsid w:val="007935F3"/>
    <w:rsid w:val="0079593C"/>
    <w:rsid w:val="007A18B5"/>
    <w:rsid w:val="007A2196"/>
    <w:rsid w:val="007A3164"/>
    <w:rsid w:val="007A683D"/>
    <w:rsid w:val="007A6B50"/>
    <w:rsid w:val="007A6B90"/>
    <w:rsid w:val="007B008A"/>
    <w:rsid w:val="007B05D3"/>
    <w:rsid w:val="007B3690"/>
    <w:rsid w:val="007B4878"/>
    <w:rsid w:val="007B5C3F"/>
    <w:rsid w:val="007B6747"/>
    <w:rsid w:val="007D1567"/>
    <w:rsid w:val="007D7C0B"/>
    <w:rsid w:val="007E0087"/>
    <w:rsid w:val="007E11AD"/>
    <w:rsid w:val="007E24F6"/>
    <w:rsid w:val="007E2E12"/>
    <w:rsid w:val="007F3083"/>
    <w:rsid w:val="007F4E7E"/>
    <w:rsid w:val="007F5172"/>
    <w:rsid w:val="00801681"/>
    <w:rsid w:val="008072DD"/>
    <w:rsid w:val="00807ADB"/>
    <w:rsid w:val="008120D6"/>
    <w:rsid w:val="00814FCC"/>
    <w:rsid w:val="00817AAE"/>
    <w:rsid w:val="00827C4C"/>
    <w:rsid w:val="00827FA3"/>
    <w:rsid w:val="00830C4C"/>
    <w:rsid w:val="00830EB8"/>
    <w:rsid w:val="008323DB"/>
    <w:rsid w:val="0083402B"/>
    <w:rsid w:val="00835EA4"/>
    <w:rsid w:val="00835F45"/>
    <w:rsid w:val="008362D0"/>
    <w:rsid w:val="00840853"/>
    <w:rsid w:val="0084180C"/>
    <w:rsid w:val="00842B97"/>
    <w:rsid w:val="008507CE"/>
    <w:rsid w:val="0085663A"/>
    <w:rsid w:val="0086324F"/>
    <w:rsid w:val="00863FD7"/>
    <w:rsid w:val="00864AC0"/>
    <w:rsid w:val="00864E42"/>
    <w:rsid w:val="008714B3"/>
    <w:rsid w:val="00873B65"/>
    <w:rsid w:val="008841BD"/>
    <w:rsid w:val="0088467B"/>
    <w:rsid w:val="0088578D"/>
    <w:rsid w:val="00892751"/>
    <w:rsid w:val="00893DAE"/>
    <w:rsid w:val="008945F3"/>
    <w:rsid w:val="008A1571"/>
    <w:rsid w:val="008A1836"/>
    <w:rsid w:val="008A2AF9"/>
    <w:rsid w:val="008B5C9C"/>
    <w:rsid w:val="008B6918"/>
    <w:rsid w:val="008B79D2"/>
    <w:rsid w:val="008C1814"/>
    <w:rsid w:val="008D73EA"/>
    <w:rsid w:val="008E23D5"/>
    <w:rsid w:val="008E4AB5"/>
    <w:rsid w:val="00904A04"/>
    <w:rsid w:val="009055B6"/>
    <w:rsid w:val="009069BA"/>
    <w:rsid w:val="00906E67"/>
    <w:rsid w:val="00906EFC"/>
    <w:rsid w:val="00907E27"/>
    <w:rsid w:val="00911D50"/>
    <w:rsid w:val="00915063"/>
    <w:rsid w:val="009168D9"/>
    <w:rsid w:val="00916F97"/>
    <w:rsid w:val="00921D4A"/>
    <w:rsid w:val="009257B9"/>
    <w:rsid w:val="0094114F"/>
    <w:rsid w:val="00944128"/>
    <w:rsid w:val="00945DC1"/>
    <w:rsid w:val="00953456"/>
    <w:rsid w:val="0095669B"/>
    <w:rsid w:val="00962793"/>
    <w:rsid w:val="00963B97"/>
    <w:rsid w:val="009667DB"/>
    <w:rsid w:val="00967A56"/>
    <w:rsid w:val="0097126E"/>
    <w:rsid w:val="009715E4"/>
    <w:rsid w:val="00977981"/>
    <w:rsid w:val="00980247"/>
    <w:rsid w:val="00982977"/>
    <w:rsid w:val="00985E17"/>
    <w:rsid w:val="00992DFA"/>
    <w:rsid w:val="00993376"/>
    <w:rsid w:val="009960E3"/>
    <w:rsid w:val="00996A10"/>
    <w:rsid w:val="00996AE6"/>
    <w:rsid w:val="00996F31"/>
    <w:rsid w:val="009979FD"/>
    <w:rsid w:val="009A0E03"/>
    <w:rsid w:val="009A3C14"/>
    <w:rsid w:val="009A568D"/>
    <w:rsid w:val="009A6E45"/>
    <w:rsid w:val="009C3086"/>
    <w:rsid w:val="009D5489"/>
    <w:rsid w:val="009D55EE"/>
    <w:rsid w:val="009D60C2"/>
    <w:rsid w:val="009E66AF"/>
    <w:rsid w:val="009E6714"/>
    <w:rsid w:val="009F0956"/>
    <w:rsid w:val="009F2AE8"/>
    <w:rsid w:val="009F51A8"/>
    <w:rsid w:val="009F5C49"/>
    <w:rsid w:val="009F72AD"/>
    <w:rsid w:val="00A00EC3"/>
    <w:rsid w:val="00A01E36"/>
    <w:rsid w:val="00A02ADE"/>
    <w:rsid w:val="00A20D61"/>
    <w:rsid w:val="00A214F2"/>
    <w:rsid w:val="00A22EEB"/>
    <w:rsid w:val="00A23584"/>
    <w:rsid w:val="00A23FB1"/>
    <w:rsid w:val="00A2674E"/>
    <w:rsid w:val="00A30A91"/>
    <w:rsid w:val="00A31E12"/>
    <w:rsid w:val="00A41976"/>
    <w:rsid w:val="00A43E09"/>
    <w:rsid w:val="00A44B42"/>
    <w:rsid w:val="00A44C13"/>
    <w:rsid w:val="00A54D3C"/>
    <w:rsid w:val="00A55B4C"/>
    <w:rsid w:val="00A576C9"/>
    <w:rsid w:val="00A57FAB"/>
    <w:rsid w:val="00A60360"/>
    <w:rsid w:val="00A61AC1"/>
    <w:rsid w:val="00A63261"/>
    <w:rsid w:val="00A632E6"/>
    <w:rsid w:val="00A650DC"/>
    <w:rsid w:val="00A67B45"/>
    <w:rsid w:val="00A71F79"/>
    <w:rsid w:val="00A73275"/>
    <w:rsid w:val="00A734B4"/>
    <w:rsid w:val="00A75066"/>
    <w:rsid w:val="00A752AA"/>
    <w:rsid w:val="00A769B7"/>
    <w:rsid w:val="00A77BAE"/>
    <w:rsid w:val="00A77CB6"/>
    <w:rsid w:val="00A81098"/>
    <w:rsid w:val="00A8288D"/>
    <w:rsid w:val="00A9467F"/>
    <w:rsid w:val="00A95415"/>
    <w:rsid w:val="00AA1C81"/>
    <w:rsid w:val="00AA223E"/>
    <w:rsid w:val="00AA3393"/>
    <w:rsid w:val="00AB0302"/>
    <w:rsid w:val="00AB0CB1"/>
    <w:rsid w:val="00AB1282"/>
    <w:rsid w:val="00AB21F8"/>
    <w:rsid w:val="00AB7BF3"/>
    <w:rsid w:val="00AD0386"/>
    <w:rsid w:val="00AD38C8"/>
    <w:rsid w:val="00AD5862"/>
    <w:rsid w:val="00AE5163"/>
    <w:rsid w:val="00AE55DC"/>
    <w:rsid w:val="00AF220B"/>
    <w:rsid w:val="00AF25C6"/>
    <w:rsid w:val="00AF436C"/>
    <w:rsid w:val="00AF5EB2"/>
    <w:rsid w:val="00B01741"/>
    <w:rsid w:val="00B10261"/>
    <w:rsid w:val="00B122D1"/>
    <w:rsid w:val="00B1249C"/>
    <w:rsid w:val="00B15DFC"/>
    <w:rsid w:val="00B1723D"/>
    <w:rsid w:val="00B2007F"/>
    <w:rsid w:val="00B201D0"/>
    <w:rsid w:val="00B238C8"/>
    <w:rsid w:val="00B253EC"/>
    <w:rsid w:val="00B27B26"/>
    <w:rsid w:val="00B27E55"/>
    <w:rsid w:val="00B31B31"/>
    <w:rsid w:val="00B37570"/>
    <w:rsid w:val="00B4304A"/>
    <w:rsid w:val="00B5066C"/>
    <w:rsid w:val="00B52A1D"/>
    <w:rsid w:val="00B54097"/>
    <w:rsid w:val="00B54DC1"/>
    <w:rsid w:val="00B54DE5"/>
    <w:rsid w:val="00B57B8A"/>
    <w:rsid w:val="00B63368"/>
    <w:rsid w:val="00B63DFB"/>
    <w:rsid w:val="00B65E54"/>
    <w:rsid w:val="00B66393"/>
    <w:rsid w:val="00B67AD7"/>
    <w:rsid w:val="00B80536"/>
    <w:rsid w:val="00B831B1"/>
    <w:rsid w:val="00B84116"/>
    <w:rsid w:val="00B854D7"/>
    <w:rsid w:val="00B85B10"/>
    <w:rsid w:val="00B95CB7"/>
    <w:rsid w:val="00B97136"/>
    <w:rsid w:val="00BA241A"/>
    <w:rsid w:val="00BA3312"/>
    <w:rsid w:val="00BA56EA"/>
    <w:rsid w:val="00BA5A1E"/>
    <w:rsid w:val="00BA6484"/>
    <w:rsid w:val="00BA6D4C"/>
    <w:rsid w:val="00BB1EDA"/>
    <w:rsid w:val="00BB2E91"/>
    <w:rsid w:val="00BB3849"/>
    <w:rsid w:val="00BB3CFF"/>
    <w:rsid w:val="00BB5969"/>
    <w:rsid w:val="00BC0628"/>
    <w:rsid w:val="00BC1700"/>
    <w:rsid w:val="00BC55B2"/>
    <w:rsid w:val="00BD577F"/>
    <w:rsid w:val="00BD5E64"/>
    <w:rsid w:val="00BD61CB"/>
    <w:rsid w:val="00BE100A"/>
    <w:rsid w:val="00BE15DF"/>
    <w:rsid w:val="00BE67E6"/>
    <w:rsid w:val="00BE77A5"/>
    <w:rsid w:val="00BF04B0"/>
    <w:rsid w:val="00BF1631"/>
    <w:rsid w:val="00BF2955"/>
    <w:rsid w:val="00BF3785"/>
    <w:rsid w:val="00BF3A3F"/>
    <w:rsid w:val="00C013E5"/>
    <w:rsid w:val="00C01ECC"/>
    <w:rsid w:val="00C049EB"/>
    <w:rsid w:val="00C06829"/>
    <w:rsid w:val="00C11DC8"/>
    <w:rsid w:val="00C13B76"/>
    <w:rsid w:val="00C14BCB"/>
    <w:rsid w:val="00C163B1"/>
    <w:rsid w:val="00C163D0"/>
    <w:rsid w:val="00C16E37"/>
    <w:rsid w:val="00C21D6F"/>
    <w:rsid w:val="00C35DF4"/>
    <w:rsid w:val="00C36B80"/>
    <w:rsid w:val="00C37065"/>
    <w:rsid w:val="00C421B6"/>
    <w:rsid w:val="00C42D67"/>
    <w:rsid w:val="00C4338A"/>
    <w:rsid w:val="00C43915"/>
    <w:rsid w:val="00C4560E"/>
    <w:rsid w:val="00C46562"/>
    <w:rsid w:val="00C476E6"/>
    <w:rsid w:val="00C508C1"/>
    <w:rsid w:val="00C50B99"/>
    <w:rsid w:val="00C51384"/>
    <w:rsid w:val="00C537F7"/>
    <w:rsid w:val="00C54267"/>
    <w:rsid w:val="00C62709"/>
    <w:rsid w:val="00C6305F"/>
    <w:rsid w:val="00C71858"/>
    <w:rsid w:val="00C7233F"/>
    <w:rsid w:val="00C72D09"/>
    <w:rsid w:val="00C74C98"/>
    <w:rsid w:val="00C8200C"/>
    <w:rsid w:val="00C8212B"/>
    <w:rsid w:val="00C8454C"/>
    <w:rsid w:val="00C846B6"/>
    <w:rsid w:val="00C8585D"/>
    <w:rsid w:val="00C86597"/>
    <w:rsid w:val="00C92244"/>
    <w:rsid w:val="00C92939"/>
    <w:rsid w:val="00C92E23"/>
    <w:rsid w:val="00C931C6"/>
    <w:rsid w:val="00C95531"/>
    <w:rsid w:val="00CA0FF1"/>
    <w:rsid w:val="00CA1C35"/>
    <w:rsid w:val="00CB41D2"/>
    <w:rsid w:val="00CB48DC"/>
    <w:rsid w:val="00CC16E0"/>
    <w:rsid w:val="00CC5F99"/>
    <w:rsid w:val="00CC794A"/>
    <w:rsid w:val="00CD23C8"/>
    <w:rsid w:val="00CD4D20"/>
    <w:rsid w:val="00CD5CB9"/>
    <w:rsid w:val="00CE14FA"/>
    <w:rsid w:val="00CE2152"/>
    <w:rsid w:val="00CE3738"/>
    <w:rsid w:val="00CE4310"/>
    <w:rsid w:val="00CE4D93"/>
    <w:rsid w:val="00CF14CB"/>
    <w:rsid w:val="00CF1560"/>
    <w:rsid w:val="00CF27A1"/>
    <w:rsid w:val="00CF3CD2"/>
    <w:rsid w:val="00CF4B06"/>
    <w:rsid w:val="00D000EC"/>
    <w:rsid w:val="00D00AD2"/>
    <w:rsid w:val="00D04FB1"/>
    <w:rsid w:val="00D05321"/>
    <w:rsid w:val="00D13549"/>
    <w:rsid w:val="00D2047D"/>
    <w:rsid w:val="00D257F8"/>
    <w:rsid w:val="00D27266"/>
    <w:rsid w:val="00D325EE"/>
    <w:rsid w:val="00D3319D"/>
    <w:rsid w:val="00D35E79"/>
    <w:rsid w:val="00D42338"/>
    <w:rsid w:val="00D453B3"/>
    <w:rsid w:val="00D5206D"/>
    <w:rsid w:val="00D52173"/>
    <w:rsid w:val="00D67157"/>
    <w:rsid w:val="00D70668"/>
    <w:rsid w:val="00D7080D"/>
    <w:rsid w:val="00D7091B"/>
    <w:rsid w:val="00D70D5A"/>
    <w:rsid w:val="00D73B4C"/>
    <w:rsid w:val="00D7441E"/>
    <w:rsid w:val="00D749F1"/>
    <w:rsid w:val="00D75427"/>
    <w:rsid w:val="00D773C7"/>
    <w:rsid w:val="00D800BF"/>
    <w:rsid w:val="00D805D4"/>
    <w:rsid w:val="00D82117"/>
    <w:rsid w:val="00D84D73"/>
    <w:rsid w:val="00D855AD"/>
    <w:rsid w:val="00D868C4"/>
    <w:rsid w:val="00D87BD6"/>
    <w:rsid w:val="00D90D54"/>
    <w:rsid w:val="00D91CB2"/>
    <w:rsid w:val="00D934DA"/>
    <w:rsid w:val="00D93A3E"/>
    <w:rsid w:val="00D9674C"/>
    <w:rsid w:val="00D96CE0"/>
    <w:rsid w:val="00DA1E5D"/>
    <w:rsid w:val="00DA4A29"/>
    <w:rsid w:val="00DA4A4E"/>
    <w:rsid w:val="00DA51BA"/>
    <w:rsid w:val="00DA5609"/>
    <w:rsid w:val="00DB1997"/>
    <w:rsid w:val="00DB462E"/>
    <w:rsid w:val="00DB51D9"/>
    <w:rsid w:val="00DB62D7"/>
    <w:rsid w:val="00DC103C"/>
    <w:rsid w:val="00DC1A76"/>
    <w:rsid w:val="00DC5E6F"/>
    <w:rsid w:val="00DC6A6E"/>
    <w:rsid w:val="00DC74D6"/>
    <w:rsid w:val="00DD1A74"/>
    <w:rsid w:val="00DD2988"/>
    <w:rsid w:val="00DD364C"/>
    <w:rsid w:val="00DD3790"/>
    <w:rsid w:val="00DD4B0E"/>
    <w:rsid w:val="00DD4C4F"/>
    <w:rsid w:val="00DD5BDA"/>
    <w:rsid w:val="00DD61FF"/>
    <w:rsid w:val="00DD662F"/>
    <w:rsid w:val="00DD77D6"/>
    <w:rsid w:val="00DD78FB"/>
    <w:rsid w:val="00DE063F"/>
    <w:rsid w:val="00DE1EE8"/>
    <w:rsid w:val="00DE25B3"/>
    <w:rsid w:val="00DE3233"/>
    <w:rsid w:val="00DE4862"/>
    <w:rsid w:val="00DF371D"/>
    <w:rsid w:val="00E01326"/>
    <w:rsid w:val="00E04E6B"/>
    <w:rsid w:val="00E06989"/>
    <w:rsid w:val="00E07563"/>
    <w:rsid w:val="00E11E22"/>
    <w:rsid w:val="00E138B0"/>
    <w:rsid w:val="00E14ABC"/>
    <w:rsid w:val="00E159D2"/>
    <w:rsid w:val="00E25B99"/>
    <w:rsid w:val="00E26166"/>
    <w:rsid w:val="00E26ADE"/>
    <w:rsid w:val="00E310A1"/>
    <w:rsid w:val="00E357B8"/>
    <w:rsid w:val="00E361EC"/>
    <w:rsid w:val="00E36584"/>
    <w:rsid w:val="00E36E25"/>
    <w:rsid w:val="00E376A3"/>
    <w:rsid w:val="00E45644"/>
    <w:rsid w:val="00E46283"/>
    <w:rsid w:val="00E46962"/>
    <w:rsid w:val="00E5048E"/>
    <w:rsid w:val="00E510B4"/>
    <w:rsid w:val="00E52DB6"/>
    <w:rsid w:val="00E530DD"/>
    <w:rsid w:val="00E55CA7"/>
    <w:rsid w:val="00E55E19"/>
    <w:rsid w:val="00E5638A"/>
    <w:rsid w:val="00E565AB"/>
    <w:rsid w:val="00E60B6D"/>
    <w:rsid w:val="00E62188"/>
    <w:rsid w:val="00E63EA5"/>
    <w:rsid w:val="00E64F68"/>
    <w:rsid w:val="00E665FA"/>
    <w:rsid w:val="00E71735"/>
    <w:rsid w:val="00E72823"/>
    <w:rsid w:val="00E758B7"/>
    <w:rsid w:val="00E772B7"/>
    <w:rsid w:val="00E776BF"/>
    <w:rsid w:val="00E77958"/>
    <w:rsid w:val="00E77BE1"/>
    <w:rsid w:val="00E82E07"/>
    <w:rsid w:val="00E837A1"/>
    <w:rsid w:val="00E83AF9"/>
    <w:rsid w:val="00E8533C"/>
    <w:rsid w:val="00E863AF"/>
    <w:rsid w:val="00E90175"/>
    <w:rsid w:val="00E902A4"/>
    <w:rsid w:val="00E902A6"/>
    <w:rsid w:val="00E902AB"/>
    <w:rsid w:val="00E93F25"/>
    <w:rsid w:val="00E9594F"/>
    <w:rsid w:val="00E95B87"/>
    <w:rsid w:val="00E9627F"/>
    <w:rsid w:val="00E9733F"/>
    <w:rsid w:val="00EA5AC9"/>
    <w:rsid w:val="00EB54DE"/>
    <w:rsid w:val="00EB6A49"/>
    <w:rsid w:val="00EC23C1"/>
    <w:rsid w:val="00EC4639"/>
    <w:rsid w:val="00EC4AC3"/>
    <w:rsid w:val="00EC6135"/>
    <w:rsid w:val="00ED29A4"/>
    <w:rsid w:val="00ED39E7"/>
    <w:rsid w:val="00ED4D98"/>
    <w:rsid w:val="00ED6056"/>
    <w:rsid w:val="00EE5AA8"/>
    <w:rsid w:val="00EE5D21"/>
    <w:rsid w:val="00F06F2F"/>
    <w:rsid w:val="00F10ED5"/>
    <w:rsid w:val="00F148EA"/>
    <w:rsid w:val="00F15CE2"/>
    <w:rsid w:val="00F20188"/>
    <w:rsid w:val="00F21D33"/>
    <w:rsid w:val="00F2341A"/>
    <w:rsid w:val="00F249A3"/>
    <w:rsid w:val="00F25149"/>
    <w:rsid w:val="00F26955"/>
    <w:rsid w:val="00F269E0"/>
    <w:rsid w:val="00F26B27"/>
    <w:rsid w:val="00F26FBC"/>
    <w:rsid w:val="00F30479"/>
    <w:rsid w:val="00F31584"/>
    <w:rsid w:val="00F32C53"/>
    <w:rsid w:val="00F350F3"/>
    <w:rsid w:val="00F42037"/>
    <w:rsid w:val="00F42923"/>
    <w:rsid w:val="00F43258"/>
    <w:rsid w:val="00F45EBD"/>
    <w:rsid w:val="00F54A98"/>
    <w:rsid w:val="00F6074C"/>
    <w:rsid w:val="00F60EA0"/>
    <w:rsid w:val="00F60F89"/>
    <w:rsid w:val="00F63291"/>
    <w:rsid w:val="00F6393F"/>
    <w:rsid w:val="00F64A35"/>
    <w:rsid w:val="00F67E3B"/>
    <w:rsid w:val="00F75689"/>
    <w:rsid w:val="00F76143"/>
    <w:rsid w:val="00F77EF0"/>
    <w:rsid w:val="00F83868"/>
    <w:rsid w:val="00F93B12"/>
    <w:rsid w:val="00F94B36"/>
    <w:rsid w:val="00F94E2F"/>
    <w:rsid w:val="00F94F72"/>
    <w:rsid w:val="00F9531B"/>
    <w:rsid w:val="00F95AC4"/>
    <w:rsid w:val="00FA1219"/>
    <w:rsid w:val="00FB0145"/>
    <w:rsid w:val="00FB053D"/>
    <w:rsid w:val="00FB1668"/>
    <w:rsid w:val="00FB3F24"/>
    <w:rsid w:val="00FB5194"/>
    <w:rsid w:val="00FC1AB5"/>
    <w:rsid w:val="00FC497A"/>
    <w:rsid w:val="00FC5AC5"/>
    <w:rsid w:val="00FC6548"/>
    <w:rsid w:val="00FD0675"/>
    <w:rsid w:val="00FD14A7"/>
    <w:rsid w:val="00FD427D"/>
    <w:rsid w:val="00FD4362"/>
    <w:rsid w:val="00FD48B9"/>
    <w:rsid w:val="00FD4BF3"/>
    <w:rsid w:val="00FD53CE"/>
    <w:rsid w:val="00FE31E8"/>
    <w:rsid w:val="00FE611F"/>
    <w:rsid w:val="00FE6AA7"/>
    <w:rsid w:val="00FF05EA"/>
    <w:rsid w:val="00FF1801"/>
    <w:rsid w:val="00FF2432"/>
    <w:rsid w:val="00FF37AB"/>
    <w:rsid w:val="00FF658A"/>
    <w:rsid w:val="00FF6608"/>
    <w:rsid w:val="00FF795C"/>
    <w:rsid w:val="016B3CA6"/>
    <w:rsid w:val="01787309"/>
    <w:rsid w:val="01853AF6"/>
    <w:rsid w:val="01CD04BF"/>
    <w:rsid w:val="01CD7511"/>
    <w:rsid w:val="022E6D4C"/>
    <w:rsid w:val="02317836"/>
    <w:rsid w:val="02363250"/>
    <w:rsid w:val="02430B2B"/>
    <w:rsid w:val="02B421CD"/>
    <w:rsid w:val="02E836CB"/>
    <w:rsid w:val="03386882"/>
    <w:rsid w:val="03C93DE4"/>
    <w:rsid w:val="03CF276F"/>
    <w:rsid w:val="03FE7515"/>
    <w:rsid w:val="04104985"/>
    <w:rsid w:val="04A40FB0"/>
    <w:rsid w:val="04B63780"/>
    <w:rsid w:val="05052E25"/>
    <w:rsid w:val="05D62823"/>
    <w:rsid w:val="062126EF"/>
    <w:rsid w:val="0662250D"/>
    <w:rsid w:val="06827112"/>
    <w:rsid w:val="069756C9"/>
    <w:rsid w:val="06EA41D2"/>
    <w:rsid w:val="06F82B78"/>
    <w:rsid w:val="072E42E3"/>
    <w:rsid w:val="073A50C8"/>
    <w:rsid w:val="0764441D"/>
    <w:rsid w:val="07D729CE"/>
    <w:rsid w:val="08404482"/>
    <w:rsid w:val="087C43AE"/>
    <w:rsid w:val="0968446C"/>
    <w:rsid w:val="09880AD8"/>
    <w:rsid w:val="09881F6E"/>
    <w:rsid w:val="09BC29D8"/>
    <w:rsid w:val="0A376195"/>
    <w:rsid w:val="0AA5328F"/>
    <w:rsid w:val="0B134589"/>
    <w:rsid w:val="0B7E48FD"/>
    <w:rsid w:val="0BFB0153"/>
    <w:rsid w:val="0C8E6D59"/>
    <w:rsid w:val="0CA00E3D"/>
    <w:rsid w:val="0CBA642A"/>
    <w:rsid w:val="0CFC2EE8"/>
    <w:rsid w:val="0D417D41"/>
    <w:rsid w:val="0D5C48F1"/>
    <w:rsid w:val="0DF07201"/>
    <w:rsid w:val="0E2F068D"/>
    <w:rsid w:val="0E545AFA"/>
    <w:rsid w:val="0E730100"/>
    <w:rsid w:val="0F221D61"/>
    <w:rsid w:val="0F4628FA"/>
    <w:rsid w:val="0F594D76"/>
    <w:rsid w:val="0F9B2B5E"/>
    <w:rsid w:val="0FB34829"/>
    <w:rsid w:val="0FD13773"/>
    <w:rsid w:val="0FF24AF1"/>
    <w:rsid w:val="10384A54"/>
    <w:rsid w:val="105B51DC"/>
    <w:rsid w:val="10B02E63"/>
    <w:rsid w:val="10C14D02"/>
    <w:rsid w:val="110E325A"/>
    <w:rsid w:val="116A04CC"/>
    <w:rsid w:val="11C22947"/>
    <w:rsid w:val="11C96F3F"/>
    <w:rsid w:val="11F87E10"/>
    <w:rsid w:val="122D4496"/>
    <w:rsid w:val="12636210"/>
    <w:rsid w:val="1308440F"/>
    <w:rsid w:val="13404493"/>
    <w:rsid w:val="135607B7"/>
    <w:rsid w:val="13B6593C"/>
    <w:rsid w:val="13B67CA3"/>
    <w:rsid w:val="13BB5EEE"/>
    <w:rsid w:val="14537884"/>
    <w:rsid w:val="14593BBF"/>
    <w:rsid w:val="14B03E20"/>
    <w:rsid w:val="14B3705B"/>
    <w:rsid w:val="14B538EB"/>
    <w:rsid w:val="14CC75A7"/>
    <w:rsid w:val="14D56C28"/>
    <w:rsid w:val="150C31F6"/>
    <w:rsid w:val="151C338A"/>
    <w:rsid w:val="15495F5D"/>
    <w:rsid w:val="1565002B"/>
    <w:rsid w:val="15E45DCF"/>
    <w:rsid w:val="162107BA"/>
    <w:rsid w:val="16243065"/>
    <w:rsid w:val="164973BC"/>
    <w:rsid w:val="165C52A5"/>
    <w:rsid w:val="16BE3B80"/>
    <w:rsid w:val="16D229E9"/>
    <w:rsid w:val="16E70474"/>
    <w:rsid w:val="173D66F2"/>
    <w:rsid w:val="17430389"/>
    <w:rsid w:val="175C0959"/>
    <w:rsid w:val="177941D0"/>
    <w:rsid w:val="17D25A5E"/>
    <w:rsid w:val="17DC532F"/>
    <w:rsid w:val="17EF566D"/>
    <w:rsid w:val="18800267"/>
    <w:rsid w:val="18D074F8"/>
    <w:rsid w:val="18FF1001"/>
    <w:rsid w:val="19201D08"/>
    <w:rsid w:val="19731B79"/>
    <w:rsid w:val="198122A9"/>
    <w:rsid w:val="198D60C7"/>
    <w:rsid w:val="19D504B9"/>
    <w:rsid w:val="19F44CA8"/>
    <w:rsid w:val="1A024AC4"/>
    <w:rsid w:val="1A061A0D"/>
    <w:rsid w:val="1A5D597A"/>
    <w:rsid w:val="1AA57B5F"/>
    <w:rsid w:val="1ACF46AB"/>
    <w:rsid w:val="1B260840"/>
    <w:rsid w:val="1B8E24F5"/>
    <w:rsid w:val="1BE761D2"/>
    <w:rsid w:val="1BEE490D"/>
    <w:rsid w:val="1C2407D2"/>
    <w:rsid w:val="1C283B9C"/>
    <w:rsid w:val="1C392717"/>
    <w:rsid w:val="1C8040C1"/>
    <w:rsid w:val="1CE220FA"/>
    <w:rsid w:val="1D314742"/>
    <w:rsid w:val="1D730B47"/>
    <w:rsid w:val="1DB73C31"/>
    <w:rsid w:val="1E5006DD"/>
    <w:rsid w:val="1E626810"/>
    <w:rsid w:val="1E7C1444"/>
    <w:rsid w:val="1EE44777"/>
    <w:rsid w:val="1F3A1F0D"/>
    <w:rsid w:val="1F3F4C20"/>
    <w:rsid w:val="1F515A41"/>
    <w:rsid w:val="1F7526B4"/>
    <w:rsid w:val="203105AD"/>
    <w:rsid w:val="208E2D86"/>
    <w:rsid w:val="209325CE"/>
    <w:rsid w:val="20A41BDD"/>
    <w:rsid w:val="21354379"/>
    <w:rsid w:val="21432F64"/>
    <w:rsid w:val="218379A3"/>
    <w:rsid w:val="21D218F6"/>
    <w:rsid w:val="21EE38EF"/>
    <w:rsid w:val="224A72AF"/>
    <w:rsid w:val="22547760"/>
    <w:rsid w:val="22723839"/>
    <w:rsid w:val="22AE2AEE"/>
    <w:rsid w:val="230B6C59"/>
    <w:rsid w:val="23733E43"/>
    <w:rsid w:val="23C823BC"/>
    <w:rsid w:val="24057464"/>
    <w:rsid w:val="24A42D4D"/>
    <w:rsid w:val="24CA2B57"/>
    <w:rsid w:val="24D34D10"/>
    <w:rsid w:val="24F46692"/>
    <w:rsid w:val="25124468"/>
    <w:rsid w:val="25743E57"/>
    <w:rsid w:val="25C80D33"/>
    <w:rsid w:val="25D57113"/>
    <w:rsid w:val="26016786"/>
    <w:rsid w:val="26D60601"/>
    <w:rsid w:val="26E51EF5"/>
    <w:rsid w:val="26FE01DA"/>
    <w:rsid w:val="271D1ABE"/>
    <w:rsid w:val="27584C02"/>
    <w:rsid w:val="278670FC"/>
    <w:rsid w:val="28012834"/>
    <w:rsid w:val="28017784"/>
    <w:rsid w:val="287F157E"/>
    <w:rsid w:val="28D41922"/>
    <w:rsid w:val="28DD78F7"/>
    <w:rsid w:val="29CC726F"/>
    <w:rsid w:val="29D056AA"/>
    <w:rsid w:val="29D5537D"/>
    <w:rsid w:val="2ACA68D2"/>
    <w:rsid w:val="2AD02892"/>
    <w:rsid w:val="2AED414D"/>
    <w:rsid w:val="2B7A199A"/>
    <w:rsid w:val="2B812B85"/>
    <w:rsid w:val="2BB97180"/>
    <w:rsid w:val="2C4A3442"/>
    <w:rsid w:val="2C5300D5"/>
    <w:rsid w:val="2D2864D4"/>
    <w:rsid w:val="2D6405B3"/>
    <w:rsid w:val="2DAA40C0"/>
    <w:rsid w:val="2DD32383"/>
    <w:rsid w:val="2DE50909"/>
    <w:rsid w:val="2DF32494"/>
    <w:rsid w:val="2E803097"/>
    <w:rsid w:val="2E917FC7"/>
    <w:rsid w:val="2EB1759E"/>
    <w:rsid w:val="2EE72320"/>
    <w:rsid w:val="2EE8455C"/>
    <w:rsid w:val="2FC414F3"/>
    <w:rsid w:val="2FE60929"/>
    <w:rsid w:val="2FF058D0"/>
    <w:rsid w:val="303A7CA9"/>
    <w:rsid w:val="30A24EB5"/>
    <w:rsid w:val="30D70117"/>
    <w:rsid w:val="30E42F09"/>
    <w:rsid w:val="31274B61"/>
    <w:rsid w:val="314B29C9"/>
    <w:rsid w:val="31693266"/>
    <w:rsid w:val="31922776"/>
    <w:rsid w:val="31B441AF"/>
    <w:rsid w:val="31C90ADE"/>
    <w:rsid w:val="32A81084"/>
    <w:rsid w:val="32D70991"/>
    <w:rsid w:val="33B2679E"/>
    <w:rsid w:val="33DC14FA"/>
    <w:rsid w:val="33E6360D"/>
    <w:rsid w:val="34F34C56"/>
    <w:rsid w:val="357A5788"/>
    <w:rsid w:val="35C154CE"/>
    <w:rsid w:val="360308BC"/>
    <w:rsid w:val="36147632"/>
    <w:rsid w:val="36530971"/>
    <w:rsid w:val="36561BAE"/>
    <w:rsid w:val="36610C56"/>
    <w:rsid w:val="366B24CA"/>
    <w:rsid w:val="37133678"/>
    <w:rsid w:val="376916D4"/>
    <w:rsid w:val="376A27A2"/>
    <w:rsid w:val="376E6E4C"/>
    <w:rsid w:val="38095396"/>
    <w:rsid w:val="385666E5"/>
    <w:rsid w:val="386E4E6B"/>
    <w:rsid w:val="38D125F2"/>
    <w:rsid w:val="38DB70E7"/>
    <w:rsid w:val="38F03F2D"/>
    <w:rsid w:val="394358ED"/>
    <w:rsid w:val="395E63E7"/>
    <w:rsid w:val="39617A82"/>
    <w:rsid w:val="39B36E0A"/>
    <w:rsid w:val="3A1763DD"/>
    <w:rsid w:val="3AD16F1E"/>
    <w:rsid w:val="3B192EFF"/>
    <w:rsid w:val="3B354642"/>
    <w:rsid w:val="3B8E7E7D"/>
    <w:rsid w:val="3BCE25E6"/>
    <w:rsid w:val="3BD961FC"/>
    <w:rsid w:val="3C1614CF"/>
    <w:rsid w:val="3C1B106D"/>
    <w:rsid w:val="3CEA2ACF"/>
    <w:rsid w:val="3D0C77C5"/>
    <w:rsid w:val="3D304EFE"/>
    <w:rsid w:val="3D48523F"/>
    <w:rsid w:val="3D5874C8"/>
    <w:rsid w:val="3D8B06B4"/>
    <w:rsid w:val="3DC46A40"/>
    <w:rsid w:val="3F11438D"/>
    <w:rsid w:val="3F3618F0"/>
    <w:rsid w:val="3F462D11"/>
    <w:rsid w:val="3FC14E74"/>
    <w:rsid w:val="3FCE7E03"/>
    <w:rsid w:val="40275E65"/>
    <w:rsid w:val="404A6865"/>
    <w:rsid w:val="40731D0B"/>
    <w:rsid w:val="40B33DB7"/>
    <w:rsid w:val="40BD25B1"/>
    <w:rsid w:val="413502CA"/>
    <w:rsid w:val="41540A99"/>
    <w:rsid w:val="41BC1F10"/>
    <w:rsid w:val="41E52D31"/>
    <w:rsid w:val="41FB47E6"/>
    <w:rsid w:val="424B3AFB"/>
    <w:rsid w:val="42CC1AD9"/>
    <w:rsid w:val="42E250CC"/>
    <w:rsid w:val="43765341"/>
    <w:rsid w:val="43F93A95"/>
    <w:rsid w:val="44736986"/>
    <w:rsid w:val="45E60474"/>
    <w:rsid w:val="45F27C36"/>
    <w:rsid w:val="463772EE"/>
    <w:rsid w:val="46886E13"/>
    <w:rsid w:val="46C1077C"/>
    <w:rsid w:val="46CE0949"/>
    <w:rsid w:val="476756F9"/>
    <w:rsid w:val="47756B56"/>
    <w:rsid w:val="478F3EA7"/>
    <w:rsid w:val="47AD3F78"/>
    <w:rsid w:val="47E90ADA"/>
    <w:rsid w:val="47F51236"/>
    <w:rsid w:val="482B5C12"/>
    <w:rsid w:val="490B0815"/>
    <w:rsid w:val="490F7C71"/>
    <w:rsid w:val="492C3528"/>
    <w:rsid w:val="49B4651F"/>
    <w:rsid w:val="49D066E0"/>
    <w:rsid w:val="49D639C4"/>
    <w:rsid w:val="49E329B9"/>
    <w:rsid w:val="4A9C1DE8"/>
    <w:rsid w:val="4AED1B3A"/>
    <w:rsid w:val="4BAF0839"/>
    <w:rsid w:val="4C7032DB"/>
    <w:rsid w:val="4CCF45B4"/>
    <w:rsid w:val="4CE6400E"/>
    <w:rsid w:val="4CF906E8"/>
    <w:rsid w:val="4D5670A7"/>
    <w:rsid w:val="4D5D1F52"/>
    <w:rsid w:val="4DBC63C0"/>
    <w:rsid w:val="4E540763"/>
    <w:rsid w:val="4E673C8B"/>
    <w:rsid w:val="4E72442D"/>
    <w:rsid w:val="4EB0364A"/>
    <w:rsid w:val="4F5D7111"/>
    <w:rsid w:val="4F6C0C6E"/>
    <w:rsid w:val="4F8E36B5"/>
    <w:rsid w:val="4FA45F82"/>
    <w:rsid w:val="4FC20AA7"/>
    <w:rsid w:val="4FE80B78"/>
    <w:rsid w:val="4FF026F6"/>
    <w:rsid w:val="5043379B"/>
    <w:rsid w:val="505F1EFD"/>
    <w:rsid w:val="50B70587"/>
    <w:rsid w:val="50F2027E"/>
    <w:rsid w:val="513D1102"/>
    <w:rsid w:val="515A5195"/>
    <w:rsid w:val="516369FD"/>
    <w:rsid w:val="519A03E7"/>
    <w:rsid w:val="521024B8"/>
    <w:rsid w:val="523978C1"/>
    <w:rsid w:val="52940C0E"/>
    <w:rsid w:val="52DD0A68"/>
    <w:rsid w:val="52EC7E76"/>
    <w:rsid w:val="5345588D"/>
    <w:rsid w:val="53B034DF"/>
    <w:rsid w:val="54004813"/>
    <w:rsid w:val="541A77AD"/>
    <w:rsid w:val="545C7FE0"/>
    <w:rsid w:val="54841516"/>
    <w:rsid w:val="54DE0F4F"/>
    <w:rsid w:val="54E53259"/>
    <w:rsid w:val="54E97D97"/>
    <w:rsid w:val="54F618B1"/>
    <w:rsid w:val="554932D5"/>
    <w:rsid w:val="557C48A7"/>
    <w:rsid w:val="55B769EE"/>
    <w:rsid w:val="560B1770"/>
    <w:rsid w:val="563D07A6"/>
    <w:rsid w:val="568527A9"/>
    <w:rsid w:val="56BD0338"/>
    <w:rsid w:val="57787D9B"/>
    <w:rsid w:val="577C1E80"/>
    <w:rsid w:val="579E6879"/>
    <w:rsid w:val="581F3504"/>
    <w:rsid w:val="588C0AAD"/>
    <w:rsid w:val="58AA3B72"/>
    <w:rsid w:val="58F05AD9"/>
    <w:rsid w:val="59036554"/>
    <w:rsid w:val="59200143"/>
    <w:rsid w:val="59D27F90"/>
    <w:rsid w:val="5A245F46"/>
    <w:rsid w:val="5A812E59"/>
    <w:rsid w:val="5A8A44FD"/>
    <w:rsid w:val="5A995DAB"/>
    <w:rsid w:val="5AA56496"/>
    <w:rsid w:val="5ABA7460"/>
    <w:rsid w:val="5AF779F8"/>
    <w:rsid w:val="5B273C8F"/>
    <w:rsid w:val="5B7A72AE"/>
    <w:rsid w:val="5B9C24F1"/>
    <w:rsid w:val="5B9E50D3"/>
    <w:rsid w:val="5BB46CAC"/>
    <w:rsid w:val="5BDA6C73"/>
    <w:rsid w:val="5C105F94"/>
    <w:rsid w:val="5C14708D"/>
    <w:rsid w:val="5C251D7A"/>
    <w:rsid w:val="5CBF064C"/>
    <w:rsid w:val="5CFA1CEF"/>
    <w:rsid w:val="5D2C49EA"/>
    <w:rsid w:val="5D717467"/>
    <w:rsid w:val="5DB73653"/>
    <w:rsid w:val="5DE44F8E"/>
    <w:rsid w:val="5E2F576D"/>
    <w:rsid w:val="5E4274C8"/>
    <w:rsid w:val="5E9860AF"/>
    <w:rsid w:val="5EC82C37"/>
    <w:rsid w:val="5EF210D2"/>
    <w:rsid w:val="5F042BD4"/>
    <w:rsid w:val="5F230F76"/>
    <w:rsid w:val="5F2447E2"/>
    <w:rsid w:val="5F93765B"/>
    <w:rsid w:val="60232465"/>
    <w:rsid w:val="602A170A"/>
    <w:rsid w:val="60437933"/>
    <w:rsid w:val="605A28BD"/>
    <w:rsid w:val="60844BBD"/>
    <w:rsid w:val="610B183C"/>
    <w:rsid w:val="61140BF8"/>
    <w:rsid w:val="61277376"/>
    <w:rsid w:val="61613AC5"/>
    <w:rsid w:val="617B5D24"/>
    <w:rsid w:val="61D640C8"/>
    <w:rsid w:val="621D5FD0"/>
    <w:rsid w:val="62346510"/>
    <w:rsid w:val="625351F3"/>
    <w:rsid w:val="62553A9B"/>
    <w:rsid w:val="625B75F3"/>
    <w:rsid w:val="62874226"/>
    <w:rsid w:val="62A954D2"/>
    <w:rsid w:val="63A45662"/>
    <w:rsid w:val="63D66D3A"/>
    <w:rsid w:val="6445786C"/>
    <w:rsid w:val="647F5162"/>
    <w:rsid w:val="65296B75"/>
    <w:rsid w:val="65C02314"/>
    <w:rsid w:val="65FA5B9B"/>
    <w:rsid w:val="6618194D"/>
    <w:rsid w:val="66626C20"/>
    <w:rsid w:val="669F5898"/>
    <w:rsid w:val="672A344E"/>
    <w:rsid w:val="67557264"/>
    <w:rsid w:val="679F06A6"/>
    <w:rsid w:val="67AC14B0"/>
    <w:rsid w:val="684D28AA"/>
    <w:rsid w:val="68517281"/>
    <w:rsid w:val="68567627"/>
    <w:rsid w:val="6882746A"/>
    <w:rsid w:val="69247457"/>
    <w:rsid w:val="695D2B48"/>
    <w:rsid w:val="698A4060"/>
    <w:rsid w:val="69E14866"/>
    <w:rsid w:val="69F86802"/>
    <w:rsid w:val="6A3B5037"/>
    <w:rsid w:val="6A6C7DA9"/>
    <w:rsid w:val="6ABD6FC0"/>
    <w:rsid w:val="6B5D5A2F"/>
    <w:rsid w:val="6B7867DE"/>
    <w:rsid w:val="6B9120F6"/>
    <w:rsid w:val="6BA90006"/>
    <w:rsid w:val="6BF65381"/>
    <w:rsid w:val="6C161E18"/>
    <w:rsid w:val="6C8514FE"/>
    <w:rsid w:val="6CBB08C6"/>
    <w:rsid w:val="6D2A351D"/>
    <w:rsid w:val="6D2C5AA6"/>
    <w:rsid w:val="6D632ECB"/>
    <w:rsid w:val="6E3431D3"/>
    <w:rsid w:val="6E787C7F"/>
    <w:rsid w:val="6E815E20"/>
    <w:rsid w:val="6EC35D97"/>
    <w:rsid w:val="6F0D17CB"/>
    <w:rsid w:val="6F827E1F"/>
    <w:rsid w:val="6FBE33DD"/>
    <w:rsid w:val="6FC81416"/>
    <w:rsid w:val="70595FB7"/>
    <w:rsid w:val="70695629"/>
    <w:rsid w:val="706C0370"/>
    <w:rsid w:val="70AB5441"/>
    <w:rsid w:val="71C9438B"/>
    <w:rsid w:val="71EB232F"/>
    <w:rsid w:val="71F22395"/>
    <w:rsid w:val="72D775DD"/>
    <w:rsid w:val="72E03AF4"/>
    <w:rsid w:val="732F3A9D"/>
    <w:rsid w:val="73310943"/>
    <w:rsid w:val="73496713"/>
    <w:rsid w:val="73610E3A"/>
    <w:rsid w:val="7366425D"/>
    <w:rsid w:val="736E713E"/>
    <w:rsid w:val="73821076"/>
    <w:rsid w:val="73AA2969"/>
    <w:rsid w:val="73B22405"/>
    <w:rsid w:val="73CF1F2D"/>
    <w:rsid w:val="73FC1BEE"/>
    <w:rsid w:val="74822716"/>
    <w:rsid w:val="74A77D79"/>
    <w:rsid w:val="74BB2C8C"/>
    <w:rsid w:val="74EC6785"/>
    <w:rsid w:val="74EE2280"/>
    <w:rsid w:val="750D3D28"/>
    <w:rsid w:val="756176A1"/>
    <w:rsid w:val="75C5459B"/>
    <w:rsid w:val="7655017A"/>
    <w:rsid w:val="765866EF"/>
    <w:rsid w:val="766429FA"/>
    <w:rsid w:val="76AC1264"/>
    <w:rsid w:val="76D45B66"/>
    <w:rsid w:val="76E86D8F"/>
    <w:rsid w:val="76FE2417"/>
    <w:rsid w:val="771E653D"/>
    <w:rsid w:val="77222009"/>
    <w:rsid w:val="7763578D"/>
    <w:rsid w:val="78870AAB"/>
    <w:rsid w:val="788E700F"/>
    <w:rsid w:val="79230F58"/>
    <w:rsid w:val="794006DB"/>
    <w:rsid w:val="79D85CE8"/>
    <w:rsid w:val="79E03495"/>
    <w:rsid w:val="79EF653F"/>
    <w:rsid w:val="7A1E0BB7"/>
    <w:rsid w:val="7A322C02"/>
    <w:rsid w:val="7A6E003C"/>
    <w:rsid w:val="7AF65F04"/>
    <w:rsid w:val="7B052BD7"/>
    <w:rsid w:val="7B072853"/>
    <w:rsid w:val="7B5B2FAF"/>
    <w:rsid w:val="7BA10F88"/>
    <w:rsid w:val="7C0B7AA3"/>
    <w:rsid w:val="7CA44252"/>
    <w:rsid w:val="7CAF6F70"/>
    <w:rsid w:val="7CCD5AAE"/>
    <w:rsid w:val="7DA40457"/>
    <w:rsid w:val="7DB479EE"/>
    <w:rsid w:val="7DCD6635"/>
    <w:rsid w:val="7E9C1324"/>
    <w:rsid w:val="7ED90C56"/>
    <w:rsid w:val="7ED91C06"/>
    <w:rsid w:val="7EE36967"/>
    <w:rsid w:val="7F4108E0"/>
    <w:rsid w:val="7F760F4A"/>
    <w:rsid w:val="7F9663C3"/>
    <w:rsid w:val="7FA345E5"/>
    <w:rsid w:val="7FBE0F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qFormat="1" w:unhideWhenUsed="0" w:uiPriority="0" w:semiHidden="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styleId="3">
    <w:name w:val="heading 1"/>
    <w:basedOn w:val="1"/>
    <w:next w:val="1"/>
    <w:link w:val="54"/>
    <w:qFormat/>
    <w:uiPriority w:val="9"/>
    <w:pPr>
      <w:keepNext/>
      <w:keepLines/>
      <w:spacing w:before="340" w:after="330" w:line="578" w:lineRule="auto"/>
      <w:outlineLvl w:val="0"/>
    </w:pPr>
    <w:rPr>
      <w:b/>
      <w:bCs/>
      <w:kern w:val="44"/>
      <w:sz w:val="44"/>
      <w:szCs w:val="44"/>
    </w:rPr>
  </w:style>
  <w:style w:type="paragraph" w:styleId="4">
    <w:name w:val="heading 2"/>
    <w:basedOn w:val="1"/>
    <w:next w:val="5"/>
    <w:link w:val="70"/>
    <w:qFormat/>
    <w:uiPriority w:val="9"/>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link w:val="71"/>
    <w:qFormat/>
    <w:uiPriority w:val="0"/>
    <w:pPr>
      <w:keepNext/>
      <w:keepLines/>
      <w:spacing w:before="260" w:after="260" w:line="415" w:lineRule="auto"/>
      <w:outlineLvl w:val="2"/>
    </w:pPr>
    <w:rPr>
      <w:b/>
      <w:bCs/>
      <w:sz w:val="32"/>
      <w:szCs w:val="32"/>
    </w:rPr>
  </w:style>
  <w:style w:type="paragraph" w:styleId="7">
    <w:name w:val="heading 4"/>
    <w:basedOn w:val="1"/>
    <w:next w:val="1"/>
    <w:link w:val="62"/>
    <w:qFormat/>
    <w:uiPriority w:val="9"/>
    <w:pPr>
      <w:keepNext/>
      <w:keepLines/>
      <w:spacing w:before="280" w:after="290" w:line="376" w:lineRule="auto"/>
      <w:outlineLvl w:val="3"/>
    </w:pPr>
    <w:rPr>
      <w:rFonts w:ascii="Cambria" w:hAnsi="Cambria"/>
      <w:b/>
      <w:bCs/>
      <w:sz w:val="28"/>
      <w:szCs w:val="28"/>
    </w:rPr>
  </w:style>
  <w:style w:type="paragraph" w:styleId="8">
    <w:name w:val="heading 5"/>
    <w:basedOn w:val="1"/>
    <w:next w:val="1"/>
    <w:link w:val="63"/>
    <w:qFormat/>
    <w:uiPriority w:val="9"/>
    <w:pPr>
      <w:keepNext/>
      <w:keepLines/>
      <w:spacing w:before="280" w:after="290" w:line="376" w:lineRule="auto"/>
      <w:outlineLvl w:val="4"/>
    </w:pPr>
    <w:rPr>
      <w:rFonts w:ascii="Times New Roman" w:hAnsi="Times New Roman"/>
      <w:b/>
      <w:bCs/>
      <w:sz w:val="28"/>
      <w:szCs w:val="28"/>
    </w:rPr>
  </w:style>
  <w:style w:type="paragraph" w:styleId="9">
    <w:name w:val="heading 6"/>
    <w:basedOn w:val="1"/>
    <w:next w:val="1"/>
    <w:link w:val="64"/>
    <w:qFormat/>
    <w:uiPriority w:val="9"/>
    <w:pPr>
      <w:keepNext/>
      <w:keepLines/>
      <w:spacing w:before="240" w:after="64" w:line="320" w:lineRule="auto"/>
      <w:outlineLvl w:val="5"/>
    </w:pPr>
    <w:rPr>
      <w:rFonts w:ascii="Cambria" w:hAnsi="Cambria"/>
      <w:b/>
      <w:bCs/>
      <w:sz w:val="24"/>
    </w:rPr>
  </w:style>
  <w:style w:type="paragraph" w:styleId="10">
    <w:name w:val="heading 7"/>
    <w:basedOn w:val="1"/>
    <w:next w:val="1"/>
    <w:link w:val="65"/>
    <w:qFormat/>
    <w:uiPriority w:val="9"/>
    <w:pPr>
      <w:keepNext/>
      <w:keepLines/>
      <w:spacing w:before="240" w:after="64" w:line="320" w:lineRule="auto"/>
      <w:ind w:left="1296" w:hanging="1296"/>
      <w:outlineLvl w:val="6"/>
    </w:pPr>
    <w:rPr>
      <w:b/>
      <w:bCs/>
      <w:sz w:val="24"/>
    </w:rPr>
  </w:style>
  <w:style w:type="paragraph" w:styleId="11">
    <w:name w:val="heading 8"/>
    <w:basedOn w:val="1"/>
    <w:next w:val="1"/>
    <w:link w:val="66"/>
    <w:qFormat/>
    <w:uiPriority w:val="9"/>
    <w:pPr>
      <w:keepNext/>
      <w:keepLines/>
      <w:spacing w:before="240" w:after="64" w:line="320" w:lineRule="auto"/>
      <w:ind w:left="1440" w:hanging="1440"/>
      <w:outlineLvl w:val="7"/>
    </w:pPr>
    <w:rPr>
      <w:rFonts w:ascii="Cambria" w:hAnsi="Cambria"/>
      <w:sz w:val="24"/>
    </w:rPr>
  </w:style>
  <w:style w:type="paragraph" w:styleId="12">
    <w:name w:val="heading 9"/>
    <w:basedOn w:val="1"/>
    <w:next w:val="1"/>
    <w:link w:val="67"/>
    <w:qFormat/>
    <w:uiPriority w:val="9"/>
    <w:pPr>
      <w:keepNext/>
      <w:keepLines/>
      <w:spacing w:before="240" w:after="64" w:line="320" w:lineRule="auto"/>
      <w:ind w:left="1584" w:hanging="1584"/>
      <w:outlineLvl w:val="8"/>
    </w:pPr>
    <w:rPr>
      <w:rFonts w:ascii="Cambria" w:hAnsi="Cambria"/>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93"/>
    <w:qFormat/>
    <w:uiPriority w:val="0"/>
    <w:pPr>
      <w:spacing w:after="120" w:line="240" w:lineRule="auto"/>
    </w:pPr>
    <w:rPr>
      <w:kern w:val="0"/>
      <w:sz w:val="20"/>
    </w:rPr>
  </w:style>
  <w:style w:type="paragraph" w:styleId="5">
    <w:name w:val="Normal Indent"/>
    <w:basedOn w:val="1"/>
    <w:link w:val="96"/>
    <w:qFormat/>
    <w:uiPriority w:val="0"/>
    <w:pPr>
      <w:ind w:firstLine="200" w:firstLineChars="200"/>
    </w:pPr>
  </w:style>
  <w:style w:type="paragraph" w:styleId="13">
    <w:name w:val="toc 7"/>
    <w:basedOn w:val="1"/>
    <w:next w:val="1"/>
    <w:qFormat/>
    <w:uiPriority w:val="39"/>
    <w:pPr>
      <w:ind w:left="2520" w:leftChars="1200"/>
    </w:pPr>
  </w:style>
  <w:style w:type="paragraph" w:styleId="14">
    <w:name w:val="Document Map"/>
    <w:basedOn w:val="1"/>
    <w:link w:val="49"/>
    <w:qFormat/>
    <w:uiPriority w:val="99"/>
    <w:rPr>
      <w:rFonts w:ascii="宋体"/>
      <w:sz w:val="18"/>
      <w:szCs w:val="18"/>
    </w:rPr>
  </w:style>
  <w:style w:type="paragraph" w:styleId="15">
    <w:name w:val="annotation text"/>
    <w:basedOn w:val="1"/>
    <w:link w:val="47"/>
    <w:qFormat/>
    <w:uiPriority w:val="0"/>
    <w:pPr>
      <w:jc w:val="left"/>
    </w:pPr>
  </w:style>
  <w:style w:type="paragraph" w:styleId="16">
    <w:name w:val="Body Text 3"/>
    <w:basedOn w:val="1"/>
    <w:link w:val="101"/>
    <w:qFormat/>
    <w:uiPriority w:val="0"/>
    <w:pPr>
      <w:spacing w:after="0" w:line="240" w:lineRule="auto"/>
      <w:jc w:val="center"/>
    </w:pPr>
    <w:rPr>
      <w:rFonts w:ascii="Times New Roman" w:hAnsi="Times New Roman" w:eastAsia="黑体"/>
      <w:kern w:val="0"/>
      <w:sz w:val="44"/>
    </w:rPr>
  </w:style>
  <w:style w:type="paragraph" w:styleId="17">
    <w:name w:val="Body Text Indent"/>
    <w:basedOn w:val="1"/>
    <w:link w:val="119"/>
    <w:qFormat/>
    <w:uiPriority w:val="0"/>
    <w:pPr>
      <w:ind w:firstLine="630"/>
    </w:pPr>
    <w:rPr>
      <w:sz w:val="32"/>
      <w:szCs w:val="20"/>
    </w:rPr>
  </w:style>
  <w:style w:type="paragraph" w:styleId="18">
    <w:name w:val="toc 5"/>
    <w:basedOn w:val="1"/>
    <w:next w:val="1"/>
    <w:qFormat/>
    <w:uiPriority w:val="39"/>
    <w:pPr>
      <w:ind w:left="1680" w:leftChars="800"/>
    </w:pPr>
  </w:style>
  <w:style w:type="paragraph" w:styleId="19">
    <w:name w:val="toc 3"/>
    <w:basedOn w:val="1"/>
    <w:next w:val="1"/>
    <w:qFormat/>
    <w:uiPriority w:val="39"/>
    <w:pPr>
      <w:ind w:left="840" w:leftChars="400"/>
    </w:pPr>
  </w:style>
  <w:style w:type="paragraph" w:styleId="20">
    <w:name w:val="Plain Text"/>
    <w:basedOn w:val="1"/>
    <w:link w:val="60"/>
    <w:qFormat/>
    <w:uiPriority w:val="0"/>
    <w:pPr>
      <w:spacing w:after="0" w:line="240" w:lineRule="auto"/>
    </w:pPr>
    <w:rPr>
      <w:rFonts w:ascii="宋体" w:hAnsi="Courier New" w:cs="Courier New"/>
      <w:kern w:val="0"/>
      <w:sz w:val="20"/>
      <w:szCs w:val="21"/>
    </w:rPr>
  </w:style>
  <w:style w:type="paragraph" w:styleId="21">
    <w:name w:val="toc 8"/>
    <w:basedOn w:val="1"/>
    <w:next w:val="1"/>
    <w:qFormat/>
    <w:uiPriority w:val="39"/>
    <w:pPr>
      <w:ind w:left="2940" w:leftChars="1400"/>
    </w:pPr>
  </w:style>
  <w:style w:type="paragraph" w:styleId="22">
    <w:name w:val="Date"/>
    <w:basedOn w:val="1"/>
    <w:next w:val="1"/>
    <w:link w:val="80"/>
    <w:qFormat/>
    <w:uiPriority w:val="0"/>
    <w:pPr>
      <w:spacing w:after="0" w:line="240" w:lineRule="auto"/>
      <w:ind w:left="100" w:leftChars="2500"/>
    </w:pPr>
    <w:rPr>
      <w:kern w:val="0"/>
      <w:sz w:val="20"/>
    </w:rPr>
  </w:style>
  <w:style w:type="paragraph" w:styleId="23">
    <w:name w:val="Body Text Indent 2"/>
    <w:basedOn w:val="1"/>
    <w:link w:val="89"/>
    <w:qFormat/>
    <w:uiPriority w:val="0"/>
    <w:pPr>
      <w:spacing w:after="120" w:line="480" w:lineRule="auto"/>
      <w:ind w:left="420" w:leftChars="200"/>
    </w:pPr>
    <w:rPr>
      <w:rFonts w:ascii="Times New Roman" w:hAnsi="Times New Roman"/>
      <w:kern w:val="0"/>
      <w:sz w:val="20"/>
    </w:rPr>
  </w:style>
  <w:style w:type="paragraph" w:styleId="24">
    <w:name w:val="Balloon Text"/>
    <w:basedOn w:val="1"/>
    <w:link w:val="46"/>
    <w:qFormat/>
    <w:uiPriority w:val="0"/>
    <w:rPr>
      <w:sz w:val="18"/>
      <w:szCs w:val="18"/>
    </w:rPr>
  </w:style>
  <w:style w:type="paragraph" w:styleId="25">
    <w:name w:val="footer"/>
    <w:basedOn w:val="1"/>
    <w:link w:val="69"/>
    <w:qFormat/>
    <w:uiPriority w:val="99"/>
    <w:pPr>
      <w:tabs>
        <w:tab w:val="center" w:pos="4153"/>
        <w:tab w:val="right" w:pos="8306"/>
      </w:tabs>
      <w:snapToGrid w:val="0"/>
      <w:jc w:val="left"/>
    </w:pPr>
    <w:rPr>
      <w:sz w:val="18"/>
      <w:szCs w:val="20"/>
    </w:rPr>
  </w:style>
  <w:style w:type="paragraph" w:styleId="26">
    <w:name w:val="header"/>
    <w:basedOn w:val="1"/>
    <w:link w:val="68"/>
    <w:qFormat/>
    <w:uiPriority w:val="99"/>
    <w:pPr>
      <w:pBdr>
        <w:bottom w:val="single" w:color="auto" w:sz="6" w:space="1"/>
      </w:pBdr>
      <w:tabs>
        <w:tab w:val="center" w:pos="4153"/>
        <w:tab w:val="right" w:pos="8306"/>
      </w:tabs>
      <w:snapToGrid w:val="0"/>
      <w:jc w:val="center"/>
    </w:pPr>
    <w:rPr>
      <w:sz w:val="18"/>
      <w:szCs w:val="20"/>
    </w:rPr>
  </w:style>
  <w:style w:type="paragraph" w:styleId="27">
    <w:name w:val="toc 1"/>
    <w:basedOn w:val="1"/>
    <w:next w:val="1"/>
    <w:qFormat/>
    <w:uiPriority w:val="39"/>
  </w:style>
  <w:style w:type="paragraph" w:styleId="28">
    <w:name w:val="toc 4"/>
    <w:basedOn w:val="1"/>
    <w:next w:val="1"/>
    <w:qFormat/>
    <w:uiPriority w:val="39"/>
    <w:pPr>
      <w:ind w:left="1260" w:leftChars="600"/>
    </w:pPr>
  </w:style>
  <w:style w:type="paragraph" w:styleId="29">
    <w:name w:val="Subtitle"/>
    <w:basedOn w:val="1"/>
    <w:next w:val="1"/>
    <w:link w:val="100"/>
    <w:qFormat/>
    <w:uiPriority w:val="11"/>
    <w:pPr>
      <w:spacing w:before="240" w:after="60" w:line="312" w:lineRule="auto"/>
      <w:jc w:val="center"/>
      <w:outlineLvl w:val="1"/>
    </w:pPr>
    <w:rPr>
      <w:rFonts w:ascii="Cambria" w:hAnsi="Cambria"/>
      <w:b/>
      <w:bCs/>
      <w:kern w:val="28"/>
      <w:sz w:val="32"/>
      <w:szCs w:val="32"/>
    </w:rPr>
  </w:style>
  <w:style w:type="paragraph" w:styleId="30">
    <w:name w:val="List Number 5"/>
    <w:basedOn w:val="1"/>
    <w:qFormat/>
    <w:uiPriority w:val="0"/>
    <w:pPr>
      <w:widowControl/>
      <w:tabs>
        <w:tab w:val="left" w:pos="2040"/>
      </w:tabs>
      <w:spacing w:after="0" w:line="240" w:lineRule="atLeast"/>
      <w:ind w:left="800" w:leftChars="800" w:hanging="200" w:hangingChars="200"/>
    </w:pPr>
    <w:rPr>
      <w:rFonts w:ascii="Arial" w:hAnsi="Arial"/>
      <w:kern w:val="0"/>
      <w:szCs w:val="21"/>
    </w:rPr>
  </w:style>
  <w:style w:type="paragraph" w:styleId="31">
    <w:name w:val="toc 6"/>
    <w:basedOn w:val="1"/>
    <w:next w:val="1"/>
    <w:qFormat/>
    <w:uiPriority w:val="39"/>
    <w:pPr>
      <w:ind w:left="2100" w:leftChars="1000"/>
    </w:pPr>
  </w:style>
  <w:style w:type="paragraph" w:styleId="32">
    <w:name w:val="Body Text Indent 3"/>
    <w:basedOn w:val="1"/>
    <w:link w:val="75"/>
    <w:qFormat/>
    <w:uiPriority w:val="0"/>
    <w:pPr>
      <w:spacing w:after="120" w:line="240" w:lineRule="auto"/>
      <w:ind w:left="420" w:leftChars="200"/>
    </w:pPr>
    <w:rPr>
      <w:rFonts w:ascii="Times New Roman" w:hAnsi="Times New Roman"/>
      <w:kern w:val="0"/>
      <w:sz w:val="16"/>
      <w:szCs w:val="16"/>
    </w:rPr>
  </w:style>
  <w:style w:type="paragraph" w:styleId="33">
    <w:name w:val="toc 2"/>
    <w:basedOn w:val="1"/>
    <w:next w:val="1"/>
    <w:qFormat/>
    <w:uiPriority w:val="39"/>
    <w:pPr>
      <w:ind w:left="420" w:leftChars="200"/>
    </w:pPr>
  </w:style>
  <w:style w:type="paragraph" w:styleId="34">
    <w:name w:val="toc 9"/>
    <w:basedOn w:val="1"/>
    <w:next w:val="1"/>
    <w:qFormat/>
    <w:uiPriority w:val="39"/>
    <w:pPr>
      <w:ind w:left="3360" w:leftChars="1600"/>
    </w:pPr>
  </w:style>
  <w:style w:type="paragraph" w:styleId="35">
    <w:name w:val="Normal (Web)"/>
    <w:basedOn w:val="1"/>
    <w:qFormat/>
    <w:uiPriority w:val="0"/>
    <w:pPr>
      <w:widowControl/>
      <w:spacing w:before="100" w:beforeAutospacing="1" w:after="100" w:afterAutospacing="1"/>
      <w:jc w:val="left"/>
    </w:pPr>
    <w:rPr>
      <w:rFonts w:ascii="宋体"/>
      <w:kern w:val="0"/>
      <w:sz w:val="18"/>
      <w:szCs w:val="18"/>
    </w:rPr>
  </w:style>
  <w:style w:type="paragraph" w:styleId="36">
    <w:name w:val="Title"/>
    <w:basedOn w:val="1"/>
    <w:next w:val="1"/>
    <w:link w:val="73"/>
    <w:qFormat/>
    <w:uiPriority w:val="10"/>
    <w:pPr>
      <w:spacing w:before="240" w:after="60" w:line="240" w:lineRule="auto"/>
      <w:jc w:val="center"/>
      <w:outlineLvl w:val="0"/>
    </w:pPr>
    <w:rPr>
      <w:rFonts w:ascii="Cambria" w:hAnsi="Cambria"/>
      <w:b/>
      <w:bCs/>
      <w:kern w:val="0"/>
      <w:sz w:val="32"/>
      <w:szCs w:val="32"/>
    </w:rPr>
  </w:style>
  <w:style w:type="paragraph" w:styleId="37">
    <w:name w:val="annotation subject"/>
    <w:basedOn w:val="15"/>
    <w:next w:val="15"/>
    <w:link w:val="53"/>
    <w:qFormat/>
    <w:uiPriority w:val="99"/>
    <w:rPr>
      <w:b/>
      <w:bCs/>
    </w:rPr>
  </w:style>
  <w:style w:type="paragraph" w:styleId="38">
    <w:name w:val="Body Text First Indent 2"/>
    <w:basedOn w:val="17"/>
    <w:link w:val="106"/>
    <w:qFormat/>
    <w:uiPriority w:val="0"/>
    <w:pPr>
      <w:spacing w:after="120" w:line="240" w:lineRule="auto"/>
      <w:ind w:left="420" w:leftChars="200" w:firstLine="420" w:firstLineChars="200"/>
    </w:pPr>
    <w:rPr>
      <w:kern w:val="0"/>
      <w:sz w:val="20"/>
      <w:szCs w:val="24"/>
    </w:rPr>
  </w:style>
  <w:style w:type="table" w:styleId="40">
    <w:name w:val="Table Grid"/>
    <w:basedOn w:val="3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42">
    <w:name w:val="Strong"/>
    <w:qFormat/>
    <w:uiPriority w:val="0"/>
    <w:rPr>
      <w:rFonts w:ascii="Times New Roman" w:hAnsi="Times New Roman" w:eastAsia="宋体" w:cs="Times New Roman"/>
      <w:b/>
      <w:bCs/>
    </w:rPr>
  </w:style>
  <w:style w:type="character" w:styleId="43">
    <w:name w:val="page number"/>
    <w:qFormat/>
    <w:uiPriority w:val="0"/>
  </w:style>
  <w:style w:type="character" w:styleId="44">
    <w:name w:val="Hyperlink"/>
    <w:basedOn w:val="41"/>
    <w:unhideWhenUsed/>
    <w:qFormat/>
    <w:uiPriority w:val="99"/>
    <w:rPr>
      <w:color w:val="0563C1" w:themeColor="hyperlink"/>
      <w:u w:val="single"/>
    </w:rPr>
  </w:style>
  <w:style w:type="character" w:styleId="45">
    <w:name w:val="annotation reference"/>
    <w:qFormat/>
    <w:uiPriority w:val="0"/>
    <w:rPr>
      <w:sz w:val="21"/>
      <w:szCs w:val="21"/>
    </w:rPr>
  </w:style>
  <w:style w:type="character" w:customStyle="1" w:styleId="46">
    <w:name w:val="批注框文本 Char"/>
    <w:link w:val="24"/>
    <w:qFormat/>
    <w:uiPriority w:val="0"/>
    <w:rPr>
      <w:kern w:val="2"/>
      <w:sz w:val="18"/>
      <w:szCs w:val="18"/>
    </w:rPr>
  </w:style>
  <w:style w:type="character" w:customStyle="1" w:styleId="47">
    <w:name w:val="批注文字 Char"/>
    <w:link w:val="15"/>
    <w:qFormat/>
    <w:uiPriority w:val="99"/>
    <w:rPr>
      <w:kern w:val="2"/>
      <w:sz w:val="21"/>
      <w:szCs w:val="24"/>
    </w:rPr>
  </w:style>
  <w:style w:type="character" w:customStyle="1" w:styleId="48">
    <w:name w:val="font91"/>
    <w:qFormat/>
    <w:uiPriority w:val="0"/>
    <w:rPr>
      <w:rFonts w:hint="eastAsia" w:ascii="宋体" w:hAnsi="宋体" w:eastAsia="宋体" w:cs="宋体"/>
      <w:color w:val="FF0000"/>
      <w:sz w:val="21"/>
      <w:szCs w:val="21"/>
      <w:u w:val="single"/>
    </w:rPr>
  </w:style>
  <w:style w:type="character" w:customStyle="1" w:styleId="49">
    <w:name w:val="文档结构图 Char"/>
    <w:link w:val="14"/>
    <w:qFormat/>
    <w:uiPriority w:val="99"/>
    <w:rPr>
      <w:rFonts w:ascii="宋体"/>
      <w:kern w:val="2"/>
      <w:sz w:val="18"/>
      <w:szCs w:val="18"/>
    </w:rPr>
  </w:style>
  <w:style w:type="character" w:customStyle="1" w:styleId="50">
    <w:name w:val="font101"/>
    <w:qFormat/>
    <w:uiPriority w:val="0"/>
    <w:rPr>
      <w:rFonts w:hint="eastAsia" w:ascii="宋体" w:hAnsi="宋体" w:eastAsia="宋体" w:cs="宋体"/>
      <w:color w:val="000000"/>
      <w:sz w:val="21"/>
      <w:szCs w:val="21"/>
      <w:u w:val="single"/>
    </w:rPr>
  </w:style>
  <w:style w:type="character" w:customStyle="1" w:styleId="51">
    <w:name w:val="font111"/>
    <w:qFormat/>
    <w:uiPriority w:val="0"/>
    <w:rPr>
      <w:rFonts w:hint="default" w:ascii="Eʩ" w:hAnsi="Eʩ" w:eastAsia="Eʩ" w:cs="Eʩ"/>
      <w:color w:val="000000"/>
      <w:sz w:val="21"/>
      <w:szCs w:val="21"/>
      <w:u w:val="single"/>
    </w:rPr>
  </w:style>
  <w:style w:type="character" w:customStyle="1" w:styleId="52">
    <w:name w:val="font31"/>
    <w:qFormat/>
    <w:uiPriority w:val="0"/>
    <w:rPr>
      <w:rFonts w:hint="eastAsia" w:ascii="宋体" w:hAnsi="宋体" w:eastAsia="宋体" w:cs="宋体"/>
      <w:color w:val="000000"/>
      <w:sz w:val="21"/>
      <w:szCs w:val="21"/>
      <w:u w:val="none"/>
    </w:rPr>
  </w:style>
  <w:style w:type="character" w:customStyle="1" w:styleId="53">
    <w:name w:val="批注主题 Char"/>
    <w:link w:val="37"/>
    <w:qFormat/>
    <w:uiPriority w:val="99"/>
    <w:rPr>
      <w:b/>
      <w:bCs/>
      <w:kern w:val="2"/>
      <w:sz w:val="21"/>
      <w:szCs w:val="24"/>
    </w:rPr>
  </w:style>
  <w:style w:type="character" w:customStyle="1" w:styleId="54">
    <w:name w:val="标题 1 Char"/>
    <w:link w:val="3"/>
    <w:qFormat/>
    <w:uiPriority w:val="9"/>
    <w:rPr>
      <w:b/>
      <w:bCs/>
      <w:kern w:val="44"/>
      <w:sz w:val="44"/>
      <w:szCs w:val="44"/>
    </w:rPr>
  </w:style>
  <w:style w:type="paragraph" w:customStyle="1" w:styleId="55">
    <w:name w:val="正文1"/>
    <w:qFormat/>
    <w:uiPriority w:val="0"/>
    <w:pPr>
      <w:widowControl w:val="0"/>
      <w:adjustRightInd w:val="0"/>
      <w:spacing w:after="160" w:line="312" w:lineRule="atLeast"/>
      <w:jc w:val="both"/>
      <w:textAlignment w:val="baseline"/>
    </w:pPr>
    <w:rPr>
      <w:rFonts w:ascii="宋体" w:hAnsi="Calibri" w:eastAsia="宋体" w:cs="Times New Roman"/>
      <w:sz w:val="34"/>
      <w:szCs w:val="22"/>
      <w:lang w:val="en-US" w:eastAsia="zh-CN" w:bidi="ar-SA"/>
    </w:rPr>
  </w:style>
  <w:style w:type="paragraph" w:customStyle="1" w:styleId="56">
    <w:name w:val="样式 首行缩进:  2 字符"/>
    <w:basedOn w:val="1"/>
    <w:qFormat/>
    <w:uiPriority w:val="0"/>
    <w:pPr>
      <w:spacing w:line="400" w:lineRule="exact"/>
      <w:ind w:firstLine="200" w:firstLineChars="200"/>
    </w:pPr>
    <w:rPr>
      <w:rFonts w:cs="宋体"/>
      <w:sz w:val="24"/>
    </w:rPr>
  </w:style>
  <w:style w:type="paragraph" w:customStyle="1" w:styleId="57">
    <w:name w:val="样式"/>
    <w:qFormat/>
    <w:uiPriority w:val="0"/>
    <w:pPr>
      <w:widowControl w:val="0"/>
      <w:autoSpaceDE w:val="0"/>
      <w:autoSpaceDN w:val="0"/>
      <w:adjustRightInd w:val="0"/>
      <w:spacing w:after="160" w:line="259" w:lineRule="auto"/>
    </w:pPr>
    <w:rPr>
      <w:rFonts w:ascii="宋体" w:hAnsi="宋体" w:eastAsia="宋体" w:cs="宋体"/>
      <w:sz w:val="24"/>
      <w:szCs w:val="24"/>
      <w:lang w:val="en-US" w:eastAsia="zh-CN" w:bidi="ar-SA"/>
    </w:rPr>
  </w:style>
  <w:style w:type="paragraph" w:customStyle="1" w:styleId="58">
    <w:name w:val="正文首行缩进两字符"/>
    <w:basedOn w:val="1"/>
    <w:qFormat/>
    <w:uiPriority w:val="99"/>
    <w:pPr>
      <w:spacing w:line="360" w:lineRule="auto"/>
      <w:ind w:firstLine="200" w:firstLineChars="200"/>
    </w:pPr>
  </w:style>
  <w:style w:type="character" w:customStyle="1" w:styleId="59">
    <w:name w:val="批注文字 Char1"/>
    <w:basedOn w:val="41"/>
    <w:qFormat/>
    <w:uiPriority w:val="99"/>
    <w:rPr>
      <w:rFonts w:ascii="Times New Roman" w:hAnsi="Times New Roman" w:eastAsia="宋体" w:cs="Times New Roman"/>
      <w:szCs w:val="24"/>
    </w:rPr>
  </w:style>
  <w:style w:type="character" w:customStyle="1" w:styleId="60">
    <w:name w:val="纯文本 Char"/>
    <w:link w:val="20"/>
    <w:qFormat/>
    <w:locked/>
    <w:uiPriority w:val="0"/>
    <w:rPr>
      <w:rFonts w:ascii="宋体" w:hAnsi="Courier New" w:cs="Courier New"/>
      <w:szCs w:val="21"/>
    </w:rPr>
  </w:style>
  <w:style w:type="character" w:customStyle="1" w:styleId="61">
    <w:name w:val="纯文本 Char1"/>
    <w:basedOn w:val="41"/>
    <w:qFormat/>
    <w:uiPriority w:val="0"/>
    <w:rPr>
      <w:rFonts w:ascii="宋体" w:hAnsi="Courier New" w:cs="Courier New"/>
      <w:kern w:val="2"/>
      <w:sz w:val="21"/>
      <w:szCs w:val="21"/>
    </w:rPr>
  </w:style>
  <w:style w:type="character" w:customStyle="1" w:styleId="62">
    <w:name w:val="标题 4 Char"/>
    <w:basedOn w:val="41"/>
    <w:link w:val="7"/>
    <w:qFormat/>
    <w:uiPriority w:val="9"/>
    <w:rPr>
      <w:rFonts w:ascii="Cambria" w:hAnsi="Cambria"/>
      <w:b/>
      <w:bCs/>
      <w:kern w:val="2"/>
      <w:sz w:val="28"/>
      <w:szCs w:val="28"/>
    </w:rPr>
  </w:style>
  <w:style w:type="character" w:customStyle="1" w:styleId="63">
    <w:name w:val="标题 5 Char"/>
    <w:basedOn w:val="41"/>
    <w:link w:val="8"/>
    <w:qFormat/>
    <w:uiPriority w:val="9"/>
    <w:rPr>
      <w:rFonts w:ascii="Times New Roman" w:hAnsi="Times New Roman"/>
      <w:b/>
      <w:bCs/>
      <w:kern w:val="2"/>
      <w:sz w:val="28"/>
      <w:szCs w:val="28"/>
    </w:rPr>
  </w:style>
  <w:style w:type="character" w:customStyle="1" w:styleId="64">
    <w:name w:val="标题 6 Char"/>
    <w:basedOn w:val="41"/>
    <w:link w:val="9"/>
    <w:qFormat/>
    <w:uiPriority w:val="9"/>
    <w:rPr>
      <w:rFonts w:ascii="Cambria" w:hAnsi="Cambria"/>
      <w:b/>
      <w:bCs/>
      <w:kern w:val="2"/>
      <w:sz w:val="24"/>
      <w:szCs w:val="24"/>
    </w:rPr>
  </w:style>
  <w:style w:type="character" w:customStyle="1" w:styleId="65">
    <w:name w:val="标题 7 Char"/>
    <w:basedOn w:val="41"/>
    <w:link w:val="10"/>
    <w:qFormat/>
    <w:uiPriority w:val="9"/>
    <w:rPr>
      <w:b/>
      <w:bCs/>
      <w:kern w:val="2"/>
      <w:sz w:val="24"/>
      <w:szCs w:val="24"/>
    </w:rPr>
  </w:style>
  <w:style w:type="character" w:customStyle="1" w:styleId="66">
    <w:name w:val="标题 8 Char"/>
    <w:basedOn w:val="41"/>
    <w:link w:val="11"/>
    <w:qFormat/>
    <w:uiPriority w:val="9"/>
    <w:rPr>
      <w:rFonts w:ascii="Cambria" w:hAnsi="Cambria"/>
      <w:kern w:val="2"/>
      <w:sz w:val="24"/>
      <w:szCs w:val="24"/>
    </w:rPr>
  </w:style>
  <w:style w:type="character" w:customStyle="1" w:styleId="67">
    <w:name w:val="标题 9 Char"/>
    <w:basedOn w:val="41"/>
    <w:link w:val="12"/>
    <w:qFormat/>
    <w:uiPriority w:val="9"/>
    <w:rPr>
      <w:rFonts w:ascii="Cambria" w:hAnsi="Cambria"/>
      <w:kern w:val="2"/>
      <w:sz w:val="21"/>
      <w:szCs w:val="21"/>
    </w:rPr>
  </w:style>
  <w:style w:type="character" w:customStyle="1" w:styleId="68">
    <w:name w:val="页眉 Char"/>
    <w:basedOn w:val="41"/>
    <w:link w:val="26"/>
    <w:qFormat/>
    <w:uiPriority w:val="99"/>
    <w:rPr>
      <w:kern w:val="2"/>
      <w:sz w:val="18"/>
    </w:rPr>
  </w:style>
  <w:style w:type="character" w:customStyle="1" w:styleId="69">
    <w:name w:val="页脚 Char"/>
    <w:basedOn w:val="41"/>
    <w:link w:val="25"/>
    <w:qFormat/>
    <w:uiPriority w:val="99"/>
    <w:rPr>
      <w:kern w:val="2"/>
      <w:sz w:val="18"/>
    </w:rPr>
  </w:style>
  <w:style w:type="character" w:customStyle="1" w:styleId="70">
    <w:name w:val="标题 2 Char"/>
    <w:basedOn w:val="41"/>
    <w:link w:val="4"/>
    <w:qFormat/>
    <w:uiPriority w:val="9"/>
    <w:rPr>
      <w:rFonts w:ascii="Arial" w:hAnsi="Arial" w:eastAsia="黑体"/>
      <w:b/>
      <w:bCs/>
      <w:kern w:val="2"/>
      <w:sz w:val="32"/>
      <w:szCs w:val="32"/>
    </w:rPr>
  </w:style>
  <w:style w:type="character" w:customStyle="1" w:styleId="71">
    <w:name w:val="标题 3 Char"/>
    <w:basedOn w:val="41"/>
    <w:link w:val="6"/>
    <w:qFormat/>
    <w:uiPriority w:val="0"/>
    <w:rPr>
      <w:b/>
      <w:bCs/>
      <w:kern w:val="2"/>
      <w:sz w:val="32"/>
      <w:szCs w:val="32"/>
    </w:rPr>
  </w:style>
  <w:style w:type="character" w:customStyle="1" w:styleId="72">
    <w:name w:val="标题 Char1"/>
    <w:qFormat/>
    <w:uiPriority w:val="0"/>
    <w:rPr>
      <w:rFonts w:ascii="Cambria" w:hAnsi="Cambria" w:cs="Times New Roman"/>
      <w:b/>
      <w:bCs/>
      <w:kern w:val="2"/>
      <w:sz w:val="32"/>
      <w:szCs w:val="32"/>
    </w:rPr>
  </w:style>
  <w:style w:type="character" w:customStyle="1" w:styleId="73">
    <w:name w:val="标题 Char"/>
    <w:link w:val="36"/>
    <w:qFormat/>
    <w:uiPriority w:val="10"/>
    <w:rPr>
      <w:rFonts w:ascii="Cambria" w:hAnsi="Cambria"/>
      <w:b/>
      <w:bCs/>
      <w:sz w:val="32"/>
      <w:szCs w:val="32"/>
    </w:rPr>
  </w:style>
  <w:style w:type="character" w:customStyle="1" w:styleId="74">
    <w:name w:val="正文文本缩进 Char"/>
    <w:qFormat/>
    <w:uiPriority w:val="0"/>
    <w:rPr>
      <w:sz w:val="32"/>
    </w:rPr>
  </w:style>
  <w:style w:type="character" w:customStyle="1" w:styleId="75">
    <w:name w:val="正文文本缩进 3 Char"/>
    <w:link w:val="32"/>
    <w:qFormat/>
    <w:uiPriority w:val="0"/>
    <w:rPr>
      <w:rFonts w:ascii="Times New Roman" w:hAnsi="Times New Roman"/>
      <w:sz w:val="16"/>
      <w:szCs w:val="16"/>
    </w:rPr>
  </w:style>
  <w:style w:type="character" w:customStyle="1" w:styleId="76">
    <w:name w:val="副标题 Char1"/>
    <w:qFormat/>
    <w:uiPriority w:val="0"/>
    <w:rPr>
      <w:rFonts w:ascii="Cambria" w:hAnsi="Cambria" w:cs="Times New Roman"/>
      <w:b/>
      <w:bCs/>
      <w:kern w:val="28"/>
      <w:sz w:val="32"/>
      <w:szCs w:val="32"/>
    </w:rPr>
  </w:style>
  <w:style w:type="character" w:customStyle="1" w:styleId="77">
    <w:name w:val="副标题 Char2"/>
    <w:qFormat/>
    <w:uiPriority w:val="0"/>
    <w:rPr>
      <w:rFonts w:ascii="Calibri Light" w:hAnsi="Calibri Light" w:cs="Times New Roman"/>
      <w:b/>
      <w:bCs/>
      <w:kern w:val="28"/>
      <w:sz w:val="32"/>
      <w:szCs w:val="32"/>
    </w:rPr>
  </w:style>
  <w:style w:type="character" w:customStyle="1" w:styleId="78">
    <w:name w:val="Table Text Char1"/>
    <w:link w:val="79"/>
    <w:qFormat/>
    <w:uiPriority w:val="0"/>
    <w:rPr>
      <w:rFonts w:ascii="Arial" w:hAnsi="Arial"/>
      <w:sz w:val="18"/>
    </w:rPr>
  </w:style>
  <w:style w:type="paragraph" w:customStyle="1" w:styleId="79">
    <w:name w:val="Table Text"/>
    <w:link w:val="78"/>
    <w:qFormat/>
    <w:uiPriority w:val="0"/>
    <w:pPr>
      <w:snapToGrid w:val="0"/>
      <w:spacing w:before="80" w:after="80"/>
    </w:pPr>
    <w:rPr>
      <w:rFonts w:ascii="Arial" w:hAnsi="Arial" w:eastAsia="宋体" w:cs="Times New Roman"/>
      <w:sz w:val="18"/>
      <w:lang w:val="en-US" w:eastAsia="zh-CN" w:bidi="ar-SA"/>
    </w:rPr>
  </w:style>
  <w:style w:type="character" w:customStyle="1" w:styleId="80">
    <w:name w:val="日期 Char"/>
    <w:link w:val="22"/>
    <w:qFormat/>
    <w:uiPriority w:val="0"/>
    <w:rPr>
      <w:szCs w:val="24"/>
    </w:rPr>
  </w:style>
  <w:style w:type="character" w:customStyle="1" w:styleId="81">
    <w:name w:val="正文文本 Char1"/>
    <w:qFormat/>
    <w:uiPriority w:val="0"/>
    <w:rPr>
      <w:kern w:val="2"/>
      <w:sz w:val="21"/>
      <w:szCs w:val="24"/>
    </w:rPr>
  </w:style>
  <w:style w:type="character" w:customStyle="1" w:styleId="82">
    <w:name w:val="参数表格 字符"/>
    <w:basedOn w:val="83"/>
    <w:link w:val="85"/>
    <w:qFormat/>
    <w:uiPriority w:val="0"/>
    <w:rPr>
      <w:rFonts w:ascii="宋体" w:hAnsi="宋体"/>
      <w:sz w:val="24"/>
      <w:szCs w:val="24"/>
    </w:rPr>
  </w:style>
  <w:style w:type="character" w:customStyle="1" w:styleId="83">
    <w:name w:val="参数正文 字符"/>
    <w:link w:val="84"/>
    <w:qFormat/>
    <w:uiPriority w:val="0"/>
    <w:rPr>
      <w:rFonts w:ascii="宋体" w:hAnsi="宋体"/>
      <w:sz w:val="24"/>
      <w:szCs w:val="24"/>
    </w:rPr>
  </w:style>
  <w:style w:type="paragraph" w:customStyle="1" w:styleId="84">
    <w:name w:val="参数正文"/>
    <w:basedOn w:val="1"/>
    <w:link w:val="83"/>
    <w:qFormat/>
    <w:uiPriority w:val="0"/>
    <w:pPr>
      <w:spacing w:after="0" w:line="360" w:lineRule="auto"/>
      <w:ind w:firstLine="480" w:firstLineChars="200"/>
      <w:jc w:val="left"/>
    </w:pPr>
    <w:rPr>
      <w:rFonts w:ascii="宋体" w:hAnsi="宋体"/>
      <w:kern w:val="0"/>
      <w:sz w:val="24"/>
    </w:rPr>
  </w:style>
  <w:style w:type="paragraph" w:customStyle="1" w:styleId="85">
    <w:name w:val="参数表格"/>
    <w:basedOn w:val="84"/>
    <w:link w:val="82"/>
    <w:qFormat/>
    <w:uiPriority w:val="0"/>
    <w:pPr>
      <w:ind w:firstLine="0" w:firstLineChars="0"/>
    </w:pPr>
  </w:style>
  <w:style w:type="character" w:customStyle="1" w:styleId="86">
    <w:name w:val="正文文本 Char2"/>
    <w:qFormat/>
    <w:uiPriority w:val="0"/>
    <w:rPr>
      <w:kern w:val="2"/>
      <w:sz w:val="21"/>
      <w:szCs w:val="24"/>
    </w:rPr>
  </w:style>
  <w:style w:type="character" w:customStyle="1" w:styleId="87">
    <w:name w:val="short_text"/>
    <w:qFormat/>
    <w:uiPriority w:val="0"/>
    <w:rPr>
      <w:rFonts w:cs="Times New Roman"/>
    </w:rPr>
  </w:style>
  <w:style w:type="character" w:customStyle="1" w:styleId="88">
    <w:name w:val="ask-title"/>
    <w:qFormat/>
    <w:uiPriority w:val="0"/>
  </w:style>
  <w:style w:type="character" w:customStyle="1" w:styleId="89">
    <w:name w:val="正文文本缩进 2 Char"/>
    <w:link w:val="23"/>
    <w:qFormat/>
    <w:uiPriority w:val="0"/>
    <w:rPr>
      <w:rFonts w:ascii="Times New Roman" w:hAnsi="Times New Roman"/>
      <w:szCs w:val="24"/>
    </w:rPr>
  </w:style>
  <w:style w:type="character" w:customStyle="1" w:styleId="90">
    <w:name w:val="正文文本缩进 3 Char1"/>
    <w:qFormat/>
    <w:uiPriority w:val="0"/>
    <w:rPr>
      <w:kern w:val="2"/>
      <w:sz w:val="16"/>
      <w:szCs w:val="16"/>
    </w:rPr>
  </w:style>
  <w:style w:type="character" w:customStyle="1" w:styleId="91">
    <w:name w:val="列出段落 Char"/>
    <w:link w:val="92"/>
    <w:qFormat/>
    <w:uiPriority w:val="34"/>
    <w:rPr>
      <w:rFonts w:ascii="宋体" w:hAnsi="宋体" w:cs="宋体"/>
      <w:sz w:val="24"/>
      <w:szCs w:val="24"/>
    </w:rPr>
  </w:style>
  <w:style w:type="paragraph" w:styleId="92">
    <w:name w:val="List Paragraph"/>
    <w:basedOn w:val="1"/>
    <w:link w:val="91"/>
    <w:qFormat/>
    <w:uiPriority w:val="34"/>
    <w:pPr>
      <w:widowControl/>
      <w:spacing w:after="0" w:line="240" w:lineRule="auto"/>
      <w:ind w:firstLine="420" w:firstLineChars="200"/>
      <w:jc w:val="left"/>
    </w:pPr>
    <w:rPr>
      <w:rFonts w:ascii="宋体" w:hAnsi="宋体" w:cs="宋体"/>
      <w:kern w:val="0"/>
      <w:sz w:val="24"/>
    </w:rPr>
  </w:style>
  <w:style w:type="character" w:customStyle="1" w:styleId="93">
    <w:name w:val="正文文本 Char"/>
    <w:link w:val="2"/>
    <w:qFormat/>
    <w:locked/>
    <w:uiPriority w:val="0"/>
    <w:rPr>
      <w:szCs w:val="24"/>
    </w:rPr>
  </w:style>
  <w:style w:type="character" w:customStyle="1" w:styleId="94">
    <w:name w:val="apple-converted-space"/>
    <w:qFormat/>
    <w:uiPriority w:val="0"/>
    <w:rPr>
      <w:rFonts w:ascii="Times New Roman" w:hAnsi="Times New Roman" w:eastAsia="宋体" w:cs="Times New Roman"/>
    </w:rPr>
  </w:style>
  <w:style w:type="character" w:customStyle="1" w:styleId="95">
    <w:name w:val="标题 Char2"/>
    <w:qFormat/>
    <w:uiPriority w:val="0"/>
    <w:rPr>
      <w:rFonts w:ascii="Calibri Light" w:hAnsi="Calibri Light" w:cs="Times New Roman"/>
      <w:b/>
      <w:bCs/>
      <w:kern w:val="2"/>
      <w:sz w:val="32"/>
      <w:szCs w:val="32"/>
    </w:rPr>
  </w:style>
  <w:style w:type="character" w:customStyle="1" w:styleId="96">
    <w:name w:val="正文缩进 Char"/>
    <w:link w:val="5"/>
    <w:qFormat/>
    <w:uiPriority w:val="0"/>
    <w:rPr>
      <w:kern w:val="2"/>
      <w:sz w:val="21"/>
      <w:szCs w:val="24"/>
    </w:rPr>
  </w:style>
  <w:style w:type="character" w:customStyle="1" w:styleId="97">
    <w:name w:val="表格正文"/>
    <w:qFormat/>
    <w:uiPriority w:val="0"/>
    <w:rPr>
      <w:rFonts w:ascii="Book Antiqua" w:hAnsi="Book Antiqua" w:eastAsia="仿宋_GB2312"/>
      <w:sz w:val="18"/>
    </w:rPr>
  </w:style>
  <w:style w:type="character" w:customStyle="1" w:styleId="98">
    <w:name w:val="批注文字 字符"/>
    <w:qFormat/>
    <w:uiPriority w:val="0"/>
    <w:rPr>
      <w:kern w:val="2"/>
      <w:sz w:val="21"/>
      <w:szCs w:val="24"/>
    </w:rPr>
  </w:style>
  <w:style w:type="character" w:customStyle="1" w:styleId="99">
    <w:name w:val="正文文本缩进 2 Char1"/>
    <w:qFormat/>
    <w:uiPriority w:val="0"/>
    <w:rPr>
      <w:kern w:val="2"/>
      <w:sz w:val="21"/>
      <w:szCs w:val="24"/>
    </w:rPr>
  </w:style>
  <w:style w:type="character" w:customStyle="1" w:styleId="100">
    <w:name w:val="副标题 Char"/>
    <w:link w:val="29"/>
    <w:qFormat/>
    <w:uiPriority w:val="11"/>
    <w:rPr>
      <w:rFonts w:ascii="Cambria" w:hAnsi="Cambria"/>
      <w:b/>
      <w:bCs/>
      <w:kern w:val="28"/>
      <w:sz w:val="32"/>
      <w:szCs w:val="32"/>
    </w:rPr>
  </w:style>
  <w:style w:type="character" w:customStyle="1" w:styleId="101">
    <w:name w:val="正文文本 3 Char"/>
    <w:link w:val="16"/>
    <w:qFormat/>
    <w:uiPriority w:val="0"/>
    <w:rPr>
      <w:rFonts w:ascii="Times New Roman" w:hAnsi="Times New Roman" w:eastAsia="黑体"/>
      <w:sz w:val="44"/>
      <w:szCs w:val="24"/>
    </w:rPr>
  </w:style>
  <w:style w:type="character" w:customStyle="1" w:styleId="102">
    <w:name w:val="样式1 Char"/>
    <w:link w:val="103"/>
    <w:qFormat/>
    <w:uiPriority w:val="0"/>
    <w:rPr>
      <w:rFonts w:ascii="宋体" w:hAnsi="宋体"/>
      <w:sz w:val="24"/>
      <w:szCs w:val="24"/>
    </w:rPr>
  </w:style>
  <w:style w:type="paragraph" w:customStyle="1" w:styleId="103">
    <w:name w:val="样式1"/>
    <w:basedOn w:val="1"/>
    <w:link w:val="102"/>
    <w:qFormat/>
    <w:uiPriority w:val="0"/>
    <w:pPr>
      <w:spacing w:after="0" w:line="500" w:lineRule="exact"/>
    </w:pPr>
    <w:rPr>
      <w:rFonts w:ascii="宋体" w:hAnsi="宋体"/>
      <w:kern w:val="0"/>
      <w:sz w:val="24"/>
    </w:rPr>
  </w:style>
  <w:style w:type="character" w:customStyle="1" w:styleId="104">
    <w:name w:val="日期 Char1"/>
    <w:qFormat/>
    <w:uiPriority w:val="0"/>
    <w:rPr>
      <w:kern w:val="2"/>
      <w:sz w:val="21"/>
      <w:szCs w:val="24"/>
    </w:rPr>
  </w:style>
  <w:style w:type="character" w:customStyle="1" w:styleId="105">
    <w:name w:val="正文文本 3 Char1"/>
    <w:qFormat/>
    <w:uiPriority w:val="0"/>
    <w:rPr>
      <w:kern w:val="2"/>
      <w:sz w:val="16"/>
      <w:szCs w:val="16"/>
    </w:rPr>
  </w:style>
  <w:style w:type="character" w:customStyle="1" w:styleId="106">
    <w:name w:val="正文首行缩进 2 Char"/>
    <w:link w:val="38"/>
    <w:qFormat/>
    <w:uiPriority w:val="0"/>
    <w:rPr>
      <w:szCs w:val="24"/>
    </w:rPr>
  </w:style>
  <w:style w:type="character" w:customStyle="1" w:styleId="107">
    <w:name w:val="（符号）邀请函中一、"/>
    <w:qFormat/>
    <w:uiPriority w:val="0"/>
    <w:rPr>
      <w:rFonts w:ascii="黑体" w:hAnsi="黑体" w:eastAsia="黑体" w:cs="Times New Roman"/>
      <w:b/>
      <w:bCs/>
      <w:sz w:val="24"/>
    </w:rPr>
  </w:style>
  <w:style w:type="character" w:customStyle="1" w:styleId="108">
    <w:name w:val="方案正文 Char"/>
    <w:link w:val="109"/>
    <w:qFormat/>
    <w:uiPriority w:val="0"/>
    <w:rPr>
      <w:rFonts w:ascii="华文细黑" w:hAnsi="华文细黑" w:eastAsia="华文细黑"/>
      <w:sz w:val="24"/>
      <w:szCs w:val="24"/>
    </w:rPr>
  </w:style>
  <w:style w:type="paragraph" w:customStyle="1" w:styleId="109">
    <w:name w:val="方案正文"/>
    <w:basedOn w:val="1"/>
    <w:link w:val="108"/>
    <w:qFormat/>
    <w:uiPriority w:val="0"/>
    <w:pPr>
      <w:spacing w:before="120" w:after="0" w:line="360" w:lineRule="auto"/>
      <w:ind w:firstLine="425" w:firstLineChars="177"/>
    </w:pPr>
    <w:rPr>
      <w:rFonts w:ascii="华文细黑" w:hAnsi="华文细黑" w:eastAsia="华文细黑"/>
      <w:kern w:val="0"/>
      <w:sz w:val="24"/>
    </w:rPr>
  </w:style>
  <w:style w:type="character" w:customStyle="1" w:styleId="110">
    <w:name w:val="批注主题 Char1"/>
    <w:basedOn w:val="59"/>
    <w:semiHidden/>
    <w:qFormat/>
    <w:uiPriority w:val="99"/>
    <w:rPr>
      <w:rFonts w:ascii="Calibri" w:hAnsi="Calibri" w:eastAsia="宋体" w:cs="Times New Roman"/>
      <w:b/>
      <w:bCs/>
      <w:szCs w:val="24"/>
    </w:rPr>
  </w:style>
  <w:style w:type="character" w:customStyle="1" w:styleId="111">
    <w:name w:val="文档结构图 Char1"/>
    <w:basedOn w:val="41"/>
    <w:semiHidden/>
    <w:qFormat/>
    <w:uiPriority w:val="99"/>
    <w:rPr>
      <w:rFonts w:ascii="宋体" w:hAnsi="Calibri" w:eastAsia="宋体" w:cs="Times New Roman"/>
      <w:sz w:val="18"/>
      <w:szCs w:val="18"/>
    </w:rPr>
  </w:style>
  <w:style w:type="character" w:customStyle="1" w:styleId="112">
    <w:name w:val="正文文本 3 Char2"/>
    <w:basedOn w:val="41"/>
    <w:semiHidden/>
    <w:qFormat/>
    <w:uiPriority w:val="99"/>
    <w:rPr>
      <w:kern w:val="2"/>
      <w:sz w:val="16"/>
      <w:szCs w:val="16"/>
    </w:rPr>
  </w:style>
  <w:style w:type="character" w:customStyle="1" w:styleId="113">
    <w:name w:val="正文文本 Char3"/>
    <w:basedOn w:val="41"/>
    <w:semiHidden/>
    <w:qFormat/>
    <w:uiPriority w:val="99"/>
    <w:rPr>
      <w:kern w:val="2"/>
      <w:sz w:val="21"/>
      <w:szCs w:val="24"/>
    </w:rPr>
  </w:style>
  <w:style w:type="character" w:customStyle="1" w:styleId="114">
    <w:name w:val="正文文本缩进 Char1"/>
    <w:basedOn w:val="41"/>
    <w:semiHidden/>
    <w:qFormat/>
    <w:uiPriority w:val="99"/>
    <w:rPr>
      <w:rFonts w:ascii="Calibri" w:hAnsi="Calibri" w:eastAsia="宋体" w:cs="Times New Roman"/>
      <w:szCs w:val="24"/>
    </w:rPr>
  </w:style>
  <w:style w:type="character" w:customStyle="1" w:styleId="115">
    <w:name w:val="正文文本缩进 3 Char2"/>
    <w:basedOn w:val="41"/>
    <w:semiHidden/>
    <w:qFormat/>
    <w:uiPriority w:val="99"/>
    <w:rPr>
      <w:kern w:val="2"/>
      <w:sz w:val="16"/>
      <w:szCs w:val="16"/>
    </w:rPr>
  </w:style>
  <w:style w:type="character" w:customStyle="1" w:styleId="116">
    <w:name w:val="正文文本缩进 2 Char2"/>
    <w:basedOn w:val="41"/>
    <w:semiHidden/>
    <w:qFormat/>
    <w:uiPriority w:val="99"/>
    <w:rPr>
      <w:kern w:val="2"/>
      <w:sz w:val="21"/>
      <w:szCs w:val="24"/>
    </w:rPr>
  </w:style>
  <w:style w:type="character" w:customStyle="1" w:styleId="117">
    <w:name w:val="纯文本 Char2"/>
    <w:basedOn w:val="41"/>
    <w:semiHidden/>
    <w:qFormat/>
    <w:uiPriority w:val="99"/>
    <w:rPr>
      <w:rFonts w:ascii="宋体" w:hAnsi="Courier New" w:eastAsia="宋体" w:cs="Courier New"/>
      <w:szCs w:val="21"/>
    </w:rPr>
  </w:style>
  <w:style w:type="character" w:customStyle="1" w:styleId="118">
    <w:name w:val="日期 Char2"/>
    <w:basedOn w:val="41"/>
    <w:qFormat/>
    <w:uiPriority w:val="99"/>
    <w:rPr>
      <w:kern w:val="2"/>
      <w:sz w:val="21"/>
      <w:szCs w:val="24"/>
    </w:rPr>
  </w:style>
  <w:style w:type="character" w:customStyle="1" w:styleId="119">
    <w:name w:val="正文文本缩进 Char2"/>
    <w:basedOn w:val="41"/>
    <w:link w:val="17"/>
    <w:qFormat/>
    <w:uiPriority w:val="0"/>
    <w:rPr>
      <w:kern w:val="2"/>
      <w:sz w:val="32"/>
    </w:rPr>
  </w:style>
  <w:style w:type="character" w:customStyle="1" w:styleId="120">
    <w:name w:val="正文首行缩进 2 Char1"/>
    <w:basedOn w:val="119"/>
    <w:semiHidden/>
    <w:qFormat/>
    <w:uiPriority w:val="99"/>
    <w:rPr>
      <w:kern w:val="2"/>
      <w:sz w:val="21"/>
      <w:szCs w:val="24"/>
    </w:rPr>
  </w:style>
  <w:style w:type="character" w:customStyle="1" w:styleId="121">
    <w:name w:val="标题 Char3"/>
    <w:basedOn w:val="41"/>
    <w:qFormat/>
    <w:uiPriority w:val="10"/>
    <w:rPr>
      <w:rFonts w:asciiTheme="majorHAnsi" w:hAnsiTheme="majorHAnsi" w:cstheme="majorBidi"/>
      <w:b/>
      <w:bCs/>
      <w:kern w:val="2"/>
      <w:sz w:val="32"/>
      <w:szCs w:val="32"/>
    </w:rPr>
  </w:style>
  <w:style w:type="character" w:customStyle="1" w:styleId="122">
    <w:name w:val="批注框文本 Char1"/>
    <w:basedOn w:val="41"/>
    <w:semiHidden/>
    <w:qFormat/>
    <w:uiPriority w:val="99"/>
    <w:rPr>
      <w:rFonts w:ascii="Calibri" w:hAnsi="Calibri" w:eastAsia="宋体" w:cs="Times New Roman"/>
      <w:sz w:val="18"/>
      <w:szCs w:val="18"/>
    </w:rPr>
  </w:style>
  <w:style w:type="character" w:customStyle="1" w:styleId="123">
    <w:name w:val="副标题 Char3"/>
    <w:basedOn w:val="41"/>
    <w:qFormat/>
    <w:uiPriority w:val="11"/>
    <w:rPr>
      <w:rFonts w:asciiTheme="majorHAnsi" w:hAnsiTheme="majorHAnsi" w:cstheme="majorBidi"/>
      <w:b/>
      <w:bCs/>
      <w:kern w:val="28"/>
      <w:sz w:val="32"/>
      <w:szCs w:val="32"/>
    </w:rPr>
  </w:style>
  <w:style w:type="paragraph" w:customStyle="1" w:styleId="124">
    <w:name w:val="Char Char1 Char"/>
    <w:basedOn w:val="1"/>
    <w:qFormat/>
    <w:uiPriority w:val="0"/>
    <w:pPr>
      <w:spacing w:after="0" w:line="240" w:lineRule="auto"/>
    </w:pPr>
    <w:rPr>
      <w:rFonts w:ascii="Times New Roman" w:hAnsi="Times New Roman"/>
    </w:rPr>
  </w:style>
  <w:style w:type="paragraph" w:customStyle="1" w:styleId="125">
    <w:name w:val="列出段落1"/>
    <w:basedOn w:val="1"/>
    <w:qFormat/>
    <w:uiPriority w:val="0"/>
    <w:pPr>
      <w:spacing w:after="0" w:line="240" w:lineRule="auto"/>
      <w:ind w:firstLine="420" w:firstLineChars="200"/>
    </w:pPr>
    <w:rPr>
      <w:rFonts w:ascii="Times New Roman" w:hAnsi="Times New Roman"/>
      <w:szCs w:val="21"/>
    </w:rPr>
  </w:style>
  <w:style w:type="paragraph" w:customStyle="1" w:styleId="126">
    <w:name w:val="_Style 6"/>
    <w:basedOn w:val="1"/>
    <w:qFormat/>
    <w:uiPriority w:val="0"/>
    <w:pPr>
      <w:widowControl/>
      <w:spacing w:line="240" w:lineRule="exact"/>
      <w:ind w:left="-62" w:right="36" w:rightChars="15"/>
      <w:jc w:val="left"/>
    </w:pPr>
    <w:rPr>
      <w:rFonts w:ascii="Arial" w:hAnsi="Arial" w:eastAsia="Times New Roman"/>
      <w:kern w:val="0"/>
      <w:sz w:val="20"/>
      <w:lang w:eastAsia="en-US"/>
    </w:rPr>
  </w:style>
  <w:style w:type="paragraph" w:customStyle="1" w:styleId="127">
    <w:name w:val="p15"/>
    <w:basedOn w:val="1"/>
    <w:qFormat/>
    <w:uiPriority w:val="0"/>
    <w:pPr>
      <w:widowControl/>
      <w:spacing w:after="0" w:line="240" w:lineRule="auto"/>
    </w:pPr>
    <w:rPr>
      <w:rFonts w:cs="宋体"/>
      <w:kern w:val="0"/>
      <w:szCs w:val="21"/>
    </w:rPr>
  </w:style>
  <w:style w:type="paragraph" w:customStyle="1" w:styleId="128">
    <w:name w:val="Char Char Char Char Char Char"/>
    <w:basedOn w:val="1"/>
    <w:qFormat/>
    <w:uiPriority w:val="0"/>
    <w:pPr>
      <w:widowControl/>
      <w:spacing w:line="240" w:lineRule="exact"/>
      <w:ind w:left="-62" w:right="36" w:rightChars="15"/>
      <w:jc w:val="left"/>
    </w:pPr>
    <w:rPr>
      <w:rFonts w:ascii="Arial" w:hAnsi="Arial" w:eastAsia="Times New Roman"/>
      <w:kern w:val="0"/>
      <w:sz w:val="20"/>
      <w:szCs w:val="20"/>
      <w:lang w:eastAsia="en-US"/>
    </w:rPr>
  </w:style>
  <w:style w:type="paragraph" w:customStyle="1" w:styleId="129">
    <w:name w:val="_Style 2"/>
    <w:basedOn w:val="1"/>
    <w:qFormat/>
    <w:uiPriority w:val="99"/>
    <w:pPr>
      <w:spacing w:after="0" w:line="240" w:lineRule="auto"/>
      <w:ind w:firstLine="420" w:firstLineChars="200"/>
    </w:pPr>
    <w:rPr>
      <w:rFonts w:ascii="Times New Roman" w:hAnsi="Times New Roman"/>
      <w:sz w:val="18"/>
      <w:szCs w:val="18"/>
    </w:rPr>
  </w:style>
  <w:style w:type="paragraph" w:customStyle="1" w:styleId="130">
    <w:name w:val="表格"/>
    <w:basedOn w:val="1"/>
    <w:qFormat/>
    <w:uiPriority w:val="0"/>
    <w:pPr>
      <w:spacing w:after="0" w:line="400" w:lineRule="exact"/>
    </w:pPr>
    <w:rPr>
      <w:rFonts w:ascii="Times New Roman" w:hAnsi="Times New Roman"/>
      <w:sz w:val="24"/>
    </w:rPr>
  </w:style>
  <w:style w:type="paragraph" w:customStyle="1" w:styleId="131">
    <w:name w:val="列出段落2"/>
    <w:basedOn w:val="1"/>
    <w:qFormat/>
    <w:uiPriority w:val="0"/>
    <w:pPr>
      <w:spacing w:after="0" w:line="240" w:lineRule="auto"/>
      <w:ind w:firstLine="420" w:firstLineChars="200"/>
    </w:pPr>
    <w:rPr>
      <w:szCs w:val="22"/>
    </w:rPr>
  </w:style>
  <w:style w:type="paragraph" w:customStyle="1" w:styleId="132">
    <w:name w:val="列出段落3"/>
    <w:basedOn w:val="1"/>
    <w:qFormat/>
    <w:uiPriority w:val="0"/>
    <w:pPr>
      <w:spacing w:after="0" w:line="240" w:lineRule="auto"/>
      <w:ind w:firstLine="420" w:firstLineChars="200"/>
    </w:pPr>
    <w:rPr>
      <w:rFonts w:ascii="Times New Roman" w:hAnsi="Times New Roman"/>
    </w:rPr>
  </w:style>
  <w:style w:type="paragraph" w:customStyle="1" w:styleId="133">
    <w:name w:val="TOC 标题1"/>
    <w:basedOn w:val="3"/>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34">
    <w:name w:val="Default"/>
    <w:qFormat/>
    <w:uiPriority w:val="0"/>
    <w:pPr>
      <w:widowControl w:val="0"/>
      <w:autoSpaceDE w:val="0"/>
      <w:autoSpaceDN w:val="0"/>
      <w:adjustRightInd w:val="0"/>
      <w:spacing w:after="160" w:line="259" w:lineRule="auto"/>
    </w:pPr>
    <w:rPr>
      <w:rFonts w:ascii="宋体" w:hAnsi="Calibri" w:eastAsia="宋体" w:cs="宋体"/>
      <w:color w:val="000000"/>
      <w:sz w:val="24"/>
      <w:szCs w:val="24"/>
      <w:lang w:val="en-US" w:eastAsia="zh-CN" w:bidi="ar-SA"/>
    </w:rPr>
  </w:style>
  <w:style w:type="paragraph" w:customStyle="1" w:styleId="135">
    <w:name w:val="列表（编号一级）（绿盟科技）"/>
    <w:basedOn w:val="1"/>
    <w:qFormat/>
    <w:uiPriority w:val="0"/>
    <w:pPr>
      <w:widowControl/>
      <w:spacing w:beforeLines="25" w:after="0" w:line="300" w:lineRule="auto"/>
      <w:ind w:left="840"/>
      <w:jc w:val="left"/>
    </w:pPr>
    <w:rPr>
      <w:rFonts w:ascii="Arial" w:hAnsi="Arial"/>
      <w:kern w:val="0"/>
      <w:szCs w:val="21"/>
    </w:rPr>
  </w:style>
  <w:style w:type="paragraph" w:customStyle="1" w:styleId="136">
    <w:name w:val="0"/>
    <w:basedOn w:val="1"/>
    <w:qFormat/>
    <w:uiPriority w:val="0"/>
    <w:pPr>
      <w:widowControl/>
      <w:snapToGrid w:val="0"/>
      <w:spacing w:after="0" w:line="240" w:lineRule="auto"/>
    </w:pPr>
    <w:rPr>
      <w:rFonts w:ascii="Times New Roman" w:hAnsi="Times New Roman"/>
      <w:szCs w:val="21"/>
    </w:rPr>
  </w:style>
  <w:style w:type="paragraph" w:customStyle="1" w:styleId="137">
    <w:name w:val="p0"/>
    <w:basedOn w:val="1"/>
    <w:qFormat/>
    <w:uiPriority w:val="0"/>
    <w:pPr>
      <w:widowControl/>
      <w:spacing w:after="0" w:line="240" w:lineRule="auto"/>
    </w:pPr>
    <w:rPr>
      <w:rFonts w:ascii="Times New Roman" w:hAnsi="Times New Roman"/>
      <w:kern w:val="0"/>
      <w:szCs w:val="20"/>
    </w:rPr>
  </w:style>
  <w:style w:type="paragraph" w:customStyle="1" w:styleId="138">
    <w:name w:val="bullet"/>
    <w:basedOn w:val="1"/>
    <w:qFormat/>
    <w:uiPriority w:val="0"/>
    <w:pPr>
      <w:tabs>
        <w:tab w:val="left" w:pos="720"/>
      </w:tabs>
      <w:spacing w:after="0" w:line="240" w:lineRule="auto"/>
    </w:pPr>
    <w:rPr>
      <w:rFonts w:ascii="Times New Roman" w:hAnsi="Times New Roman"/>
    </w:rPr>
  </w:style>
  <w:style w:type="paragraph" w:customStyle="1" w:styleId="139">
    <w:name w:val="List Paragraph1"/>
    <w:basedOn w:val="1"/>
    <w:qFormat/>
    <w:uiPriority w:val="0"/>
    <w:pPr>
      <w:spacing w:after="0" w:line="240" w:lineRule="auto"/>
      <w:ind w:firstLine="420" w:firstLineChars="200"/>
    </w:pPr>
    <w:rPr>
      <w:szCs w:val="22"/>
    </w:rPr>
  </w:style>
  <w:style w:type="paragraph" w:customStyle="1" w:styleId="140">
    <w:name w:val="_Style 1"/>
    <w:basedOn w:val="1"/>
    <w:qFormat/>
    <w:uiPriority w:val="0"/>
    <w:pPr>
      <w:spacing w:after="0" w:line="240" w:lineRule="auto"/>
      <w:ind w:firstLine="420" w:firstLineChars="200"/>
    </w:pPr>
    <w:rPr>
      <w:rFonts w:ascii="Times New Roman" w:hAnsi="Times New Roman"/>
      <w:sz w:val="18"/>
      <w:szCs w:val="18"/>
    </w:rPr>
  </w:style>
  <w:style w:type="paragraph" w:customStyle="1" w:styleId="141">
    <w:name w:val="列表（编号二级）（绿盟科技）"/>
    <w:basedOn w:val="135"/>
    <w:qFormat/>
    <w:uiPriority w:val="0"/>
    <w:pPr>
      <w:tabs>
        <w:tab w:val="left" w:pos="1440"/>
      </w:tabs>
      <w:spacing w:beforeLines="0"/>
      <w:ind w:left="1260" w:hanging="360"/>
    </w:pPr>
  </w:style>
  <w:style w:type="paragraph" w:customStyle="1" w:styleId="142">
    <w:name w:val="Char1 Char Char Char Char Char Char"/>
    <w:basedOn w:val="1"/>
    <w:qFormat/>
    <w:uiPriority w:val="0"/>
    <w:pPr>
      <w:spacing w:after="0" w:line="240" w:lineRule="auto"/>
    </w:pPr>
    <w:rPr>
      <w:rFonts w:ascii="Tahoma" w:hAnsi="Tahoma"/>
      <w:sz w:val="24"/>
      <w:szCs w:val="20"/>
    </w:rPr>
  </w:style>
  <w:style w:type="paragraph" w:customStyle="1" w:styleId="143">
    <w:name w:val="正常"/>
    <w:qFormat/>
    <w:uiPriority w:val="0"/>
    <w:pPr>
      <w:framePr w:wrap="around" w:vAnchor="margin" w:hAnchor="text" w:y="1"/>
      <w:widowControl w:val="0"/>
      <w:jc w:val="both"/>
    </w:pPr>
    <w:rPr>
      <w:rFonts w:ascii="Calibri" w:hAnsi="Calibri" w:eastAsia="Calibri" w:cs="Calibri"/>
      <w:color w:val="000000"/>
      <w:kern w:val="2"/>
      <w:sz w:val="21"/>
      <w:szCs w:val="21"/>
      <w:u w:color="000000"/>
      <w:lang w:val="en-US" w:eastAsia="zh-CN" w:bidi="ar-SA"/>
    </w:rPr>
  </w:style>
  <w:style w:type="paragraph" w:customStyle="1" w:styleId="144">
    <w:name w:val="修订1"/>
    <w:qFormat/>
    <w:uiPriority w:val="0"/>
    <w:rPr>
      <w:rFonts w:ascii="Times New Roman" w:hAnsi="Times New Roman" w:eastAsia="宋体" w:cs="Times New Roman"/>
      <w:kern w:val="2"/>
      <w:sz w:val="21"/>
      <w:szCs w:val="24"/>
      <w:lang w:val="en-US" w:eastAsia="zh-CN" w:bidi="ar-SA"/>
    </w:rPr>
  </w:style>
  <w:style w:type="table" w:customStyle="1" w:styleId="145">
    <w:name w:val="浅色底纹 - 强调文字颜色 11"/>
    <w:basedOn w:val="39"/>
    <w:qFormat/>
    <w:uiPriority w:val="60"/>
    <w:rPr>
      <w:color w:val="365F91"/>
    </w:rPr>
    <w:tblPr>
      <w:tblBorders>
        <w:top w:val="single" w:color="4F81BD" w:sz="8" w:space="0"/>
        <w:bottom w:val="single" w:color="4F81BD" w:sz="8" w:space="0"/>
      </w:tblBorders>
      <w:tblLayout w:type="fixed"/>
      <w:tblCellMar>
        <w:top w:w="0" w:type="dxa"/>
        <w:left w:w="108" w:type="dxa"/>
        <w:bottom w:w="0" w:type="dxa"/>
        <w:right w:w="108" w:type="dxa"/>
      </w:tblCellMar>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character" w:customStyle="1" w:styleId="146">
    <w:name w:val="列出段落 字符"/>
    <w:qFormat/>
    <w:uiPriority w:val="34"/>
    <w:rPr>
      <w:rFonts w:ascii="宋体" w:hAnsi="宋体" w:cs="宋体"/>
      <w:sz w:val="24"/>
      <w:szCs w:val="24"/>
    </w:rPr>
  </w:style>
  <w:style w:type="character" w:customStyle="1" w:styleId="147">
    <w:name w:val="列出段落 Char1"/>
    <w:qFormat/>
    <w:uiPriority w:val="34"/>
    <w:rPr>
      <w:rFonts w:ascii="宋体" w:hAnsi="宋体" w:cs="宋体"/>
      <w:sz w:val="24"/>
      <w:szCs w:val="24"/>
    </w:rPr>
  </w:style>
  <w:style w:type="paragraph" w:customStyle="1" w:styleId="148">
    <w:name w:val="Char Char Char Char Char Char Char Char Char Char Char Char Char Char1 Char Char Char Char"/>
    <w:basedOn w:val="1"/>
    <w:qFormat/>
    <w:uiPriority w:val="0"/>
    <w:pPr>
      <w:spacing w:after="0" w:line="240" w:lineRule="auto"/>
    </w:pPr>
    <w:rPr>
      <w:rFonts w:ascii="Times New Roman" w:hAnsi="Times New Roman"/>
      <w:szCs w:val="21"/>
    </w:rPr>
  </w:style>
  <w:style w:type="paragraph" w:customStyle="1" w:styleId="149">
    <w:name w:val="修订2"/>
    <w:hidden/>
    <w:semiHidden/>
    <w:qFormat/>
    <w:uiPriority w:val="99"/>
    <w:rPr>
      <w:rFonts w:ascii="Calibri" w:hAnsi="Calibri" w:eastAsia="宋体" w:cs="Times New Roman"/>
      <w:kern w:val="2"/>
      <w:sz w:val="21"/>
      <w:szCs w:val="24"/>
      <w:lang w:val="en-US" w:eastAsia="zh-CN" w:bidi="ar-SA"/>
    </w:rPr>
  </w:style>
  <w:style w:type="paragraph" w:customStyle="1" w:styleId="150">
    <w:name w:val="修订3"/>
    <w:hidden/>
    <w:unhideWhenUsed/>
    <w:qFormat/>
    <w:uiPriority w:val="99"/>
    <w:rPr>
      <w:rFonts w:ascii="Calibri" w:hAnsi="Calibri" w:eastAsia="宋体" w:cs="Times New Roman"/>
      <w:kern w:val="2"/>
      <w:sz w:val="21"/>
      <w:szCs w:val="24"/>
      <w:lang w:val="en-US" w:eastAsia="zh-CN" w:bidi="ar-SA"/>
    </w:rPr>
  </w:style>
  <w:style w:type="paragraph" w:customStyle="1" w:styleId="151">
    <w:name w:val="内文1"/>
    <w:basedOn w:val="1"/>
    <w:qFormat/>
    <w:uiPriority w:val="99"/>
    <w:pPr>
      <w:adjustRightInd w:val="0"/>
      <w:snapToGrid w:val="0"/>
      <w:spacing w:beforeLines="30" w:afterLines="30" w:line="300" w:lineRule="atLeast"/>
      <w:ind w:left="1038"/>
    </w:pPr>
    <w:rPr>
      <w:rFonts w:ascii="Arial" w:hAnsi="Arial" w:cs="Arial"/>
      <w:sz w:val="20"/>
      <w:szCs w:val="20"/>
    </w:rPr>
  </w:style>
  <w:style w:type="paragraph" w:customStyle="1" w:styleId="152">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w="http://schemas.openxmlformats.org/wordprocessingml/2006/main" xmlns:r="http://schemas.openxmlformats.org/officeDocument/2006/relationships" xmlns:w14="http://schemas.microsoft.com/office/word/2010/wordml" xmlns:w15="http://schemas.microsoft.com/office/word/2012/wordml" xmlns:m="http://schemas.openxmlformats.org/officeDocument/2006/math" xmlns:wp="http://schemas.openxmlformats.org/drawingml/2006/wordprocessingDrawing" xmlns:a="http://schemas.openxmlformats.org/drawingml/2006/main" xmlns:wp14="http://schemas.microsoft.com/office/word/2010/wordprocessingDrawing" xmlns:sl="http://schemas.openxmlformats.org/schemaLibrary/2006/main" xmlns:mc="http://schemas.openxmlformats.org/markup-compatibility/2006"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BF08DB-C6B2-4E04-9EB5-D23F7C02EF0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56</Pages>
  <Words>4484</Words>
  <Characters>25561</Characters>
  <Lines>213</Lines>
  <Paragraphs>59</Paragraphs>
  <TotalTime>10</TotalTime>
  <ScaleCrop>false</ScaleCrop>
  <LinksUpToDate>false</LinksUpToDate>
  <CharactersWithSpaces>29986</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2018-08-07T01:53:00Z</dcterms:created>
  <dc:creator>Administrator</dc:creator>
  <cp:lastModifiedBy>徐舒瑶</cp:lastModifiedBy>
  <cp:lastPrinted>2019-08-05T02:31:23Z</cp:lastPrinted>
  <dcterms:modified xsi:type="dcterms:W3CDTF">2019-08-05T02:32:16Z</dcterms:modified>
  <dc:title>招标编号：xxxx [xxxx] xx号</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