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35"/>
      </w:pPr>
    </w:p>
    <w:p>
      <w:pPr>
        <w:jc w:val="center"/>
        <w:rPr>
          <w:rFonts w:hint="eastAsia" w:ascii="宋体" w:hAnsi="宋体"/>
          <w:sz w:val="48"/>
          <w:szCs w:val="48"/>
          <w:lang w:eastAsia="zh-CN"/>
        </w:rPr>
      </w:pPr>
      <w:r>
        <w:rPr>
          <w:rFonts w:hint="eastAsia" w:ascii="宋体" w:hAnsi="宋体"/>
          <w:sz w:val="48"/>
          <w:szCs w:val="48"/>
          <w:lang w:eastAsia="zh-CN"/>
        </w:rPr>
        <w:t>中国邮政集团公司益阳市分公司谢林港</w:t>
      </w:r>
    </w:p>
    <w:p>
      <w:pPr>
        <w:jc w:val="center"/>
        <w:rPr>
          <w:rFonts w:hint="eastAsia" w:ascii="宋体" w:hAnsi="宋体" w:eastAsia="宋体"/>
          <w:sz w:val="48"/>
          <w:szCs w:val="48"/>
          <w:lang w:eastAsia="zh-CN"/>
        </w:rPr>
      </w:pPr>
      <w:r>
        <w:rPr>
          <w:rFonts w:hint="eastAsia" w:ascii="宋体" w:hAnsi="宋体"/>
          <w:sz w:val="48"/>
          <w:szCs w:val="48"/>
          <w:lang w:eastAsia="zh-CN"/>
        </w:rPr>
        <w:t>支局重建项目</w:t>
      </w:r>
    </w:p>
    <w:p>
      <w:pPr>
        <w:ind w:firstLine="435"/>
        <w:jc w:val="center"/>
        <w:rPr>
          <w:b/>
          <w:color w:val="FF0000"/>
          <w:sz w:val="24"/>
        </w:rPr>
      </w:pPr>
    </w:p>
    <w:p>
      <w:pPr>
        <w:ind w:firstLine="3151" w:firstLineChars="1308"/>
        <w:rPr>
          <w:b/>
          <w:color w:val="000000"/>
          <w:sz w:val="24"/>
        </w:rPr>
      </w:pPr>
    </w:p>
    <w:p>
      <w:pPr>
        <w:ind w:firstLine="3151" w:firstLineChars="1308"/>
        <w:rPr>
          <w:rFonts w:hint="default" w:eastAsia="宋体"/>
          <w:b/>
          <w:color w:val="FF0000"/>
          <w:sz w:val="24"/>
          <w:lang w:val="en-US" w:eastAsia="zh-CN"/>
        </w:rPr>
      </w:pPr>
      <w:r>
        <w:rPr>
          <w:rFonts w:hint="eastAsia"/>
          <w:b/>
          <w:sz w:val="24"/>
        </w:rPr>
        <w:t>招标编号：</w:t>
      </w:r>
      <w:r>
        <w:rPr>
          <w:rFonts w:hint="eastAsia"/>
          <w:b/>
          <w:sz w:val="24"/>
          <w:lang w:eastAsia="zh-CN"/>
        </w:rPr>
        <w:t>TTPPCG-2019-</w:t>
      </w:r>
      <w:r>
        <w:rPr>
          <w:rFonts w:hint="eastAsia"/>
          <w:b/>
          <w:sz w:val="24"/>
          <w:lang w:val="en-US" w:eastAsia="zh-CN"/>
        </w:rPr>
        <w:t>068</w:t>
      </w:r>
    </w:p>
    <w:p>
      <w:pPr>
        <w:ind w:firstLine="435"/>
        <w:rPr>
          <w:rFonts w:ascii="宋体" w:hAnsi="宋体"/>
          <w:szCs w:val="21"/>
        </w:rPr>
      </w:pPr>
    </w:p>
    <w:p>
      <w:pPr>
        <w:rPr>
          <w:rFonts w:ascii="黑体" w:hAnsi="宋体" w:eastAsia="黑体"/>
          <w:sz w:val="72"/>
          <w:szCs w:val="72"/>
        </w:rPr>
      </w:pPr>
    </w:p>
    <w:p>
      <w:pPr>
        <w:jc w:val="center"/>
        <w:rPr>
          <w:rFonts w:ascii="黑体" w:hAnsi="宋体" w:eastAsia="黑体"/>
          <w:sz w:val="72"/>
          <w:szCs w:val="72"/>
        </w:rPr>
      </w:pPr>
      <w:r>
        <w:rPr>
          <w:rFonts w:hint="eastAsia" w:ascii="黑体" w:hAnsi="宋体" w:eastAsia="黑体"/>
          <w:sz w:val="72"/>
          <w:szCs w:val="72"/>
        </w:rPr>
        <w:t>招  标  文  件</w:t>
      </w:r>
    </w:p>
    <w:p>
      <w:pPr>
        <w:jc w:val="center"/>
        <w:rPr>
          <w:rFonts w:ascii="黑体" w:hAnsi="宋体" w:eastAsia="黑体"/>
          <w:sz w:val="72"/>
          <w:szCs w:val="72"/>
        </w:rPr>
      </w:pPr>
    </w:p>
    <w:p>
      <w:pPr>
        <w:jc w:val="center"/>
        <w:rPr>
          <w:rFonts w:ascii="黑体" w:hAnsi="宋体" w:eastAsia="黑体"/>
          <w:sz w:val="72"/>
          <w:szCs w:val="72"/>
        </w:rPr>
      </w:pPr>
    </w:p>
    <w:p>
      <w:pPr>
        <w:ind w:firstLine="435"/>
      </w:pPr>
    </w:p>
    <w:p>
      <w:pPr>
        <w:ind w:firstLine="435"/>
      </w:pPr>
    </w:p>
    <w:p>
      <w:pPr>
        <w:tabs>
          <w:tab w:val="left" w:pos="7655"/>
        </w:tabs>
        <w:spacing w:line="360" w:lineRule="auto"/>
        <w:jc w:val="left"/>
        <w:rPr>
          <w:rFonts w:ascii="宋体" w:hAnsi="宋体"/>
          <w:sz w:val="32"/>
          <w:szCs w:val="32"/>
        </w:rPr>
      </w:pPr>
      <w:r>
        <w:rPr>
          <w:rFonts w:hint="eastAsia" w:ascii="宋体" w:hAnsi="宋体"/>
          <w:sz w:val="32"/>
          <w:szCs w:val="32"/>
        </w:rPr>
        <w:t>招 标人：</w:t>
      </w:r>
      <w:r>
        <w:rPr>
          <w:rFonts w:hint="eastAsia" w:ascii="宋体" w:hAnsi="宋体"/>
          <w:sz w:val="32"/>
          <w:szCs w:val="32"/>
          <w:u w:val="single"/>
        </w:rPr>
        <w:t xml:space="preserve">  </w:t>
      </w:r>
      <w:r>
        <w:rPr>
          <w:rFonts w:hint="eastAsia" w:ascii="宋体" w:hAnsi="宋体"/>
          <w:sz w:val="32"/>
          <w:szCs w:val="32"/>
          <w:u w:val="single"/>
          <w:lang w:eastAsia="zh-CN"/>
        </w:rPr>
        <w:t>中国邮政集团公司益阳市分公司</w:t>
      </w:r>
      <w:r>
        <w:rPr>
          <w:rFonts w:hint="eastAsia" w:ascii="宋体" w:hAnsi="宋体"/>
          <w:sz w:val="32"/>
          <w:szCs w:val="32"/>
          <w:u w:val="single"/>
        </w:rPr>
        <w:t xml:space="preserve">    </w:t>
      </w:r>
      <w:r>
        <w:rPr>
          <w:rFonts w:hint="eastAsia" w:ascii="宋体" w:hAnsi="宋体"/>
          <w:sz w:val="32"/>
          <w:szCs w:val="32"/>
        </w:rPr>
        <w:t>(盖章)</w:t>
      </w:r>
    </w:p>
    <w:p>
      <w:pPr>
        <w:tabs>
          <w:tab w:val="left" w:pos="7655"/>
        </w:tabs>
        <w:spacing w:line="360" w:lineRule="auto"/>
        <w:jc w:val="left"/>
        <w:rPr>
          <w:rFonts w:ascii="宋体" w:hAnsi="宋体"/>
          <w:sz w:val="32"/>
          <w:szCs w:val="32"/>
        </w:rPr>
      </w:pPr>
      <w:r>
        <w:rPr>
          <w:rFonts w:hint="eastAsia" w:ascii="宋体" w:hAnsi="宋体"/>
          <w:bCs/>
          <w:spacing w:val="-20"/>
          <w:sz w:val="32"/>
          <w:szCs w:val="32"/>
        </w:rPr>
        <w:t xml:space="preserve">    　　 </w:t>
      </w:r>
    </w:p>
    <w:p>
      <w:pPr>
        <w:tabs>
          <w:tab w:val="left" w:pos="7655"/>
        </w:tabs>
        <w:spacing w:line="360" w:lineRule="auto"/>
        <w:rPr>
          <w:rFonts w:ascii="宋体" w:hAnsi="宋体"/>
          <w:sz w:val="32"/>
          <w:szCs w:val="32"/>
        </w:rPr>
      </w:pPr>
      <w:r>
        <w:rPr>
          <w:rFonts w:hint="eastAsia" w:ascii="宋体" w:hAnsi="宋体"/>
          <w:sz w:val="32"/>
          <w:szCs w:val="32"/>
        </w:rPr>
        <w:t>法定代表人：</w:t>
      </w:r>
      <w:r>
        <w:rPr>
          <w:rFonts w:hint="eastAsia" w:ascii="宋体" w:hAnsi="宋体"/>
          <w:sz w:val="32"/>
          <w:szCs w:val="32"/>
          <w:u w:val="single"/>
        </w:rPr>
        <w:t xml:space="preserve">                     　</w:t>
      </w:r>
      <w:r>
        <w:rPr>
          <w:rFonts w:hint="eastAsia" w:ascii="宋体" w:hAnsi="宋体"/>
          <w:sz w:val="32"/>
          <w:szCs w:val="32"/>
        </w:rPr>
        <w:t>（签字或盖章）</w:t>
      </w:r>
    </w:p>
    <w:p>
      <w:pPr>
        <w:tabs>
          <w:tab w:val="left" w:pos="7655"/>
        </w:tabs>
        <w:spacing w:line="360" w:lineRule="auto"/>
        <w:rPr>
          <w:rFonts w:ascii="宋体" w:hAnsi="宋体"/>
          <w:sz w:val="32"/>
          <w:szCs w:val="32"/>
        </w:rPr>
      </w:pPr>
    </w:p>
    <w:p>
      <w:pPr>
        <w:tabs>
          <w:tab w:val="left" w:pos="7655"/>
        </w:tabs>
        <w:spacing w:line="360" w:lineRule="auto"/>
        <w:jc w:val="left"/>
        <w:rPr>
          <w:rFonts w:ascii="宋体" w:hAnsi="宋体"/>
          <w:sz w:val="32"/>
          <w:szCs w:val="32"/>
          <w:u w:val="single"/>
        </w:rPr>
      </w:pPr>
      <w:r>
        <w:rPr>
          <w:rFonts w:hint="eastAsia" w:ascii="宋体" w:hAnsi="宋体"/>
          <w:sz w:val="32"/>
          <w:szCs w:val="32"/>
        </w:rPr>
        <w:t>招标代理机构：</w:t>
      </w:r>
      <w:r>
        <w:rPr>
          <w:rFonts w:hint="eastAsia" w:ascii="宋体" w:hAnsi="宋体"/>
          <w:sz w:val="32"/>
          <w:szCs w:val="32"/>
          <w:u w:val="single"/>
        </w:rPr>
        <w:t xml:space="preserve"> </w:t>
      </w:r>
      <w:r>
        <w:rPr>
          <w:rFonts w:hint="eastAsia" w:ascii="宋体" w:hAnsi="宋体"/>
          <w:sz w:val="32"/>
          <w:szCs w:val="32"/>
          <w:u w:val="single"/>
          <w:lang w:eastAsia="zh-CN"/>
        </w:rPr>
        <w:t>湖南省天平项目管理有限公司</w:t>
      </w:r>
      <w:r>
        <w:rPr>
          <w:rFonts w:hint="eastAsia" w:ascii="宋体" w:hAnsi="宋体"/>
          <w:sz w:val="32"/>
          <w:szCs w:val="32"/>
        </w:rPr>
        <w:t>（盖章）</w:t>
      </w:r>
    </w:p>
    <w:p>
      <w:pPr>
        <w:tabs>
          <w:tab w:val="left" w:pos="7655"/>
        </w:tabs>
        <w:spacing w:line="360" w:lineRule="auto"/>
        <w:rPr>
          <w:rFonts w:ascii="宋体" w:hAnsi="宋体"/>
          <w:sz w:val="32"/>
          <w:szCs w:val="32"/>
        </w:rPr>
      </w:pPr>
    </w:p>
    <w:p>
      <w:pPr>
        <w:tabs>
          <w:tab w:val="left" w:pos="7655"/>
        </w:tabs>
        <w:spacing w:line="360" w:lineRule="auto"/>
        <w:rPr>
          <w:rFonts w:ascii="宋体" w:hAnsi="宋体"/>
          <w:sz w:val="32"/>
          <w:szCs w:val="32"/>
        </w:rPr>
      </w:pPr>
      <w:r>
        <w:rPr>
          <w:rFonts w:hint="eastAsia" w:ascii="宋体" w:hAnsi="宋体"/>
          <w:sz w:val="32"/>
          <w:szCs w:val="32"/>
        </w:rPr>
        <w:t>法定代表人：</w:t>
      </w:r>
      <w:r>
        <w:rPr>
          <w:rFonts w:hint="eastAsia" w:ascii="宋体" w:hAnsi="宋体"/>
          <w:sz w:val="32"/>
          <w:szCs w:val="32"/>
          <w:u w:val="single"/>
        </w:rPr>
        <w:t xml:space="preserve">                     　</w:t>
      </w:r>
      <w:r>
        <w:rPr>
          <w:rFonts w:hint="eastAsia" w:ascii="宋体" w:hAnsi="宋体"/>
          <w:sz w:val="32"/>
          <w:szCs w:val="32"/>
        </w:rPr>
        <w:t>（签字或盖章）</w:t>
      </w:r>
    </w:p>
    <w:p>
      <w:pPr>
        <w:spacing w:line="360" w:lineRule="auto"/>
        <w:rPr>
          <w:rFonts w:ascii="宋体" w:hAnsi="宋体"/>
          <w:sz w:val="32"/>
          <w:szCs w:val="32"/>
        </w:rPr>
      </w:pPr>
    </w:p>
    <w:p>
      <w:pPr>
        <w:spacing w:line="360" w:lineRule="auto"/>
        <w:jc w:val="center"/>
        <w:rPr>
          <w:rFonts w:ascii="宋体" w:hAnsi="宋体"/>
          <w:sz w:val="32"/>
          <w:szCs w:val="32"/>
        </w:rPr>
      </w:pPr>
      <w:r>
        <w:rPr>
          <w:rFonts w:hint="eastAsia" w:ascii="宋体" w:hAnsi="宋体"/>
          <w:sz w:val="32"/>
          <w:szCs w:val="32"/>
        </w:rPr>
        <w:t>二0一九年</w:t>
      </w:r>
      <w:r>
        <w:rPr>
          <w:rFonts w:hint="eastAsia" w:ascii="宋体" w:hAnsi="宋体"/>
          <w:sz w:val="32"/>
          <w:szCs w:val="32"/>
          <w:lang w:eastAsia="zh-CN"/>
        </w:rPr>
        <w:t>九</w:t>
      </w:r>
      <w:r>
        <w:rPr>
          <w:rFonts w:hint="eastAsia" w:ascii="宋体" w:hAnsi="宋体"/>
          <w:sz w:val="32"/>
          <w:szCs w:val="32"/>
        </w:rPr>
        <w:t>月</w:t>
      </w:r>
    </w:p>
    <w:p>
      <w:pPr/>
    </w:p>
    <w:p>
      <w:pPr/>
    </w:p>
    <w:p>
      <w:pPr/>
    </w:p>
    <w:p>
      <w:pPr/>
    </w:p>
    <w:p>
      <w:pPr/>
    </w:p>
    <w:p>
      <w:pPr/>
    </w:p>
    <w:p>
      <w:pPr>
        <w:spacing w:line="540" w:lineRule="exact"/>
        <w:jc w:val="center"/>
        <w:rPr>
          <w:rFonts w:ascii="黑体" w:hAnsi="黑体" w:eastAsia="黑体"/>
          <w:bCs/>
          <w:sz w:val="36"/>
          <w:szCs w:val="36"/>
        </w:rPr>
      </w:pPr>
      <w:r>
        <w:rPr>
          <w:rFonts w:hint="eastAsia" w:ascii="黑体" w:hAnsi="黑体" w:eastAsia="黑体"/>
          <w:bCs/>
          <w:sz w:val="36"/>
          <w:szCs w:val="36"/>
        </w:rPr>
        <w:t>目  录</w:t>
      </w:r>
    </w:p>
    <w:p>
      <w:pPr>
        <w:pStyle w:val="27"/>
        <w:tabs>
          <w:tab w:val="right" w:leader="dot" w:pos="8891"/>
        </w:tabs>
        <w:rPr>
          <w:rFonts w:ascii="黑体" w:hAnsi="宋体" w:eastAsia="黑体"/>
          <w:sz w:val="32"/>
          <w:szCs w:val="32"/>
        </w:rPr>
      </w:pPr>
    </w:p>
    <w:p>
      <w:pPr>
        <w:pStyle w:val="27"/>
        <w:tabs>
          <w:tab w:val="right" w:leader="dot" w:pos="8901"/>
        </w:tabs>
        <w:rPr>
          <w:rFonts w:ascii="宋体" w:hAnsi="宋体"/>
        </w:rPr>
      </w:pPr>
      <w:r>
        <w:rPr>
          <w:rFonts w:ascii="宋体" w:hAnsi="宋体"/>
          <w:sz w:val="24"/>
        </w:rPr>
        <w:fldChar w:fldCharType="begin"/>
      </w:r>
      <w:r>
        <w:rPr>
          <w:rFonts w:ascii="宋体" w:hAnsi="宋体"/>
          <w:sz w:val="24"/>
        </w:rPr>
        <w:instrText xml:space="preserve"> TOC \o "1-3" \h \z \u </w:instrText>
      </w:r>
      <w:r>
        <w:rPr>
          <w:rFonts w:ascii="宋体" w:hAnsi="宋体"/>
          <w:sz w:val="24"/>
        </w:rPr>
        <w:fldChar w:fldCharType="separate"/>
      </w:r>
      <w:r>
        <w:fldChar w:fldCharType="begin"/>
      </w:r>
      <w:r>
        <w:instrText xml:space="preserve"> HYPERLINK \l "_Toc27602" </w:instrText>
      </w:r>
      <w:r>
        <w:fldChar w:fldCharType="separate"/>
      </w:r>
      <w:r>
        <w:rPr>
          <w:rFonts w:hint="eastAsia" w:ascii="黑体" w:hAnsi="黑体" w:eastAsia="黑体"/>
          <w:szCs w:val="44"/>
        </w:rPr>
        <w:t>第  一  卷</w:t>
      </w:r>
      <w:r>
        <w:tab/>
      </w:r>
      <w:r>
        <w:fldChar w:fldCharType="begin"/>
      </w:r>
      <w:r>
        <w:instrText xml:space="preserve"> PAGEREF _Toc27602 </w:instrText>
      </w:r>
      <w:r>
        <w:fldChar w:fldCharType="separate"/>
      </w:r>
      <w:r>
        <w:t>1</w:t>
      </w:r>
      <w:r>
        <w:fldChar w:fldCharType="end"/>
      </w:r>
      <w:r>
        <w:fldChar w:fldCharType="end"/>
      </w:r>
    </w:p>
    <w:p>
      <w:pPr/>
    </w:p>
    <w:p>
      <w:pPr>
        <w:pStyle w:val="27"/>
        <w:tabs>
          <w:tab w:val="right" w:leader="dot" w:pos="8901"/>
        </w:tabs>
      </w:pPr>
      <w:r>
        <w:fldChar w:fldCharType="begin"/>
      </w:r>
      <w:r>
        <w:instrText xml:space="preserve"> HYPERLINK \l "_Toc13931" </w:instrText>
      </w:r>
      <w:r>
        <w:fldChar w:fldCharType="separate"/>
      </w:r>
      <w:r>
        <w:rPr>
          <w:rFonts w:hint="eastAsia" w:ascii="黑体" w:hAnsi="黑体" w:eastAsia="黑体"/>
        </w:rPr>
        <w:t>第一章  招标公告（开标后资格审查）</w:t>
      </w:r>
      <w:r>
        <w:tab/>
      </w:r>
      <w:r>
        <w:fldChar w:fldCharType="begin"/>
      </w:r>
      <w:r>
        <w:instrText xml:space="preserve"> PAGEREF _Toc13931 </w:instrText>
      </w:r>
      <w:r>
        <w:fldChar w:fldCharType="separate"/>
      </w:r>
      <w:r>
        <w:t>2</w:t>
      </w:r>
      <w:r>
        <w:fldChar w:fldCharType="end"/>
      </w:r>
      <w:r>
        <w:fldChar w:fldCharType="end"/>
      </w:r>
    </w:p>
    <w:p>
      <w:pPr>
        <w:pStyle w:val="31"/>
        <w:tabs>
          <w:tab w:val="right" w:leader="dot" w:pos="8901"/>
        </w:tabs>
        <w:ind w:left="0" w:leftChars="0" w:firstLine="420" w:firstLineChars="200"/>
      </w:pPr>
    </w:p>
    <w:p>
      <w:pPr>
        <w:pStyle w:val="27"/>
        <w:tabs>
          <w:tab w:val="right" w:leader="dot" w:pos="8901"/>
        </w:tabs>
      </w:pPr>
      <w:r>
        <w:fldChar w:fldCharType="begin"/>
      </w:r>
      <w:r>
        <w:instrText xml:space="preserve"> HYPERLINK \l "_Toc20393" </w:instrText>
      </w:r>
      <w:r>
        <w:fldChar w:fldCharType="separate"/>
      </w:r>
      <w:r>
        <w:rPr>
          <w:rFonts w:hint="eastAsia" w:ascii="黑体" w:hAnsi="黑体" w:eastAsia="黑体"/>
        </w:rPr>
        <w:t>第二章  投标人须知</w:t>
      </w:r>
      <w:r>
        <w:tab/>
      </w:r>
      <w:r>
        <w:fldChar w:fldCharType="begin"/>
      </w:r>
      <w:r>
        <w:instrText xml:space="preserve"> PAGEREF _Toc20393 </w:instrText>
      </w:r>
      <w:r>
        <w:fldChar w:fldCharType="separate"/>
      </w:r>
      <w:r>
        <w:t>6</w:t>
      </w:r>
      <w:r>
        <w:fldChar w:fldCharType="end"/>
      </w:r>
      <w:r>
        <w:fldChar w:fldCharType="end"/>
      </w:r>
    </w:p>
    <w:p>
      <w:pPr>
        <w:pStyle w:val="19"/>
        <w:tabs>
          <w:tab w:val="right" w:leader="dot" w:pos="8901"/>
        </w:tabs>
      </w:pPr>
    </w:p>
    <w:p>
      <w:pPr>
        <w:pStyle w:val="27"/>
        <w:tabs>
          <w:tab w:val="right" w:leader="dot" w:pos="8901"/>
        </w:tabs>
      </w:pPr>
      <w:r>
        <w:fldChar w:fldCharType="begin"/>
      </w:r>
      <w:r>
        <w:instrText xml:space="preserve"> HYPERLINK \l "_Toc31386" </w:instrText>
      </w:r>
      <w:r>
        <w:fldChar w:fldCharType="separate"/>
      </w:r>
      <w:r>
        <w:rPr>
          <w:rFonts w:hint="eastAsia" w:ascii="黑体" w:hAnsi="黑体" w:eastAsia="黑体"/>
        </w:rPr>
        <w:t>第三章  评标办法（综合评估法I</w:t>
      </w:r>
      <w:r>
        <w:rPr>
          <w:rFonts w:hint="eastAsia" w:ascii="黑体" w:hAnsi="黑体" w:eastAsia="黑体"/>
          <w:lang w:val="en-US" w:eastAsia="zh-CN"/>
        </w:rPr>
        <w:t>I</w:t>
      </w:r>
      <w:r>
        <w:rPr>
          <w:rFonts w:hint="eastAsia" w:ascii="黑体" w:hAnsi="黑体" w:eastAsia="黑体"/>
        </w:rPr>
        <w:t>）</w:t>
      </w:r>
      <w:r>
        <w:tab/>
      </w:r>
      <w:r>
        <w:fldChar w:fldCharType="begin"/>
      </w:r>
      <w:r>
        <w:instrText xml:space="preserve"> PAGEREF _Toc31386 </w:instrText>
      </w:r>
      <w:r>
        <w:fldChar w:fldCharType="separate"/>
      </w:r>
      <w:r>
        <w:t>34</w:t>
      </w:r>
      <w:r>
        <w:fldChar w:fldCharType="end"/>
      </w:r>
      <w:r>
        <w:fldChar w:fldCharType="end"/>
      </w:r>
    </w:p>
    <w:p>
      <w:pPr>
        <w:pStyle w:val="19"/>
        <w:tabs>
          <w:tab w:val="right" w:leader="dot" w:pos="8901"/>
        </w:tabs>
      </w:pPr>
    </w:p>
    <w:p>
      <w:pPr>
        <w:pStyle w:val="27"/>
        <w:tabs>
          <w:tab w:val="right" w:leader="dot" w:pos="8901"/>
        </w:tabs>
      </w:pPr>
      <w:r>
        <w:fldChar w:fldCharType="begin"/>
      </w:r>
      <w:r>
        <w:instrText xml:space="preserve"> HYPERLINK \l "_Toc2109" </w:instrText>
      </w:r>
      <w:r>
        <w:fldChar w:fldCharType="separate"/>
      </w:r>
      <w:r>
        <w:rPr>
          <w:rFonts w:hint="eastAsia" w:ascii="黑体" w:hAnsi="黑体" w:eastAsia="黑体"/>
        </w:rPr>
        <w:t>第四章  合同条款及格式</w:t>
      </w:r>
      <w:r>
        <w:tab/>
      </w:r>
      <w:r>
        <w:fldChar w:fldCharType="begin"/>
      </w:r>
      <w:r>
        <w:instrText xml:space="preserve"> PAGEREF _Toc2109 </w:instrText>
      </w:r>
      <w:r>
        <w:fldChar w:fldCharType="separate"/>
      </w:r>
      <w:r>
        <w:t>66</w:t>
      </w:r>
      <w:r>
        <w:fldChar w:fldCharType="end"/>
      </w:r>
      <w:r>
        <w:fldChar w:fldCharType="end"/>
      </w:r>
    </w:p>
    <w:p>
      <w:pPr>
        <w:pStyle w:val="27"/>
        <w:tabs>
          <w:tab w:val="right" w:leader="dot" w:pos="8901"/>
        </w:tabs>
      </w:pPr>
    </w:p>
    <w:p>
      <w:pPr>
        <w:pStyle w:val="27"/>
        <w:tabs>
          <w:tab w:val="right" w:leader="dot" w:pos="8901"/>
        </w:tabs>
        <w:rPr>
          <w:rFonts w:ascii="宋体" w:hAnsi="宋体"/>
        </w:rPr>
      </w:pPr>
      <w:r>
        <w:fldChar w:fldCharType="begin"/>
      </w:r>
      <w:r>
        <w:instrText xml:space="preserve"> HYPERLINK \l "_Toc24419" </w:instrText>
      </w:r>
      <w:r>
        <w:fldChar w:fldCharType="separate"/>
      </w:r>
      <w:r>
        <w:rPr>
          <w:rFonts w:hint="eastAsia" w:ascii="黑体" w:hAnsi="黑体" w:eastAsia="黑体"/>
        </w:rPr>
        <w:t>第五章  工程量清单</w:t>
      </w:r>
      <w:r>
        <w:rPr>
          <w:rFonts w:hint="eastAsia"/>
          <w:w w:val="80"/>
          <w:szCs w:val="21"/>
        </w:rPr>
        <w:t>（适用于经评审的最低投标价法、综合评估法Ⅰ、综合评估法Ⅱ、最低投标价法）</w:t>
      </w:r>
      <w:r>
        <w:tab/>
      </w:r>
      <w:r>
        <w:fldChar w:fldCharType="begin"/>
      </w:r>
      <w:r>
        <w:instrText xml:space="preserve"> PAGEREF _Toc24419 </w:instrText>
      </w:r>
      <w:r>
        <w:fldChar w:fldCharType="separate"/>
      </w:r>
      <w:r>
        <w:t>109</w:t>
      </w:r>
      <w:r>
        <w:fldChar w:fldCharType="end"/>
      </w:r>
      <w:r>
        <w:fldChar w:fldCharType="end"/>
      </w:r>
    </w:p>
    <w:p>
      <w:pPr/>
    </w:p>
    <w:p>
      <w:pPr>
        <w:pStyle w:val="27"/>
        <w:tabs>
          <w:tab w:val="right" w:leader="dot" w:pos="8901"/>
        </w:tabs>
      </w:pPr>
      <w:r>
        <w:fldChar w:fldCharType="begin"/>
      </w:r>
      <w:r>
        <w:instrText xml:space="preserve"> HYPERLINK \l "_Toc12894" </w:instrText>
      </w:r>
      <w:r>
        <w:fldChar w:fldCharType="separate"/>
      </w:r>
      <w:r>
        <w:rPr>
          <w:rFonts w:hint="eastAsia" w:ascii="黑体" w:hAnsi="黑体" w:eastAsia="黑体"/>
          <w:szCs w:val="44"/>
        </w:rPr>
        <w:t>第  二  卷</w:t>
      </w:r>
      <w:r>
        <w:tab/>
      </w:r>
      <w:r>
        <w:fldChar w:fldCharType="begin"/>
      </w:r>
      <w:r>
        <w:instrText xml:space="preserve"> PAGEREF _Toc12894 </w:instrText>
      </w:r>
      <w:r>
        <w:fldChar w:fldCharType="separate"/>
      </w:r>
      <w:r>
        <w:t>117</w:t>
      </w:r>
      <w:r>
        <w:fldChar w:fldCharType="end"/>
      </w:r>
      <w:r>
        <w:fldChar w:fldCharType="end"/>
      </w:r>
    </w:p>
    <w:p>
      <w:pPr/>
    </w:p>
    <w:p>
      <w:pPr>
        <w:pStyle w:val="27"/>
        <w:tabs>
          <w:tab w:val="right" w:leader="dot" w:pos="8901"/>
        </w:tabs>
      </w:pPr>
      <w:r>
        <w:fldChar w:fldCharType="begin"/>
      </w:r>
      <w:r>
        <w:instrText xml:space="preserve"> HYPERLINK \l "_Toc15730" </w:instrText>
      </w:r>
      <w:r>
        <w:fldChar w:fldCharType="separate"/>
      </w:r>
      <w:r>
        <w:rPr>
          <w:rFonts w:hint="eastAsia" w:ascii="黑体" w:hAnsi="黑体" w:eastAsia="黑体"/>
        </w:rPr>
        <w:t>第六章  图  纸</w:t>
      </w:r>
      <w:r>
        <w:tab/>
      </w:r>
      <w:r>
        <w:fldChar w:fldCharType="begin"/>
      </w:r>
      <w:r>
        <w:instrText xml:space="preserve"> PAGEREF _Toc15730 </w:instrText>
      </w:r>
      <w:r>
        <w:fldChar w:fldCharType="separate"/>
      </w:r>
      <w:r>
        <w:t>118</w:t>
      </w:r>
      <w:r>
        <w:fldChar w:fldCharType="end"/>
      </w:r>
      <w:r>
        <w:fldChar w:fldCharType="end"/>
      </w:r>
    </w:p>
    <w:p>
      <w:pPr>
        <w:pStyle w:val="19"/>
        <w:tabs>
          <w:tab w:val="right" w:leader="dot" w:pos="8901"/>
        </w:tabs>
      </w:pPr>
    </w:p>
    <w:p>
      <w:pPr>
        <w:pStyle w:val="27"/>
        <w:tabs>
          <w:tab w:val="right" w:leader="dot" w:pos="8901"/>
        </w:tabs>
        <w:rPr>
          <w:rFonts w:ascii="宋体" w:hAnsi="宋体"/>
        </w:rPr>
      </w:pPr>
      <w:r>
        <w:fldChar w:fldCharType="begin"/>
      </w:r>
      <w:r>
        <w:instrText xml:space="preserve"> HYPERLINK \l "_Toc12299" </w:instrText>
      </w:r>
      <w:r>
        <w:fldChar w:fldCharType="separate"/>
      </w:r>
      <w:r>
        <w:rPr>
          <w:rFonts w:hint="eastAsia" w:ascii="黑体" w:hAnsi="黑体" w:eastAsia="黑体"/>
          <w:szCs w:val="44"/>
        </w:rPr>
        <w:t>第  三  卷</w:t>
      </w:r>
      <w:r>
        <w:tab/>
      </w:r>
      <w:r>
        <w:fldChar w:fldCharType="begin"/>
      </w:r>
      <w:r>
        <w:instrText xml:space="preserve"> PAGEREF _Toc12299 </w:instrText>
      </w:r>
      <w:r>
        <w:fldChar w:fldCharType="separate"/>
      </w:r>
      <w:r>
        <w:t>119</w:t>
      </w:r>
      <w:r>
        <w:fldChar w:fldCharType="end"/>
      </w:r>
      <w:r>
        <w:fldChar w:fldCharType="end"/>
      </w:r>
    </w:p>
    <w:p>
      <w:pPr/>
    </w:p>
    <w:p>
      <w:pPr>
        <w:pStyle w:val="27"/>
        <w:tabs>
          <w:tab w:val="right" w:leader="dot" w:pos="8901"/>
        </w:tabs>
      </w:pPr>
      <w:r>
        <w:fldChar w:fldCharType="begin"/>
      </w:r>
      <w:r>
        <w:instrText xml:space="preserve"> HYPERLINK \l "_Toc16261" </w:instrText>
      </w:r>
      <w:r>
        <w:fldChar w:fldCharType="separate"/>
      </w:r>
      <w:r>
        <w:rPr>
          <w:rFonts w:hint="eastAsia" w:ascii="黑体" w:hAnsi="黑体" w:eastAsia="黑体"/>
        </w:rPr>
        <w:t>第七章  技术标准和要求</w:t>
      </w:r>
      <w:r>
        <w:tab/>
      </w:r>
      <w:r>
        <w:fldChar w:fldCharType="begin"/>
      </w:r>
      <w:r>
        <w:instrText xml:space="preserve"> PAGEREF _Toc16261 </w:instrText>
      </w:r>
      <w:r>
        <w:fldChar w:fldCharType="separate"/>
      </w:r>
      <w:r>
        <w:t>120</w:t>
      </w:r>
      <w:r>
        <w:fldChar w:fldCharType="end"/>
      </w:r>
      <w:r>
        <w:fldChar w:fldCharType="end"/>
      </w:r>
    </w:p>
    <w:p>
      <w:pPr>
        <w:pStyle w:val="31"/>
        <w:tabs>
          <w:tab w:val="right" w:leader="dot" w:pos="8901"/>
        </w:tabs>
      </w:pPr>
    </w:p>
    <w:p>
      <w:pPr>
        <w:pStyle w:val="27"/>
        <w:tabs>
          <w:tab w:val="right" w:leader="dot" w:pos="8901"/>
        </w:tabs>
        <w:rPr>
          <w:rFonts w:ascii="宋体" w:hAnsi="宋体"/>
        </w:rPr>
      </w:pPr>
      <w:r>
        <w:fldChar w:fldCharType="begin"/>
      </w:r>
      <w:r>
        <w:instrText xml:space="preserve"> HYPERLINK \l "_Toc29441" </w:instrText>
      </w:r>
      <w:r>
        <w:fldChar w:fldCharType="separate"/>
      </w:r>
      <w:r>
        <w:rPr>
          <w:rFonts w:hint="eastAsia" w:ascii="黑体" w:hAnsi="黑体" w:eastAsia="黑体"/>
          <w:szCs w:val="44"/>
        </w:rPr>
        <w:t>第  四  卷</w:t>
      </w:r>
      <w:r>
        <w:tab/>
      </w:r>
      <w:r>
        <w:fldChar w:fldCharType="begin"/>
      </w:r>
      <w:r>
        <w:instrText xml:space="preserve"> PAGEREF _Toc29441 </w:instrText>
      </w:r>
      <w:r>
        <w:fldChar w:fldCharType="separate"/>
      </w:r>
      <w:r>
        <w:t>145</w:t>
      </w:r>
      <w:r>
        <w:fldChar w:fldCharType="end"/>
      </w:r>
      <w:r>
        <w:fldChar w:fldCharType="end"/>
      </w:r>
    </w:p>
    <w:p>
      <w:pPr/>
    </w:p>
    <w:p>
      <w:pPr>
        <w:pStyle w:val="27"/>
        <w:tabs>
          <w:tab w:val="right" w:leader="dot" w:pos="8901"/>
        </w:tabs>
      </w:pPr>
      <w:r>
        <w:fldChar w:fldCharType="begin"/>
      </w:r>
      <w:r>
        <w:instrText xml:space="preserve"> HYPERLINK \l "_Toc5021" </w:instrText>
      </w:r>
      <w:r>
        <w:fldChar w:fldCharType="separate"/>
      </w:r>
      <w:r>
        <w:rPr>
          <w:rFonts w:hint="eastAsia" w:ascii="黑体" w:hAnsi="黑体" w:eastAsia="黑体"/>
        </w:rPr>
        <w:t>第八章  投标文件格式</w:t>
      </w:r>
      <w:r>
        <w:tab/>
      </w:r>
      <w:r>
        <w:fldChar w:fldCharType="begin"/>
      </w:r>
      <w:r>
        <w:instrText xml:space="preserve"> PAGEREF _Toc5021 </w:instrText>
      </w:r>
      <w:r>
        <w:fldChar w:fldCharType="separate"/>
      </w:r>
      <w:r>
        <w:t>146</w:t>
      </w:r>
      <w:r>
        <w:fldChar w:fldCharType="end"/>
      </w:r>
      <w:r>
        <w:fldChar w:fldCharType="end"/>
      </w:r>
    </w:p>
    <w:p>
      <w:pPr>
        <w:pStyle w:val="27"/>
        <w:tabs>
          <w:tab w:val="right" w:leader="dot" w:pos="8901"/>
        </w:tabs>
      </w:pPr>
    </w:p>
    <w:p>
      <w:pPr>
        <w:spacing w:line="340" w:lineRule="exact"/>
        <w:ind w:firstLine="437"/>
        <w:rPr>
          <w:rFonts w:ascii="黑体" w:hAnsi="宋体" w:eastAsia="黑体"/>
          <w:sz w:val="32"/>
          <w:szCs w:val="32"/>
        </w:rPr>
      </w:pPr>
      <w:r>
        <w:rPr>
          <w:rFonts w:ascii="宋体" w:hAnsi="宋体"/>
          <w:sz w:val="24"/>
        </w:rPr>
        <w:fldChar w:fldCharType="end"/>
      </w:r>
    </w:p>
    <w:p>
      <w:pPr>
        <w:spacing w:afterLines="100" w:line="540" w:lineRule="exact"/>
        <w:rPr>
          <w:rFonts w:ascii="黑体" w:hAnsi="宋体" w:eastAsia="黑体"/>
          <w:sz w:val="32"/>
          <w:szCs w:val="32"/>
        </w:rPr>
        <w:sectPr>
          <w:headerReference r:id="rId3" w:type="default"/>
          <w:footerReference r:id="rId4" w:type="default"/>
          <w:pgSz w:w="11906" w:h="16838"/>
          <w:pgMar w:top="1304" w:right="1304" w:bottom="1304" w:left="1701" w:header="851" w:footer="992" w:gutter="0"/>
          <w:pgNumType w:start="1"/>
          <w:cols w:space="720" w:num="1"/>
          <w:docGrid w:linePitch="306" w:charSpace="0"/>
        </w:sect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pStyle w:val="2"/>
        <w:jc w:val="center"/>
        <w:rPr>
          <w:rFonts w:ascii="黑体" w:hAnsi="黑体" w:eastAsia="黑体"/>
          <w:b w:val="0"/>
          <w:bCs w:val="0"/>
          <w:sz w:val="44"/>
          <w:szCs w:val="44"/>
        </w:rPr>
      </w:pPr>
      <w:bookmarkStart w:id="0" w:name="_Toc484015063"/>
      <w:bookmarkStart w:id="1" w:name="_Toc5791"/>
      <w:bookmarkStart w:id="2" w:name="_Toc300677959"/>
      <w:bookmarkStart w:id="3" w:name="_Toc27602"/>
      <w:bookmarkStart w:id="4" w:name="_Toc23314"/>
      <w:bookmarkStart w:id="5" w:name="_Toc2596"/>
      <w:bookmarkStart w:id="6" w:name="_Toc486318695"/>
      <w:r>
        <w:rPr>
          <w:rFonts w:hint="eastAsia" w:ascii="黑体" w:hAnsi="黑体" w:eastAsia="黑体"/>
          <w:b w:val="0"/>
          <w:bCs w:val="0"/>
          <w:sz w:val="44"/>
          <w:szCs w:val="44"/>
        </w:rPr>
        <w:t>第  一  卷</w:t>
      </w:r>
      <w:bookmarkEnd w:id="0"/>
      <w:bookmarkEnd w:id="1"/>
      <w:bookmarkEnd w:id="2"/>
      <w:bookmarkEnd w:id="3"/>
      <w:bookmarkEnd w:id="4"/>
      <w:bookmarkEnd w:id="5"/>
      <w:bookmarkEnd w:id="6"/>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spacing w:afterLines="100" w:line="540" w:lineRule="exact"/>
        <w:rPr>
          <w:rFonts w:ascii="黑体" w:hAnsi="宋体" w:eastAsia="黑体"/>
          <w:sz w:val="32"/>
          <w:szCs w:val="32"/>
        </w:rPr>
      </w:pPr>
    </w:p>
    <w:p>
      <w:pPr/>
      <w:r>
        <w:rPr>
          <w:rFonts w:ascii="黑体" w:hAnsi="宋体" w:eastAsia="黑体"/>
          <w:sz w:val="32"/>
          <w:szCs w:val="32"/>
        </w:rPr>
        <w:br w:type="page"/>
      </w:r>
      <w:bookmarkStart w:id="7" w:name="_Toc300677960"/>
    </w:p>
    <w:p>
      <w:pPr>
        <w:pStyle w:val="2"/>
        <w:spacing w:before="0" w:after="0"/>
        <w:jc w:val="center"/>
        <w:rPr>
          <w:rFonts w:ascii="黑体" w:hAnsi="黑体" w:eastAsia="黑体"/>
          <w:b w:val="0"/>
          <w:bCs w:val="0"/>
        </w:rPr>
      </w:pPr>
      <w:bookmarkStart w:id="8" w:name="_Toc31906"/>
      <w:bookmarkStart w:id="9" w:name="_Toc13931"/>
      <w:bookmarkStart w:id="10" w:name="_Toc25996"/>
      <w:bookmarkStart w:id="11" w:name="_Toc484015064"/>
      <w:bookmarkStart w:id="12" w:name="_Toc486318696"/>
      <w:bookmarkStart w:id="13" w:name="_Toc24093"/>
      <w:r>
        <w:rPr>
          <w:rFonts w:hint="eastAsia" w:ascii="黑体" w:hAnsi="黑体" w:eastAsia="黑体"/>
          <w:b w:val="0"/>
          <w:bCs w:val="0"/>
        </w:rPr>
        <w:t>第一章  招标公告（开标后资格审查）</w:t>
      </w:r>
      <w:bookmarkEnd w:id="7"/>
      <w:bookmarkEnd w:id="8"/>
      <w:bookmarkEnd w:id="9"/>
      <w:bookmarkEnd w:id="10"/>
      <w:bookmarkEnd w:id="11"/>
      <w:bookmarkEnd w:id="12"/>
      <w:bookmarkEnd w:id="13"/>
    </w:p>
    <w:p>
      <w:pPr/>
    </w:p>
    <w:p>
      <w:pPr>
        <w:spacing w:line="480" w:lineRule="exact"/>
        <w:jc w:val="center"/>
        <w:rPr>
          <w:rFonts w:hint="eastAsia" w:ascii="黑体" w:hAnsi="黑体" w:eastAsia="黑体"/>
          <w:sz w:val="28"/>
          <w:lang w:eastAsia="zh-CN"/>
        </w:rPr>
      </w:pPr>
      <w:bookmarkStart w:id="14" w:name="OLE_LINK3"/>
      <w:r>
        <w:rPr>
          <w:rFonts w:hint="eastAsia" w:ascii="黑体" w:hAnsi="黑体" w:eastAsia="黑体"/>
          <w:sz w:val="28"/>
          <w:lang w:eastAsia="zh-CN"/>
        </w:rPr>
        <w:t>中国邮政集团公司益阳市分公司谢林港支局重建项目</w:t>
      </w:r>
    </w:p>
    <w:p>
      <w:pPr>
        <w:spacing w:line="480" w:lineRule="exact"/>
        <w:jc w:val="center"/>
        <w:rPr>
          <w:rFonts w:ascii="黑体" w:hAnsi="黑体" w:eastAsia="黑体"/>
          <w:sz w:val="28"/>
        </w:rPr>
      </w:pPr>
      <w:r>
        <w:rPr>
          <w:rFonts w:hint="eastAsia" w:ascii="黑体" w:hAnsi="黑体" w:eastAsia="黑体"/>
          <w:sz w:val="28"/>
        </w:rPr>
        <w:t>招标公告</w:t>
      </w:r>
    </w:p>
    <w:p>
      <w:pPr>
        <w:pStyle w:val="3"/>
        <w:spacing w:before="0" w:after="0" w:line="440" w:lineRule="exact"/>
        <w:rPr>
          <w:rFonts w:ascii="黑体" w:hAnsi="黑体" w:eastAsia="黑体"/>
          <w:b w:val="0"/>
          <w:bCs w:val="0"/>
          <w:sz w:val="30"/>
        </w:rPr>
      </w:pPr>
      <w:bookmarkStart w:id="15" w:name="_Toc300677961"/>
      <w:r>
        <w:rPr>
          <w:rFonts w:hint="eastAsia" w:ascii="黑体" w:hAnsi="黑体" w:eastAsia="黑体"/>
          <w:b w:val="0"/>
          <w:bCs w:val="0"/>
          <w:sz w:val="30"/>
        </w:rPr>
        <w:t>1.招标条件</w:t>
      </w:r>
      <w:bookmarkEnd w:id="15"/>
    </w:p>
    <w:p>
      <w:pPr>
        <w:snapToGrid w:val="0"/>
        <w:spacing w:line="440" w:lineRule="exact"/>
        <w:ind w:firstLine="420" w:firstLineChars="200"/>
        <w:rPr>
          <w:rFonts w:ascii="宋体" w:hAnsi="宋体"/>
          <w:b/>
          <w:szCs w:val="21"/>
        </w:rPr>
      </w:pPr>
      <w:r>
        <w:rPr>
          <w:rFonts w:hint="eastAsia"/>
          <w:szCs w:val="21"/>
        </w:rPr>
        <w:t>本招标项目</w:t>
      </w:r>
      <w:r>
        <w:rPr>
          <w:rFonts w:hint="eastAsia"/>
          <w:szCs w:val="21"/>
          <w:lang w:eastAsia="zh-CN"/>
        </w:rPr>
        <w:t>中国邮政集团公司益阳市分公司谢林港支局重建项目</w:t>
      </w:r>
      <w:r>
        <w:rPr>
          <w:rFonts w:hint="eastAsia"/>
          <w:szCs w:val="21"/>
        </w:rPr>
        <w:t>已由</w:t>
      </w:r>
      <w:r>
        <w:rPr>
          <w:rFonts w:hint="eastAsia"/>
          <w:szCs w:val="21"/>
          <w:lang w:eastAsia="zh-CN"/>
        </w:rPr>
        <w:t>中国邮政集团公司湖南省分公司</w:t>
      </w:r>
      <w:r>
        <w:rPr>
          <w:rFonts w:hint="eastAsia"/>
          <w:szCs w:val="21"/>
        </w:rPr>
        <w:t>以</w:t>
      </w:r>
      <w:r>
        <w:rPr>
          <w:rFonts w:hint="eastAsia"/>
          <w:szCs w:val="21"/>
          <w:lang w:val="en-US" w:eastAsia="zh-CN"/>
        </w:rPr>
        <w:t>湘邮分</w:t>
      </w:r>
      <w:r>
        <w:rPr>
          <w:rFonts w:hint="eastAsia"/>
          <w:szCs w:val="21"/>
        </w:rPr>
        <w:t>[201</w:t>
      </w:r>
      <w:r>
        <w:rPr>
          <w:rFonts w:hint="eastAsia"/>
          <w:szCs w:val="21"/>
          <w:lang w:val="en-US" w:eastAsia="zh-CN"/>
        </w:rPr>
        <w:t>8</w:t>
      </w:r>
      <w:r>
        <w:rPr>
          <w:rFonts w:hint="eastAsia"/>
          <w:szCs w:val="21"/>
        </w:rPr>
        <w:t>]</w:t>
      </w:r>
      <w:r>
        <w:rPr>
          <w:rFonts w:hint="eastAsia"/>
          <w:szCs w:val="21"/>
          <w:lang w:val="en-US" w:eastAsia="zh-CN"/>
        </w:rPr>
        <w:t>383</w:t>
      </w:r>
      <w:r>
        <w:rPr>
          <w:rFonts w:hint="eastAsia"/>
          <w:szCs w:val="21"/>
        </w:rPr>
        <w:t>号文批准建设，建设资金来自</w:t>
      </w:r>
      <w:r>
        <w:rPr>
          <w:rFonts w:hint="eastAsia"/>
          <w:szCs w:val="21"/>
          <w:lang w:eastAsia="zh-CN"/>
        </w:rPr>
        <w:t>公司</w:t>
      </w:r>
      <w:r>
        <w:rPr>
          <w:rFonts w:hint="eastAsia"/>
          <w:szCs w:val="21"/>
        </w:rPr>
        <w:t>自筹。招标人（项目业主）为</w:t>
      </w:r>
      <w:r>
        <w:rPr>
          <w:rFonts w:hint="eastAsia"/>
          <w:szCs w:val="21"/>
          <w:lang w:eastAsia="zh-CN"/>
        </w:rPr>
        <w:t>中国邮政集团公司益阳市分公司</w:t>
      </w:r>
      <w:r>
        <w:rPr>
          <w:rFonts w:hint="eastAsia"/>
          <w:szCs w:val="21"/>
        </w:rPr>
        <w:t>，招标代理机构为</w:t>
      </w:r>
      <w:r>
        <w:rPr>
          <w:rFonts w:hint="eastAsia"/>
          <w:szCs w:val="21"/>
          <w:lang w:eastAsia="zh-CN"/>
        </w:rPr>
        <w:t>湖南省天平项目管理有限公司</w:t>
      </w:r>
      <w:r>
        <w:rPr>
          <w:rFonts w:hint="eastAsia"/>
          <w:szCs w:val="21"/>
        </w:rPr>
        <w:t>。</w:t>
      </w:r>
      <w:r>
        <w:rPr>
          <w:rFonts w:hint="eastAsia" w:ascii="宋体" w:hAnsi="宋体"/>
          <w:szCs w:val="21"/>
        </w:rPr>
        <w:t>项目已具备招标条件，现对</w:t>
      </w:r>
      <w:r>
        <w:rPr>
          <w:rFonts w:hint="eastAsia"/>
          <w:szCs w:val="21"/>
          <w:lang w:eastAsia="zh-CN"/>
        </w:rPr>
        <w:t>中国邮政集团公司益阳市分公司谢林港支局重建项目</w:t>
      </w:r>
      <w:r>
        <w:rPr>
          <w:rFonts w:hint="eastAsia" w:ascii="宋体" w:hAnsi="宋体"/>
          <w:szCs w:val="21"/>
        </w:rPr>
        <w:t>施工进行公开招标。</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2.项目概况与招标范围</w:t>
      </w:r>
    </w:p>
    <w:p>
      <w:pPr>
        <w:spacing w:line="440" w:lineRule="exact"/>
        <w:ind w:firstLine="420" w:firstLineChars="200"/>
        <w:rPr>
          <w:szCs w:val="21"/>
        </w:rPr>
      </w:pPr>
      <w:r>
        <w:rPr>
          <w:rFonts w:hint="eastAsia"/>
          <w:szCs w:val="21"/>
        </w:rPr>
        <w:t>2.1  项目名称：</w:t>
      </w:r>
      <w:r>
        <w:rPr>
          <w:rFonts w:hint="eastAsia"/>
          <w:szCs w:val="21"/>
          <w:lang w:eastAsia="zh-CN"/>
        </w:rPr>
        <w:t>中国邮政集团公司益阳市分公司谢林港支局重建项目</w:t>
      </w:r>
      <w:r>
        <w:rPr>
          <w:rFonts w:hint="eastAsia"/>
          <w:szCs w:val="21"/>
        </w:rPr>
        <w:t>；</w:t>
      </w:r>
    </w:p>
    <w:p>
      <w:pPr>
        <w:spacing w:line="440" w:lineRule="exact"/>
        <w:ind w:firstLine="420" w:firstLineChars="200"/>
        <w:rPr>
          <w:szCs w:val="21"/>
        </w:rPr>
      </w:pPr>
      <w:r>
        <w:rPr>
          <w:rFonts w:hint="eastAsia"/>
          <w:szCs w:val="21"/>
        </w:rPr>
        <w:t>2.2  建设地点：</w:t>
      </w:r>
      <w:r>
        <w:rPr>
          <w:rFonts w:hint="eastAsia"/>
          <w:szCs w:val="21"/>
          <w:lang w:eastAsia="zh-CN"/>
        </w:rPr>
        <w:t>益阳高新区谢林港镇</w:t>
      </w:r>
      <w:r>
        <w:rPr>
          <w:rFonts w:hint="eastAsia"/>
          <w:szCs w:val="21"/>
        </w:rPr>
        <w:t>；</w:t>
      </w:r>
    </w:p>
    <w:p>
      <w:pPr>
        <w:spacing w:line="440" w:lineRule="exact"/>
        <w:ind w:firstLine="420" w:firstLineChars="200"/>
        <w:rPr>
          <w:szCs w:val="21"/>
        </w:rPr>
      </w:pPr>
      <w:r>
        <w:rPr>
          <w:rFonts w:hint="eastAsia"/>
          <w:szCs w:val="21"/>
        </w:rPr>
        <w:t>2.3  规    模：土建工程</w:t>
      </w:r>
      <w:r>
        <w:rPr>
          <w:rFonts w:hint="eastAsia"/>
          <w:szCs w:val="21"/>
          <w:lang w:eastAsia="zh-CN"/>
        </w:rPr>
        <w:t>（含原房屋拆除、改造、新建等）</w:t>
      </w:r>
      <w:r>
        <w:rPr>
          <w:rFonts w:hint="eastAsia"/>
          <w:szCs w:val="21"/>
        </w:rPr>
        <w:t>、装饰工程及附属工程等，招标金额</w:t>
      </w:r>
      <w:r>
        <w:rPr>
          <w:rFonts w:hint="eastAsia"/>
          <w:szCs w:val="21"/>
          <w:lang w:val="en-US" w:eastAsia="zh-CN"/>
        </w:rPr>
        <w:t>239.66万元</w:t>
      </w:r>
      <w:r>
        <w:rPr>
          <w:rFonts w:hint="eastAsia"/>
          <w:szCs w:val="21"/>
        </w:rPr>
        <w:t>；</w:t>
      </w:r>
    </w:p>
    <w:p>
      <w:pPr>
        <w:spacing w:line="440" w:lineRule="exact"/>
        <w:ind w:firstLine="420" w:firstLineChars="200"/>
        <w:rPr>
          <w:szCs w:val="21"/>
        </w:rPr>
      </w:pPr>
      <w:r>
        <w:rPr>
          <w:rFonts w:hint="eastAsia"/>
          <w:szCs w:val="21"/>
        </w:rPr>
        <w:t>2.4  工期要求：180日历天；</w:t>
      </w:r>
    </w:p>
    <w:p>
      <w:pPr>
        <w:spacing w:line="440" w:lineRule="exact"/>
        <w:ind w:firstLine="420" w:firstLineChars="200"/>
        <w:rPr>
          <w:rFonts w:ascii="宋体" w:hAnsi="宋体"/>
          <w:szCs w:val="21"/>
        </w:rPr>
      </w:pPr>
      <w:r>
        <w:rPr>
          <w:rFonts w:hint="eastAsia"/>
          <w:szCs w:val="21"/>
        </w:rPr>
        <w:t>2.5  质量要求：</w:t>
      </w:r>
      <w:r>
        <w:rPr>
          <w:rFonts w:hint="eastAsia" w:ascii="宋体" w:hAnsi="宋体"/>
          <w:szCs w:val="21"/>
        </w:rPr>
        <w:t>符合《工程施工质量验收规范》要求，达到合格工程标准；</w:t>
      </w:r>
    </w:p>
    <w:p>
      <w:pPr>
        <w:spacing w:line="440" w:lineRule="exact"/>
        <w:ind w:firstLine="420" w:firstLineChars="200"/>
        <w:rPr>
          <w:szCs w:val="21"/>
        </w:rPr>
      </w:pPr>
      <w:r>
        <w:rPr>
          <w:rFonts w:hint="eastAsia"/>
          <w:szCs w:val="21"/>
        </w:rPr>
        <w:t>2.6  保修要求：按</w:t>
      </w:r>
      <w:r>
        <w:rPr>
          <w:szCs w:val="21"/>
        </w:rPr>
        <w:t>建设部80号令</w:t>
      </w:r>
      <w:r>
        <w:rPr>
          <w:rFonts w:hint="eastAsia"/>
          <w:szCs w:val="21"/>
        </w:rPr>
        <w:t>；</w:t>
      </w:r>
    </w:p>
    <w:p>
      <w:pPr>
        <w:spacing w:line="440" w:lineRule="exact"/>
        <w:ind w:firstLine="420" w:firstLineChars="200"/>
        <w:rPr>
          <w:szCs w:val="21"/>
        </w:rPr>
      </w:pPr>
      <w:r>
        <w:rPr>
          <w:rFonts w:hint="eastAsia"/>
          <w:szCs w:val="21"/>
        </w:rPr>
        <w:t>2.7  招标范围：具体以设计施工图纸、工程量清单等相关资料为准；</w:t>
      </w:r>
    </w:p>
    <w:p>
      <w:pPr>
        <w:spacing w:line="440" w:lineRule="exact"/>
        <w:ind w:firstLine="420" w:firstLineChars="200"/>
        <w:rPr>
          <w:szCs w:val="21"/>
        </w:rPr>
      </w:pPr>
      <w:r>
        <w:rPr>
          <w:rFonts w:hint="eastAsia"/>
          <w:szCs w:val="21"/>
        </w:rPr>
        <w:t>2.8  标段划分：本项目按照 1个标段进行招标。</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3.投标人资格要求</w:t>
      </w:r>
    </w:p>
    <w:p>
      <w:pPr>
        <w:snapToGrid w:val="0"/>
        <w:spacing w:line="440" w:lineRule="exact"/>
        <w:ind w:firstLine="420" w:firstLineChars="200"/>
        <w:rPr>
          <w:rFonts w:ascii="宋体" w:hAnsi="宋体"/>
          <w:szCs w:val="21"/>
        </w:rPr>
      </w:pPr>
      <w:r>
        <w:rPr>
          <w:rFonts w:hint="eastAsia" w:ascii="宋体" w:hAnsi="宋体"/>
          <w:szCs w:val="21"/>
        </w:rPr>
        <w:t>3.1  具有独立法人资格并依法取得企业营业执照，营业执照处于有效期；</w:t>
      </w:r>
      <w:r>
        <w:rPr>
          <w:rFonts w:hint="eastAsia"/>
          <w:u w:val="single"/>
        </w:rPr>
        <w:t>湖南省外企业须按照湘建建【</w:t>
      </w:r>
      <w:r>
        <w:rPr>
          <w:u w:val="single"/>
        </w:rPr>
        <w:t>2015</w:t>
      </w:r>
      <w:r>
        <w:rPr>
          <w:rFonts w:hint="eastAsia"/>
          <w:u w:val="single"/>
        </w:rPr>
        <w:t>】</w:t>
      </w:r>
      <w:r>
        <w:rPr>
          <w:u w:val="single"/>
        </w:rPr>
        <w:t>190</w:t>
      </w:r>
      <w:r>
        <w:rPr>
          <w:rFonts w:hint="eastAsia"/>
          <w:u w:val="single"/>
        </w:rPr>
        <w:t>号文件要求办理省外入湘企业基本情况登记（以“湖南省住房和城乡建设网”查询为准）或具有入湘施工登记证（处于有效期内）</w:t>
      </w:r>
      <w:r>
        <w:rPr>
          <w:rFonts w:hint="eastAsia" w:ascii="宋体" w:hAnsi="宋体"/>
          <w:szCs w:val="21"/>
        </w:rPr>
        <w:t>；</w:t>
      </w:r>
    </w:p>
    <w:p>
      <w:pPr>
        <w:snapToGrid w:val="0"/>
        <w:spacing w:line="440" w:lineRule="exact"/>
        <w:ind w:firstLine="420" w:firstLineChars="200"/>
        <w:rPr>
          <w:rFonts w:ascii="宋体"/>
          <w:szCs w:val="21"/>
        </w:rPr>
      </w:pPr>
      <w:r>
        <w:rPr>
          <w:rFonts w:hint="eastAsia" w:ascii="宋体" w:hAnsi="宋体"/>
          <w:szCs w:val="21"/>
        </w:rPr>
        <w:t>3.2 须具备建设行政主管部门颁发的建筑工程施工总承包三级及以上资质；资质证书和安全生产许可证处于有效期；并在人员、设备、资金等方面具备相应的施工能力；</w:t>
      </w:r>
    </w:p>
    <w:p>
      <w:pPr>
        <w:snapToGrid w:val="0"/>
        <w:spacing w:line="440" w:lineRule="exact"/>
        <w:ind w:firstLine="420" w:firstLineChars="200"/>
        <w:rPr>
          <w:rFonts w:ascii="宋体" w:hAnsi="宋体"/>
          <w:szCs w:val="21"/>
        </w:rPr>
      </w:pPr>
      <w:r>
        <w:rPr>
          <w:rFonts w:hint="eastAsia" w:ascii="宋体" w:hAnsi="宋体"/>
          <w:szCs w:val="21"/>
        </w:rPr>
        <w:t>3.3  项目负责人（项目经理）为建筑工程专业二级及二级以上注册建造师，具备有效的Ｂ类安全生产考核合格证书且无在建工程；施工项目部关键岗位其他人员具体要求详见本项目招标文件第二章投标人须知前附表第10.15.1项要求；</w:t>
      </w:r>
    </w:p>
    <w:p>
      <w:pPr>
        <w:snapToGrid w:val="0"/>
        <w:spacing w:line="440" w:lineRule="exact"/>
        <w:ind w:firstLine="420" w:firstLineChars="200"/>
        <w:rPr>
          <w:rFonts w:ascii="宋体" w:hAnsi="宋体"/>
          <w:szCs w:val="21"/>
        </w:rPr>
      </w:pPr>
      <w:r>
        <w:rPr>
          <w:rFonts w:hint="eastAsia" w:ascii="宋体" w:hAnsi="宋体"/>
          <w:szCs w:val="21"/>
        </w:rPr>
        <w:t>3.4 与招标人存在利害关系可能影响招标公正性的法人、其他组织或者个人，不得参加投标；单位负责人为同一人或者存在控股、管理关系的不同单位，不得参加同一标段投标或者未划分标段的同一招标项目投标，单位负责人为同一人或者存在控股、管理关系的不同单位提交的投标文件招标人全部拒收；</w:t>
      </w:r>
    </w:p>
    <w:p>
      <w:pPr>
        <w:snapToGrid w:val="0"/>
        <w:spacing w:line="440" w:lineRule="exact"/>
        <w:ind w:firstLine="420" w:firstLineChars="200"/>
        <w:rPr>
          <w:rFonts w:ascii="宋体" w:hAnsi="宋体"/>
          <w:szCs w:val="21"/>
        </w:rPr>
      </w:pPr>
      <w:r>
        <w:rPr>
          <w:rFonts w:hint="eastAsia" w:ascii="宋体" w:hAnsi="宋体"/>
          <w:szCs w:val="21"/>
        </w:rPr>
        <w:t>3.5  本次招标不接受联合体投标。</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4.评标办法</w:t>
      </w:r>
    </w:p>
    <w:p>
      <w:pPr>
        <w:spacing w:line="440" w:lineRule="exact"/>
        <w:ind w:firstLine="420" w:firstLineChars="200"/>
        <w:rPr>
          <w:szCs w:val="21"/>
        </w:rPr>
      </w:pPr>
      <w:r>
        <w:rPr>
          <w:rFonts w:hint="eastAsia"/>
          <w:szCs w:val="21"/>
        </w:rPr>
        <w:t>本项目评标办法采用湘建建[2018]238号文件中“综合评估法（</w:t>
      </w:r>
      <w:r>
        <w:rPr>
          <w:rFonts w:hint="eastAsia" w:ascii="宋体" w:hAnsi="宋体"/>
          <w:szCs w:val="21"/>
          <w:lang w:val="en-US" w:eastAsia="zh-CN"/>
        </w:rPr>
        <w:t>II</w:t>
      </w:r>
      <w:r>
        <w:rPr>
          <w:rFonts w:hint="eastAsia"/>
          <w:szCs w:val="21"/>
        </w:rPr>
        <w:t>）”。本项目资格审查方式为开标后资格审查。</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5.投标保证金</w:t>
      </w:r>
    </w:p>
    <w:p>
      <w:pPr>
        <w:spacing w:line="420" w:lineRule="exact"/>
        <w:ind w:firstLine="422" w:firstLineChars="200"/>
        <w:rPr>
          <w:b/>
          <w:bCs/>
          <w:szCs w:val="21"/>
        </w:rPr>
      </w:pPr>
      <w:r>
        <w:rPr>
          <w:rFonts w:hint="eastAsia"/>
          <w:b/>
          <w:bCs/>
          <w:szCs w:val="21"/>
        </w:rPr>
        <w:t>5.1投标保证金的金额（人民币）：</w:t>
      </w:r>
      <w:r>
        <w:rPr>
          <w:rFonts w:hint="eastAsia"/>
          <w:b/>
          <w:bCs/>
          <w:szCs w:val="21"/>
          <w:lang w:eastAsia="zh-CN"/>
        </w:rPr>
        <w:t>肆</w:t>
      </w:r>
      <w:r>
        <w:rPr>
          <w:rFonts w:hint="eastAsia"/>
          <w:b/>
          <w:bCs/>
          <w:szCs w:val="21"/>
        </w:rPr>
        <w:t>万元整（¥</w:t>
      </w:r>
      <w:r>
        <w:rPr>
          <w:rFonts w:hint="eastAsia"/>
          <w:b/>
          <w:bCs/>
          <w:szCs w:val="21"/>
          <w:lang w:val="en-US" w:eastAsia="zh-CN"/>
        </w:rPr>
        <w:t>4</w:t>
      </w:r>
      <w:r>
        <w:rPr>
          <w:rFonts w:hint="eastAsia"/>
          <w:b/>
          <w:bCs/>
          <w:szCs w:val="21"/>
        </w:rPr>
        <w:t>0000.00元），由投标人基本账户转入投标保证金的托管账户。</w:t>
      </w:r>
      <w:r>
        <w:rPr>
          <w:rFonts w:hint="eastAsia"/>
          <w:b/>
          <w:bCs/>
          <w:szCs w:val="21"/>
        </w:rPr>
        <w:br w:type="textWrapping"/>
      </w:r>
      <w:r>
        <w:rPr>
          <w:rFonts w:hint="eastAsia"/>
          <w:b/>
          <w:bCs/>
          <w:szCs w:val="21"/>
        </w:rPr>
        <w:t xml:space="preserve">     5.2交纳方式：银行转账、银行电汇、银行汇票或网银转账，从投标人基本账户一次性足额转入到投标保证金托管专户管理，以现金方式提交的投标保证金无效。</w:t>
      </w:r>
    </w:p>
    <w:p>
      <w:pPr>
        <w:spacing w:line="420" w:lineRule="exact"/>
        <w:ind w:firstLine="422" w:firstLineChars="200"/>
        <w:rPr>
          <w:b/>
          <w:bCs/>
          <w:szCs w:val="21"/>
        </w:rPr>
      </w:pPr>
      <w:r>
        <w:rPr>
          <w:rFonts w:hint="eastAsia"/>
          <w:b/>
          <w:bCs/>
          <w:szCs w:val="21"/>
        </w:rPr>
        <w:t>5.3投标保证金账户获取方式：投标人应按照《公共资源交易保证金电子化管理操作指南》自行在益阳公共资源中心网站注册(网址:</w:t>
      </w:r>
      <w:r>
        <w:fldChar w:fldCharType="begin"/>
      </w:r>
      <w:r>
        <w:instrText xml:space="preserve"> HYPERLINK </w:instrText>
      </w:r>
      <w:r>
        <w:fldChar w:fldCharType="separate"/>
      </w:r>
      <w:r>
        <w:rPr>
          <w:rFonts w:hint="eastAsia"/>
          <w:b/>
          <w:bCs/>
          <w:szCs w:val="21"/>
        </w:rPr>
        <w:t>http://jyzx.yiyang.gov.cn)，使用已注册的账号登录交易业务管理系统进行报名并获取对应项目（标段）投标保证金子账号。在提交投标保证金时，应按照所获取的信息正确填写保证金子账号，不得填写项目及标段名称。已缴纳保证金的用户，可在系统内对应项目（标段）下点击“查询”按钮，查询是否缴纳成功。（缴纳保证金的银行账户户名、账号须与系统注册用户的户名、账号保持一致，否则无法查询）</w:t>
      </w:r>
      <w:r>
        <w:rPr>
          <w:rFonts w:hint="eastAsia"/>
          <w:b/>
          <w:bCs/>
          <w:szCs w:val="21"/>
        </w:rPr>
        <w:fldChar w:fldCharType="end"/>
      </w:r>
    </w:p>
    <w:p>
      <w:pPr>
        <w:spacing w:line="420" w:lineRule="exact"/>
        <w:ind w:firstLine="422" w:firstLineChars="200"/>
        <w:rPr>
          <w:b/>
          <w:bCs/>
          <w:szCs w:val="21"/>
        </w:rPr>
      </w:pPr>
      <w:r>
        <w:rPr>
          <w:rFonts w:hint="eastAsia"/>
          <w:b/>
          <w:bCs/>
          <w:szCs w:val="21"/>
        </w:rPr>
        <w:t>5.4投标保证金的交纳截止时间：2019年</w:t>
      </w:r>
      <w:r>
        <w:rPr>
          <w:rFonts w:hint="eastAsia"/>
          <w:b/>
          <w:bCs/>
          <w:szCs w:val="21"/>
          <w:lang w:val="en-US" w:eastAsia="zh-CN"/>
        </w:rPr>
        <w:t>10</w:t>
      </w:r>
      <w:r>
        <w:rPr>
          <w:rFonts w:hint="eastAsia"/>
          <w:b/>
          <w:bCs/>
          <w:szCs w:val="21"/>
        </w:rPr>
        <w:t>月</w:t>
      </w:r>
      <w:r>
        <w:rPr>
          <w:rFonts w:hint="eastAsia"/>
          <w:b/>
          <w:bCs/>
          <w:szCs w:val="21"/>
          <w:lang w:val="en-US" w:eastAsia="zh-CN"/>
        </w:rPr>
        <w:t>9</w:t>
      </w:r>
      <w:r>
        <w:rPr>
          <w:rFonts w:hint="eastAsia"/>
          <w:b/>
          <w:bCs/>
          <w:szCs w:val="21"/>
        </w:rPr>
        <w:t>日09时30</w:t>
      </w:r>
      <w:r>
        <w:rPr>
          <w:rFonts w:hint="eastAsia"/>
          <w:b/>
          <w:bCs/>
          <w:szCs w:val="21"/>
          <w:lang w:eastAsia="zh-CN"/>
        </w:rPr>
        <w:t>分</w:t>
      </w:r>
      <w:r>
        <w:rPr>
          <w:rFonts w:hint="eastAsia"/>
          <w:b/>
          <w:bCs/>
          <w:szCs w:val="21"/>
        </w:rPr>
        <w:t>（北京时间）前到账，以银行到账为准，开标时现场查验。</w:t>
      </w:r>
    </w:p>
    <w:p>
      <w:pPr>
        <w:spacing w:line="420" w:lineRule="exact"/>
        <w:ind w:firstLine="422" w:firstLineChars="200"/>
        <w:rPr>
          <w:b/>
          <w:bCs/>
          <w:szCs w:val="21"/>
        </w:rPr>
      </w:pPr>
      <w:r>
        <w:rPr>
          <w:rFonts w:hint="eastAsia"/>
          <w:b/>
          <w:bCs/>
          <w:szCs w:val="21"/>
        </w:rPr>
        <w:t>5.5对于未按规定要求提交投标保证金的 ，招标人将视为不响应招标而予以拒绝。</w:t>
      </w:r>
    </w:p>
    <w:p>
      <w:pPr>
        <w:spacing w:line="420" w:lineRule="exact"/>
        <w:ind w:firstLine="422" w:firstLineChars="200"/>
        <w:rPr>
          <w:b/>
          <w:bCs/>
          <w:szCs w:val="21"/>
        </w:rPr>
      </w:pPr>
      <w:r>
        <w:rPr>
          <w:rFonts w:hint="eastAsia"/>
          <w:b/>
          <w:bCs/>
          <w:szCs w:val="21"/>
        </w:rPr>
        <w:t>5.6项目出现招标失败（流标或废标）情况的，投标保证金将即时退还至原交纳账户。重新组织招标时，投标人应当重新获取投标保证金账号，并按新账号交纳投标保证金。</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6.招标文件的获取及澄清答疑发布</w:t>
      </w:r>
    </w:p>
    <w:p>
      <w:pPr>
        <w:snapToGrid w:val="0"/>
        <w:spacing w:line="440" w:lineRule="exact"/>
        <w:ind w:firstLine="420" w:firstLineChars="200"/>
        <w:rPr>
          <w:rFonts w:ascii="宋体" w:hAnsi="宋体"/>
          <w:szCs w:val="21"/>
        </w:rPr>
      </w:pPr>
      <w:r>
        <w:rPr>
          <w:rFonts w:hint="eastAsia" w:ascii="宋体" w:hAnsi="宋体"/>
          <w:szCs w:val="21"/>
        </w:rPr>
        <w:t>6.1凡有意参加投标者，请从2019年</w:t>
      </w:r>
      <w:r>
        <w:rPr>
          <w:rFonts w:hint="eastAsia" w:ascii="宋体" w:hAnsi="宋体"/>
          <w:szCs w:val="21"/>
          <w:lang w:val="en-US" w:eastAsia="zh-CN"/>
        </w:rPr>
        <w:t>9</w:t>
      </w:r>
      <w:r>
        <w:rPr>
          <w:rFonts w:hint="eastAsia" w:ascii="宋体" w:hAnsi="宋体"/>
          <w:szCs w:val="21"/>
        </w:rPr>
        <w:t>月</w:t>
      </w:r>
      <w:r>
        <w:rPr>
          <w:rFonts w:hint="eastAsia" w:ascii="宋体" w:hAnsi="宋体"/>
          <w:szCs w:val="21"/>
          <w:lang w:val="en-US" w:eastAsia="zh-CN"/>
        </w:rPr>
        <w:t>12</w:t>
      </w:r>
      <w:r>
        <w:rPr>
          <w:rFonts w:hint="eastAsia" w:ascii="宋体" w:hAnsi="宋体"/>
          <w:szCs w:val="21"/>
        </w:rPr>
        <w:t>日起（北京时间，下同）在益阳公共资源交易监管网（http://www.yy-ggzy.com/）自行下载招标文件及相关基础资料。</w:t>
      </w:r>
    </w:p>
    <w:p>
      <w:pPr>
        <w:snapToGrid w:val="0"/>
        <w:spacing w:line="440" w:lineRule="exact"/>
        <w:ind w:firstLine="420" w:firstLineChars="200"/>
        <w:rPr>
          <w:rFonts w:ascii="宋体" w:hAnsi="宋体"/>
          <w:szCs w:val="21"/>
        </w:rPr>
      </w:pPr>
      <w:r>
        <w:rPr>
          <w:rFonts w:hint="eastAsia" w:ascii="宋体" w:hAnsi="宋体"/>
          <w:szCs w:val="21"/>
        </w:rPr>
        <w:t>6.2 澄清答疑均采用网上答疑方式。招标人对招标文件的澄清和答疑均在湖南省招标投标监管网和益阳市公共资源交易网上同时发布，投标人自行下载。</w:t>
      </w:r>
    </w:p>
    <w:p>
      <w:pPr>
        <w:snapToGrid w:val="0"/>
        <w:spacing w:line="440" w:lineRule="exact"/>
        <w:ind w:firstLine="420" w:firstLineChars="200"/>
        <w:rPr>
          <w:rFonts w:ascii="宋体" w:hAnsi="宋体"/>
          <w:szCs w:val="21"/>
        </w:rPr>
      </w:pPr>
      <w:r>
        <w:rPr>
          <w:rFonts w:hint="eastAsia" w:ascii="宋体" w:hAnsi="宋体"/>
          <w:szCs w:val="21"/>
        </w:rPr>
        <w:t>6.3招标文件售价为400元，售后不退，递交投标文件时一同缴纳。</w:t>
      </w:r>
    </w:p>
    <w:p>
      <w:pPr>
        <w:snapToGrid w:val="0"/>
        <w:spacing w:line="440" w:lineRule="exact"/>
        <w:ind w:firstLine="420" w:firstLineChars="200"/>
        <w:rPr>
          <w:rFonts w:ascii="宋体" w:hAnsi="宋体"/>
          <w:szCs w:val="21"/>
        </w:rPr>
      </w:pPr>
      <w:r>
        <w:rPr>
          <w:rFonts w:hint="eastAsia" w:ascii="宋体" w:hAnsi="宋体"/>
          <w:szCs w:val="21"/>
        </w:rPr>
        <w:t>6.4投标人若对招标文件有任何疑问，应于2019年</w:t>
      </w:r>
      <w:r>
        <w:rPr>
          <w:rFonts w:hint="eastAsia" w:ascii="宋体" w:hAnsi="宋体"/>
          <w:szCs w:val="21"/>
          <w:lang w:val="en-US" w:eastAsia="zh-CN"/>
        </w:rPr>
        <w:t>9</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日（含）17：00时（北京时间）前以不署名的形式采用书面方式提出（书面文件发送至代理机构QQ邮箱：</w:t>
      </w:r>
      <w:r>
        <w:rPr>
          <w:rFonts w:hint="eastAsia" w:ascii="宋体" w:hAnsi="宋体"/>
          <w:szCs w:val="21"/>
          <w:lang w:eastAsia="zh-CN"/>
        </w:rPr>
        <w:t>158921169</w:t>
      </w:r>
      <w:r>
        <w:rPr>
          <w:rFonts w:hint="eastAsia" w:ascii="宋体" w:hAnsi="宋体"/>
          <w:szCs w:val="21"/>
        </w:rPr>
        <w:t xml:space="preserve"> ） 。招标人对招标文件的澄清答疑均采用在湖南省招标投标监管网、益阳公共资源交易监管网网上发布，敬请获得招标文件的所有投标人关注，恕不另行通知，如有遗漏招标人概不负责。</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7.投标文件的递交</w:t>
      </w:r>
    </w:p>
    <w:p>
      <w:pPr>
        <w:snapToGrid w:val="0"/>
        <w:spacing w:line="440" w:lineRule="exact"/>
        <w:ind w:firstLine="420" w:firstLineChars="200"/>
        <w:rPr>
          <w:rFonts w:ascii="宋体" w:hAnsi="宋体"/>
          <w:szCs w:val="21"/>
        </w:rPr>
      </w:pPr>
      <w:r>
        <w:rPr>
          <w:rFonts w:hint="eastAsia" w:ascii="宋体" w:hAnsi="宋体"/>
          <w:szCs w:val="21"/>
        </w:rPr>
        <w:t>7.1投标文件递交的截止时间和开标时间为2019年</w:t>
      </w:r>
      <w:r>
        <w:rPr>
          <w:rFonts w:hint="eastAsia" w:ascii="宋体" w:hAnsi="宋体"/>
          <w:szCs w:val="21"/>
          <w:lang w:val="en-US" w:eastAsia="zh-CN"/>
        </w:rPr>
        <w:t>10</w:t>
      </w:r>
      <w:r>
        <w:rPr>
          <w:rFonts w:hint="eastAsia" w:ascii="宋体" w:hAnsi="宋体"/>
          <w:szCs w:val="21"/>
        </w:rPr>
        <w:t>月</w:t>
      </w:r>
      <w:r>
        <w:rPr>
          <w:rFonts w:hint="eastAsia" w:ascii="宋体" w:hAnsi="宋体"/>
          <w:szCs w:val="21"/>
          <w:lang w:val="en-US" w:eastAsia="zh-CN"/>
        </w:rPr>
        <w:t>9</w:t>
      </w:r>
      <w:r>
        <w:rPr>
          <w:rFonts w:hint="eastAsia" w:ascii="宋体" w:hAnsi="宋体"/>
          <w:szCs w:val="21"/>
        </w:rPr>
        <w:t>日9时30分（北京时间）。</w:t>
      </w:r>
    </w:p>
    <w:p>
      <w:pPr>
        <w:snapToGrid w:val="0"/>
        <w:spacing w:line="440" w:lineRule="exact"/>
        <w:ind w:firstLine="420" w:firstLineChars="200"/>
        <w:rPr>
          <w:rFonts w:ascii="宋体" w:hAnsi="宋体"/>
          <w:szCs w:val="21"/>
        </w:rPr>
      </w:pPr>
      <w:r>
        <w:rPr>
          <w:rFonts w:hint="eastAsia" w:ascii="宋体" w:hAnsi="宋体"/>
          <w:szCs w:val="21"/>
        </w:rPr>
        <w:t>7.2投标文件递交地点和开标地点为：益阳市公共资源交易中心二楼开标室（益阳高新区中南电子商务园3号楼二楼，迎宾东路355号，开标室详见益阳市公共资源交易中心当天电子显示屏）。</w:t>
      </w:r>
    </w:p>
    <w:p>
      <w:pPr>
        <w:snapToGrid w:val="0"/>
        <w:spacing w:line="440" w:lineRule="exact"/>
        <w:ind w:firstLine="420" w:firstLineChars="200"/>
        <w:rPr>
          <w:rFonts w:ascii="宋体" w:hAnsi="宋体"/>
          <w:szCs w:val="21"/>
        </w:rPr>
      </w:pPr>
      <w:r>
        <w:rPr>
          <w:rFonts w:hint="eastAsia" w:ascii="宋体" w:hAnsi="宋体"/>
          <w:szCs w:val="21"/>
        </w:rPr>
        <w:t>7.3逾期送达的或者未送达指定地点或未按要求密封和加写标注的投标文件，招标人不予受理。</w:t>
      </w:r>
    </w:p>
    <w:p>
      <w:pPr>
        <w:snapToGrid w:val="0"/>
        <w:spacing w:line="440" w:lineRule="exact"/>
        <w:ind w:firstLine="420" w:firstLineChars="200"/>
        <w:rPr>
          <w:rFonts w:ascii="宋体" w:hAnsi="宋体"/>
          <w:szCs w:val="21"/>
        </w:rPr>
      </w:pPr>
      <w:r>
        <w:rPr>
          <w:rFonts w:hint="eastAsia" w:ascii="宋体" w:hAnsi="宋体"/>
          <w:szCs w:val="21"/>
        </w:rPr>
        <w:t>7.4投标人拟任本项目的项目负责人须亲自到场参加投标,授权委托代理人必须为拟任本项目的项目负责人。</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8.发布公告的媒介</w:t>
      </w:r>
    </w:p>
    <w:p>
      <w:pPr>
        <w:spacing w:line="440" w:lineRule="exact"/>
        <w:ind w:firstLine="420" w:firstLineChars="200"/>
        <w:rPr>
          <w:rFonts w:ascii="宋体" w:hAnsi="宋体"/>
          <w:szCs w:val="21"/>
        </w:rPr>
      </w:pPr>
      <w:r>
        <w:rPr>
          <w:rFonts w:hint="eastAsia" w:ascii="宋体" w:hAnsi="宋体"/>
          <w:szCs w:val="21"/>
        </w:rPr>
        <w:t>本次招标公告同时在湖南省招标投标监管网（</w:t>
      </w:r>
      <w:r>
        <w:fldChar w:fldCharType="begin"/>
      </w:r>
      <w:r>
        <w:instrText xml:space="preserve"> HYPERLINK "http://www.bidding.hunan.gov.cn" </w:instrText>
      </w:r>
      <w:r>
        <w:fldChar w:fldCharType="separate"/>
      </w:r>
      <w:r>
        <w:rPr>
          <w:rFonts w:hint="eastAsia" w:ascii="宋体" w:hAnsi="宋体"/>
          <w:szCs w:val="21"/>
        </w:rPr>
        <w:t>www.bidding.hunan.gov.cn</w:t>
      </w:r>
      <w:r>
        <w:rPr>
          <w:rFonts w:hint="eastAsia" w:ascii="宋体" w:hAnsi="宋体"/>
          <w:szCs w:val="21"/>
        </w:rPr>
        <w:fldChar w:fldCharType="end"/>
      </w:r>
      <w:r>
        <w:rPr>
          <w:rFonts w:hint="eastAsia" w:ascii="宋体" w:hAnsi="宋体"/>
          <w:szCs w:val="21"/>
        </w:rPr>
        <w:t>）、益阳公共资源交易监管网（http://www.yy-ggzy.com/）</w:t>
      </w:r>
      <w:r>
        <w:rPr>
          <w:rFonts w:hint="eastAsia" w:ascii="宋体" w:hAnsi="宋体"/>
          <w:szCs w:val="21"/>
          <w:lang w:eastAsia="zh-CN"/>
        </w:rPr>
        <w:t>、中国招标投标公共服务平台（http://www.cebpubservice.com/）和中国邮政集团官网http://www.chinapost.com.cn</w:t>
      </w:r>
      <w:r>
        <w:rPr>
          <w:rFonts w:hint="eastAsia" w:ascii="宋体" w:hAnsi="宋体"/>
          <w:szCs w:val="21"/>
        </w:rPr>
        <w:t>网上同时发布。</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9.行政监督</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依据《中华人民共和国招标投标法实施条例》第四条开标评标等招标活动必须接受驻本单位纪检组的监察。</w:t>
      </w:r>
    </w:p>
    <w:p>
      <w:pPr>
        <w:pStyle w:val="3"/>
        <w:spacing w:before="0" w:after="0" w:line="440" w:lineRule="exact"/>
        <w:rPr>
          <w:rFonts w:ascii="宋体" w:hAnsi="宋体"/>
          <w:szCs w:val="21"/>
        </w:rPr>
      </w:pPr>
      <w:r>
        <w:rPr>
          <w:rFonts w:hint="eastAsia" w:ascii="黑体" w:hAnsi="黑体" w:eastAsia="黑体"/>
          <w:b w:val="0"/>
          <w:bCs w:val="0"/>
          <w:sz w:val="30"/>
        </w:rPr>
        <w:t>10.招标人补充的其它内容</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10.1在招标过程中，针对投标人围标串标、资质挂靠及其它不符合受理条件、恶意投诉的，依法由招标人、评标委员会、行政监督部门、公安经侦、法院认定，并追究相应法律责任。建立招投标负责人约谈调查、行为认定、案件移交、信息交换等联合执法机制。恶意投诉情形：①对于异议问题，经招标人组织法律、技术、经济专家论证并公告的。②同一投标人对同一问题反复提出异议，并无法律依据的。</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10.2招标人（招标代理机构）对评标结果异议的处理：依据《中华人民共和国招标投标实施条例》第五十四条，投标人（指法定代表人）对依法必须进行招标的项目的评标结果有异议的，应当在中标候选人公示期间提出。招标人应当自收到异议之日起3日内作出答复；作出答复前，应当暂停招标投标活动。对评标结果的异议，招标人应当组织原评标委员会复查，异议结果成立的应当由原评标委员会予以纠正。招标人（代理机构）在处理异议时，应事实清楚，证据确凿，对异议答复的真实性、合法性、完整性负责，并报行政监督部门备案后发出。</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10.3评标委员会违规受贿责任：依据《中华人民共和国招标投标实施条例》第七十一条，第七十二条，应当回避而不回避；擅离职守；不按照招标文件规定的评标标准和方法评标；对依法应当否决的投标不提出否决意见；其他不客观、不公正履行职务的行为。由有关行政监督部门责令改正；情节严重的，禁止其在一定期限内参加依法必须进行招标的项目的评标；情节特别严重的，取消其担任评标委员会成员的资格。构成犯罪的，依法追究刑事责任。</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10.4招标人的定标权：依据《中华人民共和国招标投标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10.5招标投标活动档案管理：依据《中华人民共和国档案法》、《中华人民共和国档案行业标准》第二、第三条，DA/T28-2018建设项目档案管理规范5.2.2.5建设单位（招标代理机构）负责项目档案的接收、整理、保管。依据8.2.2项目档案保管期限分为永久和定期二种，定期一般分30年10年。详见表B.1。未中标的投标文件保管期限 为10年，中标的投标书为永久≥30年。</w:t>
      </w:r>
    </w:p>
    <w:p>
      <w:pPr>
        <w:pStyle w:val="3"/>
        <w:spacing w:before="0" w:after="0" w:line="440" w:lineRule="exact"/>
        <w:rPr>
          <w:rFonts w:ascii="黑体" w:hAnsi="黑体" w:eastAsia="黑体"/>
          <w:b w:val="0"/>
          <w:bCs w:val="0"/>
          <w:sz w:val="30"/>
        </w:rPr>
      </w:pPr>
      <w:r>
        <w:rPr>
          <w:rFonts w:hint="eastAsia" w:ascii="黑体" w:hAnsi="黑体" w:eastAsia="黑体"/>
          <w:b w:val="0"/>
          <w:bCs w:val="0"/>
          <w:sz w:val="30"/>
        </w:rPr>
        <w:t>11.联系方式</w:t>
      </w:r>
    </w:p>
    <w:p>
      <w:pPr>
        <w:snapToGrid w:val="0"/>
        <w:spacing w:line="440" w:lineRule="exact"/>
        <w:ind w:firstLine="420" w:firstLineChars="200"/>
        <w:rPr>
          <w:rFonts w:hint="eastAsia" w:ascii="宋体" w:hAnsi="宋体" w:eastAsia="宋体"/>
          <w:szCs w:val="21"/>
          <w:lang w:eastAsia="zh-CN"/>
        </w:rPr>
      </w:pPr>
      <w:r>
        <w:rPr>
          <w:rFonts w:hint="eastAsia" w:ascii="宋体" w:hAnsi="宋体"/>
          <w:szCs w:val="21"/>
        </w:rPr>
        <w:t>招 标 人：</w:t>
      </w:r>
      <w:r>
        <w:rPr>
          <w:rFonts w:hint="eastAsia" w:ascii="宋体" w:hAnsi="宋体"/>
          <w:szCs w:val="21"/>
          <w:lang w:eastAsia="zh-CN"/>
        </w:rPr>
        <w:t>中国邮政集团公司益阳市分公司</w:t>
      </w:r>
    </w:p>
    <w:p>
      <w:pPr>
        <w:snapToGrid w:val="0"/>
        <w:spacing w:line="440" w:lineRule="exact"/>
        <w:ind w:firstLine="420" w:firstLineChars="200"/>
        <w:rPr>
          <w:rFonts w:ascii="宋体" w:hAnsi="宋体"/>
          <w:szCs w:val="21"/>
        </w:rPr>
      </w:pPr>
      <w:r>
        <w:rPr>
          <w:rFonts w:hint="eastAsia" w:ascii="宋体" w:hAnsi="宋体"/>
          <w:szCs w:val="21"/>
        </w:rPr>
        <w:t>地</w:t>
      </w:r>
      <w:r>
        <w:rPr>
          <w:rFonts w:ascii="宋体" w:hAnsi="宋体"/>
          <w:szCs w:val="21"/>
        </w:rPr>
        <w:t xml:space="preserve">  址：</w:t>
      </w:r>
      <w:r>
        <w:rPr>
          <w:rFonts w:hint="eastAsia" w:ascii="宋体" w:hAnsi="宋体"/>
          <w:szCs w:val="21"/>
          <w:lang w:eastAsia="zh-CN"/>
        </w:rPr>
        <w:t>湖南省益阳市益阳大道东421号</w:t>
      </w:r>
      <w:r>
        <w:rPr>
          <w:rFonts w:ascii="宋体" w:hAnsi="宋体"/>
          <w:szCs w:val="21"/>
        </w:rPr>
        <w:t xml:space="preserve">       </w:t>
      </w:r>
    </w:p>
    <w:p>
      <w:pPr>
        <w:snapToGrid w:val="0"/>
        <w:spacing w:line="440" w:lineRule="exact"/>
        <w:ind w:firstLine="420" w:firstLineChars="200"/>
        <w:rPr>
          <w:rFonts w:hint="eastAsia" w:ascii="宋体" w:hAnsi="宋体" w:eastAsia="宋体"/>
          <w:szCs w:val="21"/>
          <w:lang w:eastAsia="zh-CN"/>
        </w:rPr>
      </w:pPr>
      <w:r>
        <w:rPr>
          <w:rFonts w:hint="eastAsia" w:ascii="宋体" w:hAnsi="宋体"/>
          <w:szCs w:val="21"/>
        </w:rPr>
        <w:t>联系人：</w:t>
      </w:r>
      <w:r>
        <w:rPr>
          <w:rFonts w:hint="eastAsia" w:ascii="宋体" w:hAnsi="宋体"/>
          <w:szCs w:val="21"/>
          <w:lang w:eastAsia="zh-CN"/>
        </w:rPr>
        <w:t>刘政</w:t>
      </w:r>
    </w:p>
    <w:p>
      <w:pPr>
        <w:snapToGrid w:val="0"/>
        <w:spacing w:line="440" w:lineRule="exact"/>
        <w:ind w:firstLine="420" w:firstLineChars="200"/>
        <w:rPr>
          <w:rFonts w:hint="eastAsia" w:ascii="宋体" w:hAnsi="宋体" w:eastAsia="宋体"/>
          <w:szCs w:val="21"/>
          <w:lang w:eastAsia="zh-CN"/>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hint="eastAsia" w:ascii="宋体" w:hAnsi="宋体"/>
          <w:szCs w:val="21"/>
          <w:lang w:eastAsia="zh-CN"/>
        </w:rPr>
        <w:t>13807370254</w:t>
      </w:r>
      <w:bookmarkStart w:id="677" w:name="_GoBack"/>
      <w:bookmarkEnd w:id="677"/>
    </w:p>
    <w:p>
      <w:pPr>
        <w:snapToGrid w:val="0"/>
        <w:spacing w:line="440" w:lineRule="exact"/>
        <w:ind w:firstLine="420" w:firstLineChars="200"/>
        <w:rPr>
          <w:rFonts w:hint="eastAsia" w:ascii="宋体" w:eastAsia="宋体"/>
          <w:szCs w:val="21"/>
          <w:lang w:eastAsia="zh-CN"/>
        </w:rPr>
      </w:pPr>
      <w:r>
        <w:rPr>
          <w:rFonts w:hint="eastAsia" w:ascii="宋体" w:hAnsi="宋体"/>
          <w:szCs w:val="21"/>
        </w:rPr>
        <w:t>招标代理机构：</w:t>
      </w:r>
      <w:r>
        <w:rPr>
          <w:rFonts w:hint="eastAsia" w:ascii="宋体" w:hAnsi="宋体"/>
          <w:szCs w:val="21"/>
          <w:lang w:eastAsia="zh-CN"/>
        </w:rPr>
        <w:t>湖南省天平项目管理有限公司</w:t>
      </w:r>
    </w:p>
    <w:p>
      <w:pPr>
        <w:snapToGrid w:val="0"/>
        <w:spacing w:line="440" w:lineRule="exact"/>
        <w:ind w:firstLine="420" w:firstLineChars="200"/>
        <w:rPr>
          <w:rFonts w:hint="eastAsia" w:ascii="宋体" w:eastAsia="宋体"/>
          <w:szCs w:val="21"/>
          <w:lang w:eastAsia="zh-CN"/>
        </w:rPr>
      </w:pPr>
      <w:r>
        <w:rPr>
          <w:rFonts w:hint="eastAsia" w:ascii="宋体" w:hAnsi="宋体"/>
          <w:szCs w:val="21"/>
        </w:rPr>
        <w:t>地        址：</w:t>
      </w:r>
      <w:r>
        <w:rPr>
          <w:rFonts w:hint="eastAsia" w:ascii="宋体" w:hAnsi="宋体"/>
          <w:szCs w:val="21"/>
          <w:lang w:eastAsia="zh-CN"/>
        </w:rPr>
        <w:t>益阳市梓山西路151号</w:t>
      </w:r>
    </w:p>
    <w:p>
      <w:pPr>
        <w:snapToGrid w:val="0"/>
        <w:spacing w:line="440" w:lineRule="exact"/>
        <w:ind w:firstLine="420" w:firstLineChars="200"/>
        <w:rPr>
          <w:rFonts w:ascii="宋体"/>
          <w:szCs w:val="21"/>
        </w:rPr>
      </w:pPr>
      <w:r>
        <w:rPr>
          <w:rFonts w:hint="eastAsia" w:ascii="宋体" w:hAnsi="宋体"/>
          <w:szCs w:val="21"/>
        </w:rPr>
        <w:t>联   系   人：</w:t>
      </w:r>
      <w:r>
        <w:rPr>
          <w:rFonts w:hint="eastAsia" w:ascii="宋体" w:hAnsi="宋体"/>
          <w:szCs w:val="21"/>
          <w:lang w:eastAsia="zh-CN"/>
        </w:rPr>
        <w:t>李宏</w:t>
      </w:r>
      <w:r>
        <w:rPr>
          <w:rFonts w:hint="eastAsia" w:ascii="宋体" w:hAnsi="宋体"/>
          <w:szCs w:val="21"/>
        </w:rPr>
        <w:t xml:space="preserve">    </w:t>
      </w:r>
    </w:p>
    <w:p>
      <w:pPr>
        <w:snapToGrid w:val="0"/>
        <w:spacing w:line="440" w:lineRule="exact"/>
        <w:ind w:firstLine="420" w:firstLineChars="200"/>
        <w:rPr>
          <w:rFonts w:ascii="宋体"/>
          <w:szCs w:val="21"/>
        </w:rPr>
      </w:pPr>
      <w:r>
        <w:rPr>
          <w:rFonts w:hint="eastAsia" w:ascii="宋体" w:hAnsi="宋体"/>
          <w:szCs w:val="21"/>
        </w:rPr>
        <w:t>电        话：</w:t>
      </w:r>
      <w:r>
        <w:rPr>
          <w:rFonts w:hint="eastAsia" w:ascii="宋体" w:hAnsi="宋体"/>
          <w:szCs w:val="21"/>
          <w:lang w:val="en-US" w:eastAsia="zh-CN"/>
        </w:rPr>
        <w:t>0737-4230885</w:t>
      </w:r>
      <w:r>
        <w:rPr>
          <w:rFonts w:hint="eastAsia" w:ascii="宋体" w:hAnsi="宋体"/>
          <w:szCs w:val="21"/>
        </w:rPr>
        <w:t xml:space="preserve">   </w:t>
      </w:r>
      <w:r>
        <w:rPr>
          <w:rFonts w:hint="eastAsia" w:ascii="宋体" w:hAnsi="宋体"/>
          <w:szCs w:val="21"/>
          <w:lang w:val="en-US" w:eastAsia="zh-CN"/>
        </w:rPr>
        <w:t>13786791020</w:t>
      </w:r>
      <w:r>
        <w:rPr>
          <w:rFonts w:hint="eastAsia" w:ascii="宋体" w:hAnsi="宋体"/>
          <w:szCs w:val="21"/>
        </w:rPr>
        <w:t xml:space="preserve">         </w:t>
      </w:r>
    </w:p>
    <w:p>
      <w:pPr>
        <w:snapToGrid w:val="0"/>
        <w:spacing w:line="440" w:lineRule="exact"/>
        <w:ind w:firstLine="420" w:firstLineChars="200"/>
        <w:rPr>
          <w:rFonts w:hint="eastAsia" w:ascii="宋体" w:eastAsia="宋体"/>
          <w:szCs w:val="21"/>
          <w:lang w:eastAsia="zh-CN"/>
        </w:rPr>
      </w:pPr>
      <w:r>
        <w:rPr>
          <w:rFonts w:hint="eastAsia" w:ascii="宋体" w:hAnsi="宋体"/>
          <w:szCs w:val="21"/>
        </w:rPr>
        <w:t>邮        箱：</w:t>
      </w:r>
      <w:r>
        <w:rPr>
          <w:rFonts w:hint="eastAsia" w:ascii="宋体" w:hAnsi="宋体"/>
          <w:szCs w:val="21"/>
          <w:lang w:eastAsia="zh-CN"/>
        </w:rPr>
        <w:t>158921169</w:t>
      </w:r>
    </w:p>
    <w:bookmarkEnd w:id="14"/>
    <w:p>
      <w:pPr>
        <w:spacing w:line="480" w:lineRule="exact"/>
        <w:jc w:val="center"/>
        <w:rPr>
          <w:rFonts w:ascii="宋体"/>
          <w:szCs w:val="21"/>
        </w:rPr>
      </w:pPr>
    </w:p>
    <w:p>
      <w:pPr>
        <w:spacing w:line="460" w:lineRule="exact"/>
      </w:pPr>
    </w:p>
    <w:p>
      <w:pPr>
        <w:rPr>
          <w:rFonts w:ascii="宋体" w:hAnsi="宋体"/>
        </w:rPr>
      </w:pPr>
    </w:p>
    <w:p>
      <w:pPr>
        <w:spacing w:line="360" w:lineRule="auto"/>
        <w:ind w:firstLine="437"/>
        <w:jc w:val="right"/>
        <w:rPr>
          <w:rFonts w:ascii="宋体" w:hAnsi="宋体"/>
        </w:rPr>
        <w:sectPr>
          <w:footerReference r:id="rId5" w:type="default"/>
          <w:pgSz w:w="11906" w:h="16838"/>
          <w:pgMar w:top="1304" w:right="1304" w:bottom="1304" w:left="1701" w:header="851" w:footer="992" w:gutter="0"/>
          <w:pgNumType w:start="1"/>
          <w:cols w:space="720" w:num="1"/>
          <w:docGrid w:linePitch="306" w:charSpace="0"/>
        </w:sectPr>
      </w:pPr>
    </w:p>
    <w:p>
      <w:pPr>
        <w:pStyle w:val="2"/>
        <w:spacing w:before="0" w:after="0"/>
        <w:jc w:val="center"/>
        <w:rPr>
          <w:rFonts w:ascii="黑体" w:hAnsi="黑体" w:eastAsia="黑体"/>
          <w:b w:val="0"/>
          <w:bCs w:val="0"/>
        </w:rPr>
      </w:pPr>
      <w:bookmarkStart w:id="16" w:name="_Toc484015076"/>
      <w:bookmarkStart w:id="17" w:name="_Toc486318708"/>
      <w:bookmarkStart w:id="18" w:name="_Toc18385"/>
      <w:bookmarkStart w:id="19" w:name="_Toc12927"/>
      <w:bookmarkStart w:id="20" w:name="_Toc20393"/>
      <w:bookmarkStart w:id="21" w:name="_Toc31813"/>
      <w:r>
        <w:rPr>
          <w:rFonts w:hint="eastAsia" w:ascii="黑体" w:hAnsi="黑体" w:eastAsia="黑体"/>
          <w:b w:val="0"/>
          <w:bCs w:val="0"/>
        </w:rPr>
        <w:t>第二章  投标人须知</w:t>
      </w:r>
      <w:bookmarkEnd w:id="16"/>
      <w:bookmarkEnd w:id="17"/>
      <w:bookmarkEnd w:id="18"/>
      <w:bookmarkEnd w:id="19"/>
      <w:bookmarkEnd w:id="20"/>
      <w:bookmarkEnd w:id="21"/>
    </w:p>
    <w:p>
      <w:pPr>
        <w:rPr>
          <w:rFonts w:ascii="宋体" w:hAnsi="宋体"/>
        </w:rPr>
      </w:pPr>
    </w:p>
    <w:p>
      <w:pPr>
        <w:snapToGrid w:val="0"/>
        <w:jc w:val="center"/>
        <w:rPr>
          <w:rFonts w:ascii="黑体" w:hAnsi="宋体" w:eastAsia="黑体"/>
          <w:sz w:val="28"/>
          <w:szCs w:val="28"/>
        </w:rPr>
      </w:pPr>
      <w:bookmarkStart w:id="22" w:name="_Toc300677997"/>
      <w:r>
        <w:rPr>
          <w:rFonts w:hint="eastAsia" w:ascii="黑体" w:hAnsi="宋体" w:eastAsia="黑体"/>
          <w:sz w:val="28"/>
          <w:szCs w:val="28"/>
        </w:rPr>
        <w:t>投标人须知前附表</w:t>
      </w:r>
      <w:bookmarkEnd w:id="22"/>
    </w:p>
    <w:tbl>
      <w:tblPr>
        <w:tblStyle w:val="42"/>
        <w:tblW w:w="9173"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04"/>
        <w:gridCol w:w="123"/>
        <w:gridCol w:w="62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blHeader/>
        </w:trPr>
        <w:tc>
          <w:tcPr>
            <w:tcW w:w="1065" w:type="dxa"/>
            <w:vAlign w:val="center"/>
          </w:tcPr>
          <w:p>
            <w:pPr>
              <w:jc w:val="center"/>
              <w:rPr>
                <w:szCs w:val="21"/>
              </w:rPr>
            </w:pPr>
            <w:r>
              <w:rPr>
                <w:rFonts w:hint="eastAsia"/>
                <w:b/>
                <w:bCs/>
                <w:szCs w:val="21"/>
              </w:rPr>
              <w:t>条款号</w:t>
            </w:r>
          </w:p>
        </w:tc>
        <w:tc>
          <w:tcPr>
            <w:tcW w:w="1827" w:type="dxa"/>
            <w:gridSpan w:val="2"/>
            <w:vAlign w:val="center"/>
          </w:tcPr>
          <w:p>
            <w:pPr>
              <w:jc w:val="center"/>
              <w:rPr>
                <w:b/>
                <w:bCs/>
                <w:szCs w:val="21"/>
              </w:rPr>
            </w:pPr>
            <w:r>
              <w:rPr>
                <w:rFonts w:hint="eastAsia"/>
                <w:b/>
                <w:bCs/>
                <w:szCs w:val="21"/>
              </w:rPr>
              <w:t>条款名称</w:t>
            </w:r>
          </w:p>
        </w:tc>
        <w:tc>
          <w:tcPr>
            <w:tcW w:w="6281" w:type="dxa"/>
            <w:vAlign w:val="center"/>
          </w:tcPr>
          <w:p>
            <w:pPr>
              <w:jc w:val="center"/>
              <w:rPr>
                <w:b/>
                <w:bCs/>
                <w:szCs w:val="21"/>
              </w:rPr>
            </w:pPr>
            <w:r>
              <w:rPr>
                <w:rFonts w:hint="eastAsia"/>
                <w:b/>
                <w:bCs/>
                <w:szCs w:val="21"/>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trPr>
        <w:tc>
          <w:tcPr>
            <w:tcW w:w="1065" w:type="dxa"/>
            <w:vAlign w:val="center"/>
          </w:tcPr>
          <w:p>
            <w:pPr>
              <w:jc w:val="center"/>
              <w:rPr>
                <w:rFonts w:ascii="宋体" w:hAnsi="宋体"/>
                <w:szCs w:val="21"/>
              </w:rPr>
            </w:pPr>
            <w:r>
              <w:rPr>
                <w:rFonts w:hint="eastAsia" w:ascii="宋体" w:hAnsi="宋体"/>
                <w:szCs w:val="21"/>
              </w:rPr>
              <w:t>1.1.2</w:t>
            </w:r>
          </w:p>
        </w:tc>
        <w:tc>
          <w:tcPr>
            <w:tcW w:w="1827" w:type="dxa"/>
            <w:gridSpan w:val="2"/>
            <w:vAlign w:val="center"/>
          </w:tcPr>
          <w:p>
            <w:pPr>
              <w:jc w:val="center"/>
              <w:rPr>
                <w:rFonts w:ascii="宋体" w:hAnsi="宋体"/>
                <w:szCs w:val="21"/>
              </w:rPr>
            </w:pPr>
            <w:r>
              <w:rPr>
                <w:rFonts w:hint="eastAsia" w:ascii="宋体" w:hAnsi="宋体"/>
                <w:szCs w:val="21"/>
              </w:rPr>
              <w:t>招标人</w:t>
            </w:r>
          </w:p>
        </w:tc>
        <w:tc>
          <w:tcPr>
            <w:tcW w:w="6281" w:type="dxa"/>
            <w:vAlign w:val="center"/>
          </w:tcPr>
          <w:p>
            <w:pPr>
              <w:rPr>
                <w:rFonts w:hint="eastAsia" w:ascii="宋体" w:hAnsi="宋体" w:eastAsia="宋体"/>
                <w:szCs w:val="21"/>
                <w:lang w:eastAsia="zh-CN"/>
              </w:rPr>
            </w:pPr>
            <w:r>
              <w:rPr>
                <w:rFonts w:hint="eastAsia" w:ascii="宋体" w:hAnsi="宋体"/>
                <w:szCs w:val="21"/>
              </w:rPr>
              <w:t>招 标 人：</w:t>
            </w:r>
            <w:r>
              <w:rPr>
                <w:rFonts w:hint="eastAsia" w:ascii="宋体" w:hAnsi="宋体"/>
                <w:szCs w:val="21"/>
                <w:lang w:eastAsia="zh-CN"/>
              </w:rPr>
              <w:t>中国邮政集团公司益阳市分公司</w:t>
            </w:r>
          </w:p>
          <w:p>
            <w:pPr>
              <w:rPr>
                <w:rFonts w:ascii="宋体" w:hAnsi="宋体"/>
                <w:szCs w:val="21"/>
              </w:rPr>
            </w:pPr>
            <w:r>
              <w:rPr>
                <w:rFonts w:hint="eastAsia" w:ascii="宋体" w:hAnsi="宋体"/>
                <w:szCs w:val="21"/>
              </w:rPr>
              <w:t>地  址：</w:t>
            </w:r>
            <w:r>
              <w:rPr>
                <w:rFonts w:hint="eastAsia" w:ascii="宋体" w:hAnsi="宋体"/>
                <w:szCs w:val="21"/>
                <w:lang w:eastAsia="zh-CN"/>
              </w:rPr>
              <w:t>湖南省益阳市益阳大道东421号</w:t>
            </w:r>
            <w:r>
              <w:rPr>
                <w:rFonts w:hint="eastAsia" w:ascii="宋体" w:hAnsi="宋体"/>
                <w:szCs w:val="21"/>
              </w:rPr>
              <w:t xml:space="preserve">       </w:t>
            </w:r>
          </w:p>
          <w:p>
            <w:pPr>
              <w:rPr>
                <w:rFonts w:hint="eastAsia" w:ascii="宋体" w:hAnsi="宋体" w:eastAsia="宋体"/>
                <w:szCs w:val="21"/>
                <w:lang w:eastAsia="zh-CN"/>
              </w:rPr>
            </w:pPr>
            <w:r>
              <w:rPr>
                <w:rFonts w:hint="eastAsia" w:ascii="宋体" w:hAnsi="宋体"/>
                <w:szCs w:val="21"/>
              </w:rPr>
              <w:t>联系人：</w:t>
            </w:r>
            <w:r>
              <w:rPr>
                <w:rFonts w:hint="eastAsia" w:ascii="宋体" w:hAnsi="宋体"/>
                <w:szCs w:val="21"/>
                <w:lang w:eastAsia="zh-CN"/>
              </w:rPr>
              <w:t>刘政</w:t>
            </w:r>
          </w:p>
          <w:p>
            <w:pPr>
              <w:rPr>
                <w:rFonts w:hint="eastAsia" w:ascii="宋体" w:hAnsi="宋体" w:eastAsia="宋体"/>
                <w:szCs w:val="21"/>
                <w:lang w:eastAsia="zh-CN"/>
              </w:rPr>
            </w:pPr>
            <w:r>
              <w:rPr>
                <w:rFonts w:hint="eastAsia" w:ascii="宋体" w:hAnsi="宋体"/>
                <w:szCs w:val="21"/>
              </w:rPr>
              <w:t>电  话：</w:t>
            </w:r>
            <w:r>
              <w:rPr>
                <w:rFonts w:hint="eastAsia" w:ascii="宋体" w:hAnsi="宋体"/>
                <w:szCs w:val="21"/>
                <w:lang w:eastAsia="zh-CN"/>
              </w:rPr>
              <w:t>13807370254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235" w:hRule="atLeast"/>
        </w:trPr>
        <w:tc>
          <w:tcPr>
            <w:tcW w:w="1065" w:type="dxa"/>
            <w:vAlign w:val="center"/>
          </w:tcPr>
          <w:p>
            <w:pPr>
              <w:jc w:val="center"/>
              <w:rPr>
                <w:rFonts w:ascii="宋体" w:hAnsi="宋体"/>
                <w:szCs w:val="21"/>
              </w:rPr>
            </w:pPr>
            <w:r>
              <w:rPr>
                <w:rFonts w:hint="eastAsia" w:ascii="宋体" w:hAnsi="宋体"/>
                <w:szCs w:val="21"/>
              </w:rPr>
              <w:t>1.1.3</w:t>
            </w:r>
          </w:p>
        </w:tc>
        <w:tc>
          <w:tcPr>
            <w:tcW w:w="1827" w:type="dxa"/>
            <w:gridSpan w:val="2"/>
            <w:vAlign w:val="center"/>
          </w:tcPr>
          <w:p>
            <w:pPr>
              <w:jc w:val="center"/>
              <w:rPr>
                <w:rFonts w:ascii="宋体" w:hAnsi="宋体"/>
                <w:szCs w:val="21"/>
              </w:rPr>
            </w:pPr>
            <w:r>
              <w:rPr>
                <w:rFonts w:hint="eastAsia" w:ascii="宋体" w:hAnsi="宋体"/>
                <w:szCs w:val="21"/>
              </w:rPr>
              <w:t>招标代理机构</w:t>
            </w:r>
          </w:p>
        </w:tc>
        <w:tc>
          <w:tcPr>
            <w:tcW w:w="6281" w:type="dxa"/>
            <w:vAlign w:val="center"/>
          </w:tcPr>
          <w:p>
            <w:pPr>
              <w:rPr>
                <w:rFonts w:hint="eastAsia" w:ascii="宋体" w:hAnsi="宋体" w:eastAsia="宋体"/>
                <w:szCs w:val="21"/>
                <w:lang w:eastAsia="zh-CN"/>
              </w:rPr>
            </w:pPr>
            <w:r>
              <w:rPr>
                <w:rFonts w:hint="eastAsia" w:ascii="宋体" w:hAnsi="宋体"/>
                <w:szCs w:val="21"/>
              </w:rPr>
              <w:t>招标代理机构：</w:t>
            </w:r>
            <w:r>
              <w:rPr>
                <w:rFonts w:hint="eastAsia" w:ascii="宋体" w:hAnsi="宋体"/>
                <w:szCs w:val="21"/>
                <w:lang w:eastAsia="zh-CN"/>
              </w:rPr>
              <w:t>湖南省天平项目管理有限公司</w:t>
            </w:r>
          </w:p>
          <w:p>
            <w:pPr>
              <w:rPr>
                <w:rFonts w:hint="eastAsia" w:ascii="宋体" w:hAnsi="宋体" w:eastAsia="宋体"/>
                <w:szCs w:val="21"/>
                <w:lang w:eastAsia="zh-CN"/>
              </w:rPr>
            </w:pPr>
            <w:r>
              <w:rPr>
                <w:rFonts w:hint="eastAsia" w:ascii="宋体" w:hAnsi="宋体"/>
                <w:szCs w:val="21"/>
              </w:rPr>
              <w:t>地        址：</w:t>
            </w:r>
            <w:r>
              <w:rPr>
                <w:rFonts w:hint="eastAsia" w:ascii="宋体" w:hAnsi="宋体"/>
                <w:szCs w:val="21"/>
                <w:lang w:eastAsia="zh-CN"/>
              </w:rPr>
              <w:t>益阳市梓山西路151号</w:t>
            </w:r>
          </w:p>
          <w:p>
            <w:pPr>
              <w:rPr>
                <w:rFonts w:ascii="宋体" w:hAnsi="宋体"/>
                <w:szCs w:val="21"/>
              </w:rPr>
            </w:pPr>
            <w:r>
              <w:rPr>
                <w:rFonts w:hint="eastAsia" w:ascii="宋体" w:hAnsi="宋体"/>
                <w:szCs w:val="21"/>
              </w:rPr>
              <w:t>联   系   人：</w:t>
            </w:r>
            <w:r>
              <w:rPr>
                <w:rFonts w:hint="eastAsia" w:ascii="宋体" w:hAnsi="宋体"/>
                <w:szCs w:val="21"/>
                <w:lang w:eastAsia="zh-CN"/>
              </w:rPr>
              <w:t>李宏</w:t>
            </w:r>
            <w:r>
              <w:rPr>
                <w:rFonts w:hint="eastAsia" w:ascii="宋体" w:hAnsi="宋体"/>
                <w:szCs w:val="21"/>
              </w:rPr>
              <w:t xml:space="preserve">    </w:t>
            </w:r>
          </w:p>
          <w:p>
            <w:pPr>
              <w:rPr>
                <w:rFonts w:ascii="宋体" w:hAnsi="宋体"/>
                <w:szCs w:val="21"/>
              </w:rPr>
            </w:pPr>
            <w:r>
              <w:rPr>
                <w:rFonts w:hint="eastAsia" w:ascii="宋体" w:hAnsi="宋体"/>
                <w:szCs w:val="21"/>
              </w:rPr>
              <w:t>电        话： 073</w:t>
            </w:r>
            <w:r>
              <w:rPr>
                <w:rFonts w:hint="eastAsia" w:ascii="宋体" w:hAnsi="宋体"/>
                <w:szCs w:val="21"/>
                <w:lang w:val="en-US" w:eastAsia="zh-CN"/>
              </w:rPr>
              <w:t>7</w:t>
            </w:r>
            <w:r>
              <w:rPr>
                <w:rFonts w:hint="eastAsia" w:ascii="宋体" w:hAnsi="宋体"/>
                <w:szCs w:val="21"/>
              </w:rPr>
              <w:t>-</w:t>
            </w:r>
            <w:r>
              <w:rPr>
                <w:rFonts w:hint="eastAsia" w:ascii="宋体" w:hAnsi="宋体"/>
                <w:szCs w:val="21"/>
                <w:lang w:val="en-US" w:eastAsia="zh-CN"/>
              </w:rPr>
              <w:t>4230885   13786791020</w:t>
            </w:r>
            <w:r>
              <w:rPr>
                <w:rFonts w:hint="eastAsia" w:ascii="宋体" w:hAnsi="宋体"/>
                <w:szCs w:val="21"/>
              </w:rPr>
              <w:t xml:space="preserve">      </w:t>
            </w:r>
          </w:p>
          <w:p>
            <w:pPr>
              <w:rPr>
                <w:rFonts w:hint="eastAsia" w:ascii="宋体" w:hAnsi="宋体" w:eastAsia="宋体"/>
                <w:szCs w:val="21"/>
                <w:lang w:eastAsia="zh-CN"/>
              </w:rPr>
            </w:pPr>
            <w:r>
              <w:rPr>
                <w:rFonts w:hint="eastAsia" w:ascii="宋体" w:hAnsi="宋体"/>
                <w:szCs w:val="21"/>
              </w:rPr>
              <w:t>邮        箱：</w:t>
            </w:r>
            <w:r>
              <w:rPr>
                <w:rFonts w:hint="eastAsia" w:ascii="宋体" w:hAnsi="宋体"/>
                <w:szCs w:val="21"/>
                <w:lang w:eastAsia="zh-CN"/>
              </w:rPr>
              <w:t>158921169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65" w:type="dxa"/>
            <w:vAlign w:val="center"/>
          </w:tcPr>
          <w:p>
            <w:pPr>
              <w:jc w:val="center"/>
              <w:rPr>
                <w:rFonts w:ascii="宋体" w:hAnsi="宋体"/>
                <w:szCs w:val="21"/>
              </w:rPr>
            </w:pPr>
            <w:r>
              <w:rPr>
                <w:rFonts w:hint="eastAsia" w:ascii="宋体" w:hAnsi="宋体"/>
                <w:szCs w:val="21"/>
              </w:rPr>
              <w:t>1.1.4</w:t>
            </w:r>
          </w:p>
        </w:tc>
        <w:tc>
          <w:tcPr>
            <w:tcW w:w="1827" w:type="dxa"/>
            <w:gridSpan w:val="2"/>
            <w:vAlign w:val="center"/>
          </w:tcPr>
          <w:p>
            <w:pPr>
              <w:jc w:val="center"/>
              <w:rPr>
                <w:rFonts w:ascii="宋体" w:hAnsi="宋体"/>
                <w:szCs w:val="21"/>
              </w:rPr>
            </w:pPr>
            <w:r>
              <w:rPr>
                <w:rFonts w:hint="eastAsia" w:ascii="宋体" w:hAnsi="宋体"/>
                <w:szCs w:val="21"/>
              </w:rPr>
              <w:t>项目名称</w:t>
            </w:r>
          </w:p>
        </w:tc>
        <w:tc>
          <w:tcPr>
            <w:tcW w:w="6281" w:type="dxa"/>
            <w:vAlign w:val="center"/>
          </w:tcPr>
          <w:p>
            <w:pPr>
              <w:rPr>
                <w:rFonts w:hint="eastAsia" w:ascii="宋体" w:hAnsi="宋体" w:eastAsia="宋体"/>
                <w:szCs w:val="21"/>
                <w:lang w:eastAsia="zh-CN"/>
              </w:rPr>
            </w:pPr>
            <w:r>
              <w:rPr>
                <w:rFonts w:hint="eastAsia" w:ascii="宋体" w:hAnsi="宋体"/>
                <w:szCs w:val="21"/>
              </w:rPr>
              <w:t xml:space="preserve"> </w:t>
            </w:r>
            <w:r>
              <w:rPr>
                <w:rFonts w:hint="eastAsia" w:ascii="宋体" w:hAnsi="宋体"/>
                <w:szCs w:val="21"/>
                <w:lang w:eastAsia="zh-CN"/>
              </w:rPr>
              <w:t>中国邮政集团公司益阳市分公司谢林港支局重建项目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4" w:hRule="exact"/>
        </w:trPr>
        <w:tc>
          <w:tcPr>
            <w:tcW w:w="1065" w:type="dxa"/>
            <w:vAlign w:val="center"/>
          </w:tcPr>
          <w:p>
            <w:pPr>
              <w:jc w:val="center"/>
              <w:rPr>
                <w:rFonts w:ascii="宋体" w:hAnsi="宋体"/>
                <w:szCs w:val="21"/>
              </w:rPr>
            </w:pPr>
            <w:r>
              <w:rPr>
                <w:rFonts w:hint="eastAsia" w:ascii="宋体" w:hAnsi="宋体"/>
                <w:szCs w:val="21"/>
              </w:rPr>
              <w:t>1.1.5</w:t>
            </w:r>
          </w:p>
        </w:tc>
        <w:tc>
          <w:tcPr>
            <w:tcW w:w="1827" w:type="dxa"/>
            <w:gridSpan w:val="2"/>
            <w:vAlign w:val="center"/>
          </w:tcPr>
          <w:p>
            <w:pPr>
              <w:jc w:val="center"/>
              <w:rPr>
                <w:rFonts w:ascii="宋体" w:hAnsi="宋体"/>
                <w:szCs w:val="21"/>
              </w:rPr>
            </w:pPr>
            <w:r>
              <w:rPr>
                <w:rFonts w:hint="eastAsia" w:ascii="宋体" w:hAnsi="宋体"/>
                <w:szCs w:val="21"/>
              </w:rPr>
              <w:t>建设地点</w:t>
            </w:r>
          </w:p>
        </w:tc>
        <w:tc>
          <w:tcPr>
            <w:tcW w:w="6281" w:type="dxa"/>
            <w:vAlign w:val="center"/>
          </w:tcPr>
          <w:p>
            <w:pPr>
              <w:rPr>
                <w:rFonts w:hint="eastAsia" w:ascii="宋体" w:hAnsi="宋体" w:eastAsia="宋体"/>
                <w:szCs w:val="21"/>
                <w:lang w:eastAsia="zh-CN"/>
              </w:rPr>
            </w:pPr>
            <w:r>
              <w:rPr>
                <w:rFonts w:hint="eastAsia"/>
                <w:szCs w:val="21"/>
                <w:lang w:eastAsia="zh-CN"/>
              </w:rPr>
              <w:t>益阳高新区谢林港镇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65" w:type="dxa"/>
            <w:vAlign w:val="center"/>
          </w:tcPr>
          <w:p>
            <w:pPr>
              <w:jc w:val="center"/>
              <w:rPr>
                <w:rFonts w:ascii="宋体" w:hAnsi="宋体"/>
                <w:szCs w:val="21"/>
              </w:rPr>
            </w:pPr>
            <w:r>
              <w:rPr>
                <w:rFonts w:hint="eastAsia" w:ascii="宋体" w:hAnsi="宋体"/>
                <w:szCs w:val="21"/>
              </w:rPr>
              <w:t>1.2.1</w:t>
            </w:r>
          </w:p>
        </w:tc>
        <w:tc>
          <w:tcPr>
            <w:tcW w:w="1827" w:type="dxa"/>
            <w:gridSpan w:val="2"/>
            <w:vAlign w:val="center"/>
          </w:tcPr>
          <w:p>
            <w:pPr>
              <w:jc w:val="center"/>
              <w:rPr>
                <w:rFonts w:ascii="宋体" w:hAnsi="宋体"/>
                <w:szCs w:val="21"/>
              </w:rPr>
            </w:pPr>
            <w:r>
              <w:rPr>
                <w:rFonts w:hint="eastAsia" w:ascii="宋体" w:hAnsi="宋体"/>
                <w:szCs w:val="21"/>
              </w:rPr>
              <w:t>资金来源</w:t>
            </w:r>
          </w:p>
        </w:tc>
        <w:tc>
          <w:tcPr>
            <w:tcW w:w="6281" w:type="dxa"/>
            <w:vAlign w:val="center"/>
          </w:tcPr>
          <w:p>
            <w:pPr>
              <w:rPr>
                <w:rFonts w:ascii="宋体" w:hAnsi="宋体"/>
                <w:szCs w:val="21"/>
              </w:rPr>
            </w:pPr>
            <w:r>
              <w:rPr>
                <w:rFonts w:hint="eastAsia"/>
                <w:szCs w:val="21"/>
                <w:lang w:eastAsia="zh-CN"/>
              </w:rPr>
              <w:t>公司</w:t>
            </w:r>
            <w:r>
              <w:rPr>
                <w:rFonts w:hint="eastAsia"/>
                <w:szCs w:val="21"/>
              </w:rPr>
              <w:t>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65" w:type="dxa"/>
            <w:vAlign w:val="center"/>
          </w:tcPr>
          <w:p>
            <w:pPr>
              <w:jc w:val="center"/>
              <w:rPr>
                <w:rFonts w:ascii="宋体" w:hAnsi="宋体"/>
                <w:szCs w:val="21"/>
              </w:rPr>
            </w:pPr>
            <w:r>
              <w:rPr>
                <w:rFonts w:hint="eastAsia" w:ascii="宋体" w:hAnsi="宋体"/>
                <w:szCs w:val="21"/>
              </w:rPr>
              <w:t>1.2.2</w:t>
            </w:r>
          </w:p>
        </w:tc>
        <w:tc>
          <w:tcPr>
            <w:tcW w:w="1827" w:type="dxa"/>
            <w:gridSpan w:val="2"/>
            <w:vAlign w:val="center"/>
          </w:tcPr>
          <w:p>
            <w:pPr>
              <w:jc w:val="center"/>
              <w:rPr>
                <w:rFonts w:ascii="宋体" w:hAnsi="宋体"/>
                <w:szCs w:val="21"/>
              </w:rPr>
            </w:pPr>
            <w:r>
              <w:rPr>
                <w:rFonts w:hint="eastAsia" w:ascii="宋体" w:hAnsi="宋体"/>
                <w:szCs w:val="21"/>
              </w:rPr>
              <w:t>出资比例</w:t>
            </w:r>
          </w:p>
        </w:tc>
        <w:tc>
          <w:tcPr>
            <w:tcW w:w="6281" w:type="dxa"/>
            <w:vAlign w:val="center"/>
          </w:tcPr>
          <w:p>
            <w:pPr>
              <w:rPr>
                <w:rFonts w:ascii="宋体" w:hAnsi="宋体"/>
                <w:szCs w:val="21"/>
              </w:rPr>
            </w:pPr>
            <w:r>
              <w:rPr>
                <w:rFonts w:hint="eastAsia" w:ascii="宋体" w:hAnsi="宋体"/>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65" w:type="dxa"/>
            <w:vAlign w:val="center"/>
          </w:tcPr>
          <w:p>
            <w:pPr>
              <w:jc w:val="center"/>
              <w:rPr>
                <w:rFonts w:ascii="宋体" w:hAnsi="宋体"/>
                <w:szCs w:val="21"/>
              </w:rPr>
            </w:pPr>
            <w:r>
              <w:rPr>
                <w:rFonts w:hint="eastAsia" w:ascii="宋体" w:hAnsi="宋体"/>
                <w:szCs w:val="21"/>
              </w:rPr>
              <w:t>1.2.3</w:t>
            </w:r>
          </w:p>
        </w:tc>
        <w:tc>
          <w:tcPr>
            <w:tcW w:w="1827" w:type="dxa"/>
            <w:gridSpan w:val="2"/>
            <w:vAlign w:val="center"/>
          </w:tcPr>
          <w:p>
            <w:pPr>
              <w:jc w:val="center"/>
              <w:rPr>
                <w:rFonts w:ascii="宋体" w:hAnsi="宋体"/>
                <w:szCs w:val="21"/>
              </w:rPr>
            </w:pPr>
            <w:r>
              <w:rPr>
                <w:rFonts w:hint="eastAsia" w:ascii="宋体" w:hAnsi="宋体"/>
                <w:szCs w:val="21"/>
              </w:rPr>
              <w:t>资金落实情况</w:t>
            </w:r>
          </w:p>
        </w:tc>
        <w:tc>
          <w:tcPr>
            <w:tcW w:w="6281" w:type="dxa"/>
            <w:vAlign w:val="center"/>
          </w:tcPr>
          <w:p>
            <w:pPr>
              <w:rPr>
                <w:rFonts w:ascii="宋体" w:hAnsi="宋体"/>
                <w:szCs w:val="21"/>
              </w:rPr>
            </w:pPr>
            <w:r>
              <w:rPr>
                <w:rFonts w:hint="eastAsia" w:ascii="宋体" w:hAnsi="宋体"/>
                <w:szCs w:val="21"/>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065" w:type="dxa"/>
            <w:vAlign w:val="center"/>
          </w:tcPr>
          <w:p>
            <w:pPr>
              <w:jc w:val="center"/>
              <w:rPr>
                <w:rFonts w:ascii="宋体" w:hAnsi="宋体"/>
                <w:szCs w:val="21"/>
              </w:rPr>
            </w:pPr>
            <w:r>
              <w:rPr>
                <w:rFonts w:hint="eastAsia" w:ascii="宋体" w:hAnsi="宋体"/>
                <w:szCs w:val="21"/>
              </w:rPr>
              <w:t>1.3.1</w:t>
            </w:r>
          </w:p>
        </w:tc>
        <w:tc>
          <w:tcPr>
            <w:tcW w:w="1827" w:type="dxa"/>
            <w:gridSpan w:val="2"/>
            <w:vAlign w:val="center"/>
          </w:tcPr>
          <w:p>
            <w:pPr>
              <w:jc w:val="center"/>
              <w:rPr>
                <w:rFonts w:ascii="宋体" w:hAnsi="宋体"/>
                <w:szCs w:val="21"/>
              </w:rPr>
            </w:pPr>
            <w:r>
              <w:rPr>
                <w:rFonts w:hint="eastAsia" w:ascii="宋体" w:hAnsi="宋体"/>
                <w:szCs w:val="21"/>
              </w:rPr>
              <w:t>招标范围</w:t>
            </w:r>
          </w:p>
        </w:tc>
        <w:tc>
          <w:tcPr>
            <w:tcW w:w="6281" w:type="dxa"/>
            <w:vAlign w:val="center"/>
          </w:tcPr>
          <w:p>
            <w:pPr>
              <w:rPr>
                <w:rFonts w:ascii="宋体" w:hAnsi="宋体"/>
                <w:szCs w:val="21"/>
              </w:rPr>
            </w:pPr>
            <w:r>
              <w:rPr>
                <w:rFonts w:hint="eastAsia" w:ascii="宋体" w:hAnsi="宋体"/>
                <w:szCs w:val="21"/>
                <w:lang w:eastAsia="zh-CN"/>
              </w:rPr>
              <w:t>中国邮政集团公司益阳市分公司谢林港支局重建项目</w:t>
            </w:r>
            <w:r>
              <w:rPr>
                <w:rFonts w:hint="eastAsia" w:ascii="宋体" w:hAnsi="宋体"/>
                <w:szCs w:val="21"/>
              </w:rPr>
              <w:t>，招标范围具体以设计施工图纸、工程量清单等相关资料为准，招标金额</w:t>
            </w:r>
            <w:r>
              <w:rPr>
                <w:rFonts w:hint="eastAsia" w:ascii="宋体" w:hAnsi="宋体"/>
                <w:szCs w:val="21"/>
                <w:lang w:eastAsia="zh-CN"/>
              </w:rPr>
              <w:t>239.66万元</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065" w:type="dxa"/>
            <w:vAlign w:val="center"/>
          </w:tcPr>
          <w:p>
            <w:pPr>
              <w:jc w:val="center"/>
              <w:rPr>
                <w:rFonts w:ascii="宋体" w:hAnsi="宋体"/>
                <w:szCs w:val="21"/>
              </w:rPr>
            </w:pPr>
            <w:r>
              <w:rPr>
                <w:rFonts w:hint="eastAsia" w:ascii="宋体" w:hAnsi="宋体"/>
                <w:szCs w:val="21"/>
              </w:rPr>
              <w:t>1.3.2</w:t>
            </w:r>
          </w:p>
        </w:tc>
        <w:tc>
          <w:tcPr>
            <w:tcW w:w="1827" w:type="dxa"/>
            <w:gridSpan w:val="2"/>
            <w:vAlign w:val="center"/>
          </w:tcPr>
          <w:p>
            <w:pPr>
              <w:jc w:val="center"/>
              <w:rPr>
                <w:rFonts w:ascii="宋体" w:hAnsi="宋体"/>
                <w:szCs w:val="21"/>
              </w:rPr>
            </w:pPr>
            <w:r>
              <w:rPr>
                <w:rFonts w:hint="eastAsia" w:ascii="宋体" w:hAnsi="宋体"/>
                <w:szCs w:val="21"/>
              </w:rPr>
              <w:t>计划工期</w:t>
            </w:r>
          </w:p>
        </w:tc>
        <w:tc>
          <w:tcPr>
            <w:tcW w:w="6281" w:type="dxa"/>
            <w:vAlign w:val="center"/>
          </w:tcPr>
          <w:p>
            <w:pPr>
              <w:rPr>
                <w:rFonts w:ascii="宋体" w:hAnsi="宋体"/>
                <w:szCs w:val="21"/>
                <w:u w:val="single"/>
              </w:rPr>
            </w:pPr>
            <w:r>
              <w:rPr>
                <w:rFonts w:hint="eastAsia" w:ascii="宋体" w:hAnsi="宋体"/>
                <w:szCs w:val="21"/>
              </w:rPr>
              <w:t>计划工期：</w:t>
            </w:r>
            <w:r>
              <w:rPr>
                <w:rFonts w:ascii="宋体" w:hAnsi="宋体"/>
                <w:szCs w:val="21"/>
              </w:rPr>
              <w:t>1</w:t>
            </w:r>
            <w:r>
              <w:rPr>
                <w:rFonts w:hint="eastAsia" w:ascii="宋体" w:hAnsi="宋体"/>
                <w:szCs w:val="21"/>
              </w:rPr>
              <w:t>8</w:t>
            </w:r>
            <w:r>
              <w:rPr>
                <w:rFonts w:ascii="宋体" w:hAnsi="宋体"/>
                <w:szCs w:val="21"/>
              </w:rPr>
              <w:t>0日历天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065" w:type="dxa"/>
            <w:vAlign w:val="center"/>
          </w:tcPr>
          <w:p>
            <w:pPr>
              <w:jc w:val="center"/>
              <w:rPr>
                <w:rFonts w:ascii="宋体" w:hAnsi="宋体"/>
                <w:szCs w:val="21"/>
              </w:rPr>
            </w:pPr>
            <w:r>
              <w:rPr>
                <w:rFonts w:hint="eastAsia" w:ascii="宋体" w:hAnsi="宋体"/>
                <w:szCs w:val="21"/>
              </w:rPr>
              <w:t>1.3.3</w:t>
            </w:r>
          </w:p>
        </w:tc>
        <w:tc>
          <w:tcPr>
            <w:tcW w:w="1827" w:type="dxa"/>
            <w:gridSpan w:val="2"/>
            <w:vAlign w:val="center"/>
          </w:tcPr>
          <w:p>
            <w:pPr>
              <w:jc w:val="center"/>
              <w:rPr>
                <w:rFonts w:ascii="宋体" w:hAnsi="宋体"/>
                <w:szCs w:val="21"/>
              </w:rPr>
            </w:pPr>
            <w:r>
              <w:rPr>
                <w:rFonts w:hint="eastAsia" w:ascii="宋体" w:hAnsi="宋体"/>
                <w:szCs w:val="21"/>
              </w:rPr>
              <w:t>质量要求</w:t>
            </w:r>
          </w:p>
        </w:tc>
        <w:tc>
          <w:tcPr>
            <w:tcW w:w="6281" w:type="dxa"/>
            <w:vAlign w:val="center"/>
          </w:tcPr>
          <w:p>
            <w:pPr>
              <w:rPr>
                <w:rFonts w:ascii="宋体" w:hAnsi="宋体"/>
                <w:szCs w:val="21"/>
                <w:u w:val="single"/>
              </w:rPr>
            </w:pPr>
            <w:r>
              <w:rPr>
                <w:rFonts w:hint="eastAsia" w:ascii="宋体" w:hAnsi="宋体"/>
                <w:szCs w:val="21"/>
                <w:u w:val="single"/>
              </w:rPr>
              <w:t>质量标准：符合《工程施工质量验收规范》要求，达到合格工程标准</w:t>
            </w:r>
          </w:p>
          <w:p>
            <w:pPr>
              <w:rPr>
                <w:rFonts w:ascii="宋体" w:hAnsi="宋体"/>
                <w:szCs w:val="21"/>
              </w:rPr>
            </w:pPr>
            <w:r>
              <w:rPr>
                <w:rFonts w:hint="eastAsia" w:ascii="宋体" w:hAnsi="宋体"/>
                <w:szCs w:val="21"/>
                <w:u w:val="single"/>
              </w:rPr>
              <w:t>保修要求：按照建设部80号令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96" w:hRule="atLeast"/>
        </w:trPr>
        <w:tc>
          <w:tcPr>
            <w:tcW w:w="1065" w:type="dxa"/>
            <w:vAlign w:val="center"/>
          </w:tcPr>
          <w:p>
            <w:pPr>
              <w:jc w:val="center"/>
              <w:rPr>
                <w:rFonts w:ascii="宋体" w:hAnsi="宋体"/>
                <w:szCs w:val="21"/>
              </w:rPr>
            </w:pPr>
            <w:r>
              <w:rPr>
                <w:rFonts w:hint="eastAsia" w:ascii="宋体" w:hAnsi="宋体"/>
                <w:szCs w:val="21"/>
              </w:rPr>
              <w:t>1.4.1</w:t>
            </w:r>
          </w:p>
        </w:tc>
        <w:tc>
          <w:tcPr>
            <w:tcW w:w="1827" w:type="dxa"/>
            <w:gridSpan w:val="2"/>
            <w:vAlign w:val="center"/>
          </w:tcPr>
          <w:p>
            <w:pPr>
              <w:jc w:val="center"/>
              <w:rPr>
                <w:rFonts w:ascii="宋体" w:hAnsi="宋体"/>
                <w:szCs w:val="21"/>
              </w:rPr>
            </w:pPr>
            <w:r>
              <w:rPr>
                <w:rFonts w:hint="eastAsia" w:ascii="宋体" w:hAnsi="宋体"/>
                <w:szCs w:val="21"/>
              </w:rPr>
              <w:t>投标人资质条件和信誉</w:t>
            </w:r>
          </w:p>
        </w:tc>
        <w:tc>
          <w:tcPr>
            <w:tcW w:w="6281" w:type="dxa"/>
            <w:vAlign w:val="center"/>
          </w:tcPr>
          <w:p>
            <w:pPr>
              <w:rPr>
                <w:rFonts w:ascii="宋体" w:hAnsi="宋体"/>
                <w:szCs w:val="21"/>
              </w:rPr>
            </w:pPr>
            <w:r>
              <w:rPr>
                <w:rFonts w:hint="eastAsia" w:ascii="宋体" w:hAnsi="宋体"/>
                <w:szCs w:val="21"/>
              </w:rPr>
              <w:t>资质条件：</w:t>
            </w:r>
          </w:p>
          <w:p>
            <w:pPr>
              <w:rPr>
                <w:rFonts w:ascii="宋体" w:hAnsi="宋体"/>
                <w:szCs w:val="21"/>
              </w:rPr>
            </w:pPr>
            <w:r>
              <w:rPr>
                <w:rFonts w:hint="eastAsia" w:ascii="宋体" w:hAnsi="宋体"/>
                <w:szCs w:val="21"/>
              </w:rPr>
              <w:t>①具有独立法人资格并依法取得企业营业执照，营业执照处于有效期；</w:t>
            </w:r>
            <w:r>
              <w:rPr>
                <w:rFonts w:hint="eastAsia" w:ascii="宋体" w:hAnsi="宋体"/>
                <w:szCs w:val="21"/>
                <w:u w:val="single"/>
              </w:rPr>
              <w:t>湖南省外企业须按照湘建建【2015】190号文件要求办理省外入湘企业基本情况登记（以“湖南省住房和城乡建设网”查询为准）或具有入湘施工登记证（处于有效期内）</w:t>
            </w:r>
            <w:r>
              <w:rPr>
                <w:rFonts w:hint="eastAsia" w:ascii="宋体" w:hAnsi="宋体"/>
                <w:szCs w:val="21"/>
              </w:rPr>
              <w:t>；</w:t>
            </w:r>
          </w:p>
          <w:p>
            <w:pPr>
              <w:rPr>
                <w:rFonts w:ascii="宋体" w:hAnsi="宋体"/>
                <w:szCs w:val="21"/>
              </w:rPr>
            </w:pPr>
            <w:r>
              <w:rPr>
                <w:rFonts w:hint="eastAsia" w:ascii="宋体" w:hAnsi="宋体"/>
                <w:szCs w:val="21"/>
              </w:rPr>
              <w:t>②须具备建设行政主管部门颁发的三级及三级以上建筑工程施工总承包资质，安全生产许可证处于有效期；并在人员、设备、资金等方面具备相应的施工能力；</w:t>
            </w:r>
          </w:p>
          <w:p>
            <w:pPr>
              <w:pStyle w:val="52"/>
              <w:rPr>
                <w:rFonts w:ascii="宋体" w:hAnsi="宋体"/>
                <w:bCs/>
              </w:rPr>
            </w:pPr>
            <w:r>
              <w:rPr>
                <w:rFonts w:hint="eastAsia" w:ascii="宋体" w:hAnsi="宋体"/>
                <w:bCs/>
              </w:rPr>
              <w:t>财务要求： 不作资格条件</w:t>
            </w:r>
          </w:p>
          <w:p>
            <w:pPr>
              <w:rPr>
                <w:rFonts w:ascii="宋体" w:hAnsi="宋体"/>
                <w:szCs w:val="21"/>
              </w:rPr>
            </w:pPr>
            <w:r>
              <w:rPr>
                <w:rFonts w:hint="eastAsia" w:ascii="宋体" w:hAnsi="宋体"/>
                <w:bCs/>
                <w:szCs w:val="21"/>
              </w:rPr>
              <w:t>业绩要求：</w:t>
            </w:r>
            <w:r>
              <w:rPr>
                <w:rFonts w:hint="eastAsia" w:ascii="宋体" w:hAnsi="宋体"/>
                <w:szCs w:val="21"/>
              </w:rPr>
              <w:t xml:space="preserve"> 不作资格条件</w:t>
            </w:r>
          </w:p>
          <w:p>
            <w:pPr>
              <w:rPr>
                <w:rFonts w:ascii="宋体" w:hAnsi="宋体"/>
                <w:szCs w:val="21"/>
              </w:rPr>
            </w:pPr>
            <w:r>
              <w:rPr>
                <w:rFonts w:hint="eastAsia" w:ascii="宋体" w:hAnsi="宋体"/>
                <w:szCs w:val="21"/>
              </w:rPr>
              <w:t>信誉要求：在最近三年内无因骗取中标或严重违约等情形，而受到行政处罚的</w:t>
            </w:r>
          </w:p>
          <w:p>
            <w:pPr>
              <w:rPr>
                <w:rFonts w:ascii="宋体" w:hAnsi="宋体"/>
                <w:szCs w:val="21"/>
              </w:rPr>
            </w:pPr>
            <w:r>
              <w:rPr>
                <w:rFonts w:hint="eastAsia" w:ascii="宋体" w:hAnsi="宋体"/>
                <w:szCs w:val="21"/>
              </w:rPr>
              <w:t>项目负责人资格：</w:t>
            </w:r>
            <w:r>
              <w:rPr>
                <w:rFonts w:hint="eastAsia" w:ascii="宋体" w:hAnsi="宋体"/>
                <w:szCs w:val="21"/>
                <w:u w:val="single"/>
              </w:rPr>
              <w:t>建筑工程专业二级及以上注册建造师</w:t>
            </w:r>
            <w:r>
              <w:rPr>
                <w:rFonts w:hint="eastAsia" w:ascii="宋体" w:hAnsi="宋体"/>
                <w:szCs w:val="21"/>
              </w:rPr>
              <w:t>，</w:t>
            </w:r>
            <w:r>
              <w:rPr>
                <w:rFonts w:hint="eastAsia" w:ascii="宋体" w:hAnsi="宋体"/>
                <w:szCs w:val="21"/>
                <w:u w:val="single"/>
              </w:rPr>
              <w:t>具备有效的项目负责人安全生产考核合格证书</w:t>
            </w:r>
            <w:r>
              <w:rPr>
                <w:rFonts w:hint="eastAsia" w:ascii="宋体" w:hAnsi="宋体"/>
                <w:szCs w:val="21"/>
              </w:rPr>
              <w:t>，且无在建工程。</w:t>
            </w:r>
          </w:p>
          <w:p>
            <w:pPr>
              <w:rPr>
                <w:rFonts w:ascii="宋体" w:hAnsi="宋体"/>
                <w:szCs w:val="21"/>
              </w:rPr>
            </w:pPr>
            <w:r>
              <w:rPr>
                <w:rFonts w:hint="eastAsia" w:ascii="宋体" w:hAnsi="宋体"/>
                <w:szCs w:val="21"/>
              </w:rPr>
              <w:t>施工项目部其它关健岗位人员详见本项目招标文件第二章投标人须知前附表第10.15.1项要求。</w:t>
            </w:r>
          </w:p>
          <w:p>
            <w:pPr>
              <w:snapToGrid w:val="0"/>
              <w:rPr>
                <w:rFonts w:ascii="宋体" w:hAnsi="宋体"/>
                <w:szCs w:val="21"/>
              </w:rPr>
            </w:pPr>
            <w:r>
              <w:rPr>
                <w:rFonts w:hint="eastAsia" w:ascii="宋体" w:hAnsi="宋体"/>
              </w:rPr>
              <w:t>其他资格要求：………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50" w:hRule="atLeast"/>
        </w:trPr>
        <w:tc>
          <w:tcPr>
            <w:tcW w:w="1065" w:type="dxa"/>
            <w:vAlign w:val="center"/>
          </w:tcPr>
          <w:p>
            <w:pPr>
              <w:jc w:val="center"/>
              <w:rPr>
                <w:rFonts w:ascii="宋体" w:hAnsi="宋体"/>
                <w:szCs w:val="21"/>
              </w:rPr>
            </w:pPr>
            <w:r>
              <w:rPr>
                <w:rFonts w:hint="eastAsia" w:ascii="宋体" w:hAnsi="宋体"/>
                <w:szCs w:val="21"/>
              </w:rPr>
              <w:t>1.4.2</w:t>
            </w:r>
          </w:p>
        </w:tc>
        <w:tc>
          <w:tcPr>
            <w:tcW w:w="1827" w:type="dxa"/>
            <w:gridSpan w:val="2"/>
            <w:vAlign w:val="center"/>
          </w:tcPr>
          <w:p>
            <w:pPr>
              <w:jc w:val="center"/>
              <w:rPr>
                <w:rFonts w:ascii="宋体" w:hAnsi="宋体"/>
                <w:szCs w:val="21"/>
              </w:rPr>
            </w:pPr>
            <w:r>
              <w:rPr>
                <w:rFonts w:hint="eastAsia" w:ascii="宋体" w:hAnsi="宋体"/>
                <w:szCs w:val="21"/>
              </w:rPr>
              <w:t>是否接受联合体投标</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不接受</w:t>
            </w:r>
          </w:p>
          <w:p>
            <w:pPr>
              <w:rPr>
                <w:rFonts w:ascii="宋体" w:hAnsi="宋体"/>
                <w:szCs w:val="21"/>
              </w:rPr>
            </w:pPr>
            <w:r>
              <w:rPr>
                <w:rFonts w:hint="eastAsia" w:ascii="宋体" w:hAnsi="宋体"/>
                <w:szCs w:val="21"/>
              </w:rPr>
              <w:t>□接受，应满足下列要求：</w:t>
            </w:r>
          </w:p>
          <w:p>
            <w:pPr>
              <w:rPr>
                <w:rFonts w:ascii="宋体" w:hAnsi="宋体"/>
                <w:szCs w:val="21"/>
              </w:rPr>
            </w:pPr>
            <w:r>
              <w:rPr>
                <w:rFonts w:hint="eastAsia" w:ascii="宋体" w:hAnsi="宋体"/>
                <w:szCs w:val="21"/>
              </w:rPr>
              <w:t>联合体资质按照联合体协议约定的分工认定。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1065" w:type="dxa"/>
            <w:vAlign w:val="center"/>
          </w:tcPr>
          <w:p>
            <w:pPr>
              <w:jc w:val="center"/>
              <w:rPr>
                <w:rFonts w:ascii="宋体" w:hAnsi="宋体"/>
                <w:szCs w:val="21"/>
              </w:rPr>
            </w:pPr>
            <w:r>
              <w:rPr>
                <w:rFonts w:hint="eastAsia" w:ascii="宋体" w:hAnsi="宋体"/>
                <w:szCs w:val="21"/>
              </w:rPr>
              <w:t>1.9.1</w:t>
            </w:r>
          </w:p>
        </w:tc>
        <w:tc>
          <w:tcPr>
            <w:tcW w:w="1827" w:type="dxa"/>
            <w:gridSpan w:val="2"/>
            <w:vAlign w:val="center"/>
          </w:tcPr>
          <w:p>
            <w:pPr>
              <w:jc w:val="center"/>
              <w:rPr>
                <w:rFonts w:ascii="宋体" w:hAnsi="宋体"/>
                <w:szCs w:val="21"/>
              </w:rPr>
            </w:pPr>
            <w:r>
              <w:rPr>
                <w:rFonts w:hint="eastAsia" w:ascii="宋体" w:hAnsi="宋体"/>
                <w:szCs w:val="21"/>
              </w:rPr>
              <w:t>踏勘现场</w:t>
            </w:r>
          </w:p>
        </w:tc>
        <w:tc>
          <w:tcPr>
            <w:tcW w:w="6281" w:type="dxa"/>
            <w:vAlign w:val="center"/>
          </w:tcPr>
          <w:p>
            <w:pPr>
              <w:rPr>
                <w:rFonts w:ascii="宋体" w:hAnsi="宋体"/>
                <w:szCs w:val="21"/>
              </w:rPr>
            </w:pPr>
            <w:r>
              <w:rPr>
                <w:rFonts w:hAnsi="宋体"/>
                <w:sz w:val="24"/>
              </w:rPr>
              <w:sym w:font="Wingdings" w:char="00FE"/>
            </w:r>
            <w:r>
              <w:rPr>
                <w:rFonts w:hint="eastAsia" w:ascii="宋体" w:hAnsi="宋体"/>
                <w:szCs w:val="21"/>
              </w:rPr>
              <w:t>不组织</w:t>
            </w:r>
          </w:p>
          <w:p>
            <w:pPr>
              <w:rPr>
                <w:rFonts w:ascii="宋体" w:hAnsi="宋体"/>
                <w:szCs w:val="21"/>
                <w:u w:val="single"/>
              </w:rPr>
            </w:pPr>
            <w:r>
              <w:rPr>
                <w:rFonts w:hint="eastAsia" w:ascii="宋体" w:hAnsi="宋体"/>
                <w:szCs w:val="21"/>
              </w:rPr>
              <w:t>□组织，踏勘时间：年月日</w:t>
            </w:r>
          </w:p>
          <w:p>
            <w:pPr>
              <w:rPr>
                <w:rFonts w:ascii="宋体" w:hAnsi="宋体"/>
                <w:szCs w:val="21"/>
              </w:rPr>
            </w:pPr>
            <w:r>
              <w:rPr>
                <w:rFonts w:hint="eastAsia" w:ascii="宋体" w:hAnsi="宋体"/>
                <w:szCs w:val="21"/>
              </w:rPr>
              <w:t xml:space="preserve">        踏勘集中地点：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1065" w:type="dxa"/>
            <w:vAlign w:val="center"/>
          </w:tcPr>
          <w:p>
            <w:pPr>
              <w:jc w:val="center"/>
              <w:rPr>
                <w:rFonts w:ascii="宋体" w:hAnsi="宋体"/>
                <w:szCs w:val="21"/>
              </w:rPr>
            </w:pPr>
            <w:r>
              <w:rPr>
                <w:rFonts w:hint="eastAsia" w:ascii="宋体" w:hAnsi="宋体"/>
                <w:szCs w:val="21"/>
              </w:rPr>
              <w:t>1.10.1</w:t>
            </w:r>
          </w:p>
        </w:tc>
        <w:tc>
          <w:tcPr>
            <w:tcW w:w="1827" w:type="dxa"/>
            <w:gridSpan w:val="2"/>
            <w:vAlign w:val="center"/>
          </w:tcPr>
          <w:p>
            <w:pPr>
              <w:jc w:val="center"/>
              <w:rPr>
                <w:rFonts w:ascii="宋体" w:hAnsi="宋体"/>
                <w:szCs w:val="21"/>
              </w:rPr>
            </w:pPr>
            <w:r>
              <w:rPr>
                <w:rFonts w:hint="eastAsia" w:ascii="宋体" w:hAnsi="宋体"/>
                <w:szCs w:val="21"/>
              </w:rPr>
              <w:t>投标预备会</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不召开</w:t>
            </w:r>
          </w:p>
          <w:p>
            <w:pPr>
              <w:rPr>
                <w:rFonts w:ascii="宋体" w:hAnsi="宋体"/>
                <w:szCs w:val="21"/>
              </w:rPr>
            </w:pPr>
            <w:r>
              <w:rPr>
                <w:rFonts w:hint="eastAsia" w:ascii="宋体" w:hAnsi="宋体"/>
                <w:szCs w:val="21"/>
              </w:rPr>
              <w:t>□召开，召开时间：年月日</w:t>
            </w:r>
          </w:p>
          <w:p>
            <w:pPr>
              <w:rPr>
                <w:rFonts w:ascii="宋体" w:hAnsi="宋体"/>
                <w:szCs w:val="21"/>
              </w:rPr>
            </w:pPr>
            <w:r>
              <w:rPr>
                <w:rFonts w:hint="eastAsia" w:ascii="宋体" w:hAnsi="宋体"/>
                <w:szCs w:val="21"/>
              </w:rPr>
              <w:t xml:space="preserve">        召开地点：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1065" w:type="dxa"/>
            <w:vAlign w:val="center"/>
          </w:tcPr>
          <w:p>
            <w:pPr>
              <w:jc w:val="center"/>
              <w:rPr>
                <w:rFonts w:ascii="宋体" w:hAnsi="宋体"/>
                <w:szCs w:val="21"/>
              </w:rPr>
            </w:pPr>
            <w:r>
              <w:rPr>
                <w:rFonts w:hint="eastAsia" w:ascii="宋体" w:hAnsi="宋体"/>
                <w:szCs w:val="21"/>
              </w:rPr>
              <w:t>1.10.2</w:t>
            </w:r>
          </w:p>
        </w:tc>
        <w:tc>
          <w:tcPr>
            <w:tcW w:w="1827" w:type="dxa"/>
            <w:gridSpan w:val="2"/>
            <w:vAlign w:val="center"/>
          </w:tcPr>
          <w:p>
            <w:pPr>
              <w:jc w:val="center"/>
              <w:rPr>
                <w:rFonts w:ascii="宋体" w:hAnsi="宋体"/>
                <w:szCs w:val="21"/>
              </w:rPr>
            </w:pPr>
            <w:r>
              <w:rPr>
                <w:rFonts w:hint="eastAsia" w:ascii="宋体" w:hAnsi="宋体"/>
                <w:szCs w:val="21"/>
              </w:rPr>
              <w:t>投标人提出问题的截止时间和提问方式</w:t>
            </w:r>
          </w:p>
        </w:tc>
        <w:tc>
          <w:tcPr>
            <w:tcW w:w="6281" w:type="dxa"/>
            <w:vAlign w:val="center"/>
          </w:tcPr>
          <w:p>
            <w:pPr>
              <w:rPr>
                <w:rFonts w:ascii="宋体" w:hAnsi="宋体"/>
                <w:szCs w:val="21"/>
              </w:rPr>
            </w:pPr>
            <w:r>
              <w:rPr>
                <w:rFonts w:hint="eastAsia" w:ascii="宋体" w:hAnsi="宋体"/>
                <w:szCs w:val="21"/>
              </w:rPr>
              <w:t>投标人若对招标文件有任何疑问，应于</w:t>
            </w:r>
            <w:r>
              <w:rPr>
                <w:rFonts w:ascii="宋体" w:hAnsi="宋体"/>
                <w:szCs w:val="21"/>
              </w:rPr>
              <w:t>201</w:t>
            </w:r>
            <w:r>
              <w:rPr>
                <w:rFonts w:hint="eastAsia" w:ascii="宋体" w:hAnsi="宋体"/>
                <w:szCs w:val="21"/>
              </w:rPr>
              <w:t>9年</w:t>
            </w:r>
            <w:r>
              <w:rPr>
                <w:rFonts w:hint="eastAsia" w:ascii="宋体" w:hAnsi="宋体"/>
                <w:szCs w:val="21"/>
                <w:lang w:val="en-US" w:eastAsia="zh-CN"/>
              </w:rPr>
              <w:t>9</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日（含）</w:t>
            </w:r>
            <w:r>
              <w:rPr>
                <w:rFonts w:ascii="宋体" w:hAnsi="宋体"/>
                <w:szCs w:val="21"/>
              </w:rPr>
              <w:t>17</w:t>
            </w:r>
            <w:r>
              <w:rPr>
                <w:rFonts w:hint="eastAsia" w:ascii="宋体" w:hAnsi="宋体"/>
                <w:szCs w:val="21"/>
              </w:rPr>
              <w:t>：</w:t>
            </w:r>
            <w:r>
              <w:rPr>
                <w:rFonts w:ascii="宋体" w:hAnsi="宋体"/>
                <w:szCs w:val="21"/>
              </w:rPr>
              <w:t>00</w:t>
            </w:r>
            <w:r>
              <w:rPr>
                <w:rFonts w:hint="eastAsia" w:ascii="宋体" w:hAnsi="宋体"/>
                <w:szCs w:val="21"/>
              </w:rPr>
              <w:t>时（北京时间）前以不署名的形式采用书面方式提出（书面文件发送至代理机构</w:t>
            </w:r>
            <w:r>
              <w:rPr>
                <w:rFonts w:ascii="宋体" w:hAnsi="宋体"/>
                <w:szCs w:val="21"/>
              </w:rPr>
              <w:t>QQ</w:t>
            </w:r>
            <w:r>
              <w:rPr>
                <w:rFonts w:hint="eastAsia" w:ascii="宋体" w:hAnsi="宋体"/>
                <w:szCs w:val="21"/>
              </w:rPr>
              <w:t>邮箱：</w:t>
            </w:r>
            <w:r>
              <w:rPr>
                <w:rFonts w:hint="eastAsia" w:ascii="宋体" w:hAnsi="宋体"/>
                <w:szCs w:val="21"/>
                <w:lang w:eastAsia="zh-CN"/>
              </w:rPr>
              <w:t>158921169</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1065" w:type="dxa"/>
            <w:vAlign w:val="center"/>
          </w:tcPr>
          <w:p>
            <w:pPr>
              <w:jc w:val="center"/>
              <w:rPr>
                <w:rFonts w:ascii="宋体" w:hAnsi="宋体"/>
                <w:szCs w:val="21"/>
              </w:rPr>
            </w:pPr>
            <w:r>
              <w:rPr>
                <w:rFonts w:hint="eastAsia" w:ascii="宋体" w:hAnsi="宋体"/>
                <w:szCs w:val="21"/>
              </w:rPr>
              <w:t>1.10.3</w:t>
            </w:r>
          </w:p>
        </w:tc>
        <w:tc>
          <w:tcPr>
            <w:tcW w:w="1827" w:type="dxa"/>
            <w:gridSpan w:val="2"/>
            <w:vAlign w:val="center"/>
          </w:tcPr>
          <w:p>
            <w:pPr>
              <w:jc w:val="center"/>
              <w:rPr>
                <w:rFonts w:ascii="宋体" w:hAnsi="宋体"/>
                <w:szCs w:val="21"/>
              </w:rPr>
            </w:pPr>
            <w:r>
              <w:rPr>
                <w:rFonts w:hint="eastAsia" w:ascii="宋体" w:hAnsi="宋体"/>
                <w:szCs w:val="21"/>
              </w:rPr>
              <w:t>招标人书面澄清的时间和发布方式</w:t>
            </w:r>
          </w:p>
        </w:tc>
        <w:tc>
          <w:tcPr>
            <w:tcW w:w="6281" w:type="dxa"/>
            <w:vAlign w:val="center"/>
          </w:tcPr>
          <w:p>
            <w:pPr>
              <w:rPr>
                <w:rFonts w:ascii="宋体" w:hAnsi="宋体"/>
                <w:szCs w:val="21"/>
              </w:rPr>
            </w:pPr>
            <w:r>
              <w:rPr>
                <w:rFonts w:hint="eastAsia" w:ascii="宋体" w:hAnsi="宋体"/>
                <w:szCs w:val="21"/>
              </w:rPr>
              <w:t>招标人书面澄清截止时间：在投标截止时间15日前</w:t>
            </w:r>
          </w:p>
          <w:p>
            <w:pPr>
              <w:rPr>
                <w:rFonts w:ascii="宋体" w:hAnsi="宋体"/>
                <w:szCs w:val="21"/>
              </w:rPr>
            </w:pPr>
            <w:r>
              <w:rPr>
                <w:rFonts w:hint="eastAsia" w:ascii="宋体" w:hAnsi="宋体"/>
                <w:szCs w:val="21"/>
              </w:rPr>
              <w:t>招标人对招标文件的澄清答疑均采用在湖南省招标投标监管网、益阳公共资源交易监管网网上发布，敬请获得招标文件的所有投标人关注，恕不另行通知，如有遗漏招标人概不负责。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565" w:hRule="atLeast"/>
        </w:trPr>
        <w:tc>
          <w:tcPr>
            <w:tcW w:w="1065" w:type="dxa"/>
            <w:vAlign w:val="center"/>
          </w:tcPr>
          <w:p>
            <w:pPr>
              <w:jc w:val="center"/>
              <w:rPr>
                <w:rFonts w:ascii="宋体" w:hAnsi="宋体"/>
                <w:szCs w:val="21"/>
              </w:rPr>
            </w:pPr>
            <w:r>
              <w:rPr>
                <w:rFonts w:hint="eastAsia" w:ascii="宋体" w:hAnsi="宋体"/>
                <w:szCs w:val="21"/>
              </w:rPr>
              <w:t>1.11</w:t>
            </w:r>
          </w:p>
        </w:tc>
        <w:tc>
          <w:tcPr>
            <w:tcW w:w="1827" w:type="dxa"/>
            <w:gridSpan w:val="2"/>
            <w:vAlign w:val="center"/>
          </w:tcPr>
          <w:p>
            <w:pPr>
              <w:jc w:val="center"/>
              <w:rPr>
                <w:rFonts w:ascii="宋体" w:hAnsi="宋体"/>
                <w:szCs w:val="21"/>
              </w:rPr>
            </w:pPr>
            <w:r>
              <w:rPr>
                <w:rFonts w:hint="eastAsia" w:ascii="宋体" w:hAnsi="宋体"/>
                <w:szCs w:val="21"/>
              </w:rPr>
              <w:t>分  包</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不允许</w:t>
            </w:r>
          </w:p>
          <w:p>
            <w:pPr>
              <w:rPr>
                <w:rFonts w:ascii="宋体" w:hAnsi="宋体"/>
                <w:szCs w:val="21"/>
              </w:rPr>
            </w:pPr>
            <w:r>
              <w:rPr>
                <w:rFonts w:hint="eastAsia" w:ascii="宋体" w:hAnsi="宋体"/>
                <w:szCs w:val="21"/>
              </w:rPr>
              <w:t>□允许，分包内容要求：</w:t>
            </w:r>
          </w:p>
          <w:p>
            <w:pPr>
              <w:rPr>
                <w:rFonts w:ascii="宋体" w:hAnsi="宋体"/>
                <w:szCs w:val="21"/>
              </w:rPr>
            </w:pPr>
            <w:r>
              <w:rPr>
                <w:rFonts w:hint="eastAsia" w:ascii="宋体" w:hAnsi="宋体"/>
                <w:szCs w:val="21"/>
              </w:rPr>
              <w:t xml:space="preserve">        分包金额要求：</w:t>
            </w:r>
          </w:p>
          <w:p>
            <w:pPr>
              <w:rPr>
                <w:rFonts w:ascii="宋体" w:hAnsi="宋体"/>
                <w:szCs w:val="21"/>
              </w:rPr>
            </w:pPr>
            <w:r>
              <w:rPr>
                <w:rFonts w:hint="eastAsia" w:ascii="宋体" w:hAnsi="宋体"/>
                <w:szCs w:val="21"/>
              </w:rPr>
              <w:t xml:space="preserve">        接受分包的第三人资质要求：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065" w:type="dxa"/>
            <w:vAlign w:val="center"/>
          </w:tcPr>
          <w:p>
            <w:pPr>
              <w:jc w:val="center"/>
              <w:rPr>
                <w:rFonts w:ascii="宋体" w:hAnsi="宋体"/>
                <w:szCs w:val="21"/>
              </w:rPr>
            </w:pPr>
            <w:r>
              <w:rPr>
                <w:rFonts w:hint="eastAsia" w:ascii="宋体" w:hAnsi="宋体"/>
                <w:szCs w:val="21"/>
              </w:rPr>
              <w:t>1.12</w:t>
            </w:r>
          </w:p>
        </w:tc>
        <w:tc>
          <w:tcPr>
            <w:tcW w:w="1827" w:type="dxa"/>
            <w:gridSpan w:val="2"/>
            <w:vAlign w:val="center"/>
          </w:tcPr>
          <w:p>
            <w:pPr>
              <w:jc w:val="center"/>
              <w:rPr>
                <w:rFonts w:ascii="宋体" w:hAnsi="宋体"/>
                <w:szCs w:val="21"/>
              </w:rPr>
            </w:pPr>
            <w:r>
              <w:rPr>
                <w:rFonts w:hint="eastAsia" w:ascii="宋体" w:hAnsi="宋体"/>
                <w:szCs w:val="21"/>
              </w:rPr>
              <w:t>偏  离</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不允许</w:t>
            </w:r>
          </w:p>
          <w:p>
            <w:pPr>
              <w:rPr>
                <w:rFonts w:ascii="宋体" w:hAnsi="宋体"/>
                <w:szCs w:val="21"/>
              </w:rPr>
            </w:pPr>
            <w:r>
              <w:rPr>
                <w:rFonts w:hint="eastAsia" w:ascii="宋体" w:hAnsi="宋体"/>
                <w:szCs w:val="21"/>
              </w:rPr>
              <w:t>□允许，可偏离的项目和范围见第七章</w:t>
            </w:r>
          </w:p>
          <w:p>
            <w:pPr>
              <w:rPr>
                <w:rFonts w:ascii="宋体" w:hAnsi="宋体"/>
                <w:szCs w:val="21"/>
              </w:rPr>
            </w:pPr>
            <w:r>
              <w:rPr>
                <w:rFonts w:hint="eastAsia" w:ascii="宋体" w:hAnsi="宋体"/>
                <w:szCs w:val="21"/>
              </w:rPr>
              <w:t xml:space="preserve">       “技术标准和要求”：</w:t>
            </w:r>
          </w:p>
          <w:p>
            <w:pPr>
              <w:rPr>
                <w:rFonts w:ascii="宋体" w:hAnsi="宋体"/>
                <w:szCs w:val="21"/>
              </w:rPr>
            </w:pPr>
            <w:r>
              <w:rPr>
                <w:rFonts w:hint="eastAsia" w:ascii="宋体" w:hAnsi="宋体"/>
                <w:szCs w:val="21"/>
              </w:rPr>
              <w:t xml:space="preserve">        允许偏离最高项数：</w:t>
            </w:r>
          </w:p>
          <w:p>
            <w:pPr>
              <w:rPr>
                <w:rFonts w:ascii="宋体" w:hAnsi="宋体"/>
                <w:szCs w:val="21"/>
              </w:rPr>
            </w:pPr>
            <w:r>
              <w:rPr>
                <w:rFonts w:hint="eastAsia" w:ascii="宋体" w:hAnsi="宋体"/>
                <w:szCs w:val="21"/>
              </w:rPr>
              <w:t xml:space="preserve">        偏差调整方法：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065" w:type="dxa"/>
            <w:vAlign w:val="center"/>
          </w:tcPr>
          <w:p>
            <w:pPr>
              <w:jc w:val="center"/>
              <w:rPr>
                <w:rFonts w:ascii="宋体" w:hAnsi="宋体"/>
                <w:szCs w:val="21"/>
              </w:rPr>
            </w:pPr>
            <w:r>
              <w:rPr>
                <w:rFonts w:hint="eastAsia" w:ascii="宋体" w:hAnsi="宋体"/>
                <w:szCs w:val="21"/>
              </w:rPr>
              <w:t>2.1</w:t>
            </w:r>
          </w:p>
        </w:tc>
        <w:tc>
          <w:tcPr>
            <w:tcW w:w="1827" w:type="dxa"/>
            <w:gridSpan w:val="2"/>
            <w:vAlign w:val="center"/>
          </w:tcPr>
          <w:p>
            <w:pPr>
              <w:jc w:val="center"/>
              <w:rPr>
                <w:rFonts w:ascii="宋体" w:hAnsi="宋体"/>
                <w:szCs w:val="21"/>
              </w:rPr>
            </w:pPr>
            <w:r>
              <w:rPr>
                <w:rFonts w:hint="eastAsia" w:ascii="宋体" w:hAnsi="宋体"/>
                <w:szCs w:val="21"/>
              </w:rPr>
              <w:t>构成招标文件的其他材料</w:t>
            </w:r>
          </w:p>
        </w:tc>
        <w:tc>
          <w:tcPr>
            <w:tcW w:w="6281" w:type="dxa"/>
            <w:vAlign w:val="center"/>
          </w:tcPr>
          <w:p>
            <w:pP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93" w:hRule="atLeast"/>
        </w:trPr>
        <w:tc>
          <w:tcPr>
            <w:tcW w:w="1065" w:type="dxa"/>
            <w:vAlign w:val="center"/>
          </w:tcPr>
          <w:p>
            <w:pPr>
              <w:jc w:val="center"/>
              <w:rPr>
                <w:rFonts w:ascii="宋体" w:hAnsi="宋体"/>
                <w:szCs w:val="21"/>
              </w:rPr>
            </w:pPr>
            <w:r>
              <w:rPr>
                <w:rFonts w:hint="eastAsia" w:ascii="宋体" w:hAnsi="宋体"/>
                <w:szCs w:val="21"/>
              </w:rPr>
              <w:t>2.2.1</w:t>
            </w:r>
          </w:p>
        </w:tc>
        <w:tc>
          <w:tcPr>
            <w:tcW w:w="1827" w:type="dxa"/>
            <w:gridSpan w:val="2"/>
            <w:vAlign w:val="center"/>
          </w:tcPr>
          <w:p>
            <w:pPr>
              <w:rPr>
                <w:rFonts w:ascii="宋体" w:hAnsi="宋体"/>
                <w:szCs w:val="21"/>
              </w:rPr>
            </w:pPr>
            <w:r>
              <w:rPr>
                <w:rFonts w:hint="eastAsia" w:ascii="宋体" w:hAnsi="宋体"/>
                <w:szCs w:val="21"/>
              </w:rPr>
              <w:t>投标人要求澄清招标文件的截止时间和提问方式</w:t>
            </w:r>
          </w:p>
        </w:tc>
        <w:tc>
          <w:tcPr>
            <w:tcW w:w="6281" w:type="dxa"/>
            <w:vAlign w:val="center"/>
          </w:tcPr>
          <w:p>
            <w:pPr>
              <w:rPr>
                <w:rFonts w:ascii="宋体" w:hAnsi="宋体"/>
                <w:szCs w:val="21"/>
              </w:rPr>
            </w:pPr>
            <w:r>
              <w:rPr>
                <w:rFonts w:hint="eastAsia" w:ascii="宋体" w:hAnsi="宋体"/>
                <w:szCs w:val="21"/>
              </w:rPr>
              <w:t>投标人若对招标文件有任何疑问，应于2019年</w:t>
            </w:r>
            <w:r>
              <w:rPr>
                <w:rFonts w:hint="eastAsia" w:ascii="宋体" w:hAnsi="宋体"/>
                <w:szCs w:val="21"/>
                <w:lang w:val="en-US" w:eastAsia="zh-CN"/>
              </w:rPr>
              <w:t>9</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日（含）17：00时（北京时间）前以不署名的形式采用书面方式提出（书面文件发送至代理机构QQ邮箱：</w:t>
            </w:r>
            <w:r>
              <w:rPr>
                <w:rFonts w:hint="eastAsia" w:ascii="宋体" w:hAnsi="宋体"/>
                <w:szCs w:val="21"/>
                <w:lang w:eastAsia="zh-CN"/>
              </w:rPr>
              <w:t>158921169</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065" w:type="dxa"/>
            <w:vAlign w:val="center"/>
          </w:tcPr>
          <w:p>
            <w:pPr>
              <w:jc w:val="center"/>
              <w:rPr>
                <w:rFonts w:ascii="宋体" w:hAnsi="宋体"/>
                <w:szCs w:val="21"/>
              </w:rPr>
            </w:pPr>
            <w:r>
              <w:rPr>
                <w:rFonts w:hint="eastAsia" w:ascii="宋体" w:hAnsi="宋体"/>
                <w:szCs w:val="21"/>
              </w:rPr>
              <w:t>2.2.2</w:t>
            </w:r>
          </w:p>
        </w:tc>
        <w:tc>
          <w:tcPr>
            <w:tcW w:w="1827" w:type="dxa"/>
            <w:gridSpan w:val="2"/>
            <w:vAlign w:val="center"/>
          </w:tcPr>
          <w:p>
            <w:pPr>
              <w:jc w:val="center"/>
              <w:rPr>
                <w:rFonts w:ascii="宋体" w:hAnsi="宋体"/>
                <w:szCs w:val="21"/>
              </w:rPr>
            </w:pPr>
            <w:r>
              <w:rPr>
                <w:rFonts w:hint="eastAsia" w:ascii="宋体" w:hAnsi="宋体"/>
                <w:szCs w:val="21"/>
              </w:rPr>
              <w:t>投标截止时间</w:t>
            </w:r>
          </w:p>
        </w:tc>
        <w:tc>
          <w:tcPr>
            <w:tcW w:w="6281" w:type="dxa"/>
            <w:vAlign w:val="center"/>
          </w:tcPr>
          <w:p>
            <w:pPr>
              <w:rPr>
                <w:rFonts w:ascii="宋体" w:hAnsi="宋体"/>
                <w:szCs w:val="21"/>
              </w:rPr>
            </w:pPr>
            <w:r>
              <w:rPr>
                <w:rFonts w:hint="eastAsia" w:ascii="宋体" w:hAnsi="宋体"/>
                <w:szCs w:val="21"/>
              </w:rPr>
              <w:t>投标截止时间</w:t>
            </w:r>
            <w:r>
              <w:rPr>
                <w:rFonts w:hint="eastAsia" w:ascii="宋体" w:hAnsi="宋体"/>
              </w:rPr>
              <w:t>为：</w:t>
            </w:r>
            <w:r>
              <w:rPr>
                <w:rFonts w:hint="eastAsia" w:ascii="宋体" w:hAnsi="宋体"/>
                <w:szCs w:val="21"/>
                <w:u w:val="single"/>
              </w:rPr>
              <w:t>2019</w:t>
            </w:r>
            <w:r>
              <w:rPr>
                <w:rFonts w:hint="eastAsia" w:ascii="宋体" w:hAnsi="宋体"/>
                <w:szCs w:val="21"/>
              </w:rPr>
              <w:t>年</w:t>
            </w:r>
            <w:r>
              <w:rPr>
                <w:rFonts w:hint="eastAsia" w:ascii="宋体" w:hAnsi="宋体"/>
                <w:szCs w:val="21"/>
                <w:u w:val="single"/>
                <w:lang w:val="en-US" w:eastAsia="zh-CN"/>
              </w:rPr>
              <w:t xml:space="preserve"> 10 </w:t>
            </w:r>
            <w:r>
              <w:rPr>
                <w:rFonts w:hint="eastAsia" w:ascii="宋体" w:hAnsi="宋体"/>
                <w:szCs w:val="21"/>
              </w:rPr>
              <w:t>月</w:t>
            </w:r>
            <w:r>
              <w:rPr>
                <w:rFonts w:hint="eastAsia" w:ascii="宋体" w:hAnsi="宋体"/>
                <w:szCs w:val="21"/>
                <w:u w:val="single"/>
                <w:lang w:val="en-US" w:eastAsia="zh-CN"/>
              </w:rPr>
              <w:t xml:space="preserve"> 9 </w:t>
            </w:r>
            <w:r>
              <w:rPr>
                <w:rFonts w:hint="eastAsia" w:ascii="宋体" w:hAnsi="宋体"/>
                <w:szCs w:val="21"/>
              </w:rPr>
              <w:t>日</w:t>
            </w:r>
            <w:r>
              <w:rPr>
                <w:rFonts w:hint="eastAsia" w:ascii="宋体" w:hAnsi="宋体"/>
                <w:szCs w:val="21"/>
                <w:u w:val="single"/>
              </w:rPr>
              <w:t>9</w:t>
            </w:r>
            <w:r>
              <w:rPr>
                <w:rFonts w:hint="eastAsia" w:ascii="宋体" w:hAnsi="宋体"/>
                <w:szCs w:val="21"/>
              </w:rPr>
              <w:t>时</w:t>
            </w:r>
            <w:r>
              <w:rPr>
                <w:rFonts w:hint="eastAsia" w:ascii="宋体" w:hAnsi="宋体"/>
                <w:szCs w:val="21"/>
                <w:u w:val="single"/>
              </w:rPr>
              <w:t>30</w:t>
            </w:r>
            <w:r>
              <w:rPr>
                <w:rFonts w:hint="eastAsia" w:ascii="宋体" w:hAnsi="宋体"/>
                <w:szCs w:val="21"/>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065" w:type="dxa"/>
            <w:vAlign w:val="center"/>
          </w:tcPr>
          <w:p>
            <w:pPr>
              <w:jc w:val="center"/>
              <w:rPr>
                <w:rFonts w:ascii="宋体" w:hAnsi="宋体"/>
                <w:szCs w:val="21"/>
              </w:rPr>
            </w:pPr>
            <w:r>
              <w:rPr>
                <w:rFonts w:hint="eastAsia" w:ascii="宋体" w:hAnsi="宋体"/>
                <w:szCs w:val="21"/>
              </w:rPr>
              <w:t>2.2.3</w:t>
            </w:r>
          </w:p>
        </w:tc>
        <w:tc>
          <w:tcPr>
            <w:tcW w:w="1827" w:type="dxa"/>
            <w:gridSpan w:val="2"/>
            <w:vAlign w:val="center"/>
          </w:tcPr>
          <w:p>
            <w:pPr>
              <w:jc w:val="center"/>
              <w:rPr>
                <w:rFonts w:ascii="宋体" w:hAnsi="宋体"/>
                <w:szCs w:val="21"/>
              </w:rPr>
            </w:pPr>
            <w:r>
              <w:rPr>
                <w:rFonts w:hint="eastAsia" w:ascii="宋体" w:hAnsi="宋体"/>
                <w:szCs w:val="21"/>
              </w:rPr>
              <w:t>投标人确认收到招标文件澄清的时间</w:t>
            </w:r>
          </w:p>
        </w:tc>
        <w:tc>
          <w:tcPr>
            <w:tcW w:w="6281" w:type="dxa"/>
            <w:vAlign w:val="center"/>
          </w:tcPr>
          <w:p>
            <w:pPr>
              <w:rPr>
                <w:rFonts w:ascii="宋体" w:hAnsi="宋体"/>
                <w:szCs w:val="21"/>
              </w:rPr>
            </w:pPr>
            <w:r>
              <w:rPr>
                <w:rFonts w:hint="eastAsia" w:ascii="宋体" w:hAnsi="宋体"/>
                <w:szCs w:val="21"/>
              </w:rPr>
              <w:t>不需确认，投标单位自行在</w:t>
            </w:r>
            <w:r>
              <w:rPr>
                <w:rFonts w:hint="eastAsia" w:ascii="宋体" w:hAnsi="宋体"/>
                <w:color w:val="000000"/>
                <w:szCs w:val="21"/>
                <w:u w:val="single"/>
              </w:rPr>
              <w:t>湖南省招标投标监管</w:t>
            </w:r>
            <w:r>
              <w:rPr>
                <w:rFonts w:hint="eastAsia" w:ascii="宋体" w:hAnsi="宋体"/>
                <w:szCs w:val="21"/>
              </w:rPr>
              <w:t>网上下载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1065" w:type="dxa"/>
            <w:vAlign w:val="center"/>
          </w:tcPr>
          <w:p>
            <w:pPr>
              <w:jc w:val="center"/>
              <w:rPr>
                <w:rFonts w:ascii="宋体" w:hAnsi="宋体"/>
                <w:szCs w:val="21"/>
              </w:rPr>
            </w:pPr>
            <w:r>
              <w:rPr>
                <w:rFonts w:hint="eastAsia" w:ascii="宋体" w:hAnsi="宋体"/>
                <w:szCs w:val="21"/>
              </w:rPr>
              <w:t>2.3.2</w:t>
            </w:r>
          </w:p>
        </w:tc>
        <w:tc>
          <w:tcPr>
            <w:tcW w:w="1827" w:type="dxa"/>
            <w:gridSpan w:val="2"/>
            <w:vAlign w:val="center"/>
          </w:tcPr>
          <w:p>
            <w:pPr>
              <w:jc w:val="center"/>
              <w:rPr>
                <w:rFonts w:ascii="宋体" w:hAnsi="宋体"/>
                <w:szCs w:val="21"/>
              </w:rPr>
            </w:pPr>
            <w:r>
              <w:rPr>
                <w:rFonts w:hint="eastAsia" w:ascii="宋体" w:hAnsi="宋体"/>
                <w:bCs/>
                <w:szCs w:val="21"/>
              </w:rPr>
              <w:t>投标人确认收到招标文件修改的时间</w:t>
            </w:r>
          </w:p>
        </w:tc>
        <w:tc>
          <w:tcPr>
            <w:tcW w:w="6281" w:type="dxa"/>
            <w:vAlign w:val="center"/>
          </w:tcPr>
          <w:p>
            <w:pPr>
              <w:rPr>
                <w:rFonts w:ascii="宋体" w:hAnsi="宋体"/>
                <w:szCs w:val="21"/>
                <w:u w:val="single"/>
              </w:rPr>
            </w:pPr>
            <w:r>
              <w:rPr>
                <w:rFonts w:hint="eastAsia" w:ascii="宋体" w:hAnsi="宋体"/>
                <w:szCs w:val="21"/>
              </w:rPr>
              <w:t>不需确认，投标单位自行在</w:t>
            </w:r>
            <w:r>
              <w:rPr>
                <w:rFonts w:hint="eastAsia" w:ascii="宋体" w:hAnsi="宋体"/>
                <w:color w:val="000000"/>
                <w:szCs w:val="21"/>
                <w:u w:val="single"/>
              </w:rPr>
              <w:t>湖南省招标投标监管网</w:t>
            </w:r>
            <w:r>
              <w:rPr>
                <w:rFonts w:hint="eastAsia" w:ascii="宋体" w:hAnsi="宋体"/>
                <w:szCs w:val="21"/>
              </w:rPr>
              <w:t>上下载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57" w:hRule="atLeast"/>
        </w:trPr>
        <w:tc>
          <w:tcPr>
            <w:tcW w:w="1065" w:type="dxa"/>
            <w:vAlign w:val="center"/>
          </w:tcPr>
          <w:p>
            <w:pPr>
              <w:jc w:val="center"/>
              <w:rPr>
                <w:rFonts w:ascii="宋体" w:hAnsi="宋体"/>
                <w:szCs w:val="21"/>
              </w:rPr>
            </w:pPr>
            <w:r>
              <w:rPr>
                <w:rFonts w:hint="eastAsia" w:ascii="宋体" w:hAnsi="宋体"/>
                <w:szCs w:val="21"/>
              </w:rPr>
              <w:t>3.1.1</w:t>
            </w:r>
          </w:p>
        </w:tc>
        <w:tc>
          <w:tcPr>
            <w:tcW w:w="1827" w:type="dxa"/>
            <w:gridSpan w:val="2"/>
            <w:vAlign w:val="center"/>
          </w:tcPr>
          <w:p>
            <w:pPr>
              <w:jc w:val="center"/>
              <w:rPr>
                <w:rFonts w:ascii="宋体" w:hAnsi="宋体"/>
                <w:szCs w:val="21"/>
              </w:rPr>
            </w:pPr>
            <w:r>
              <w:rPr>
                <w:rFonts w:hint="eastAsia" w:ascii="宋体" w:hAnsi="宋体"/>
                <w:szCs w:val="21"/>
              </w:rPr>
              <w:t>构成投标文件的其他材料</w:t>
            </w:r>
          </w:p>
        </w:tc>
        <w:tc>
          <w:tcPr>
            <w:tcW w:w="6281" w:type="dxa"/>
            <w:vAlign w:val="center"/>
          </w:tcPr>
          <w:p>
            <w:pPr>
              <w:snapToGrid w:val="0"/>
              <w:rPr>
                <w:rFonts w:ascii="宋体" w:hAnsi="宋体"/>
                <w:szCs w:val="21"/>
              </w:rPr>
            </w:pPr>
            <w:r>
              <w:rPr>
                <w:rFonts w:hint="eastAsia" w:ascii="宋体" w:hAnsi="宋体"/>
                <w:szCs w:val="21"/>
              </w:rPr>
              <w:t>（1）营业执照副本；</w:t>
            </w:r>
          </w:p>
          <w:p>
            <w:pPr>
              <w:snapToGrid w:val="0"/>
              <w:rPr>
                <w:rFonts w:ascii="宋体" w:hAnsi="宋体"/>
                <w:b/>
                <w:szCs w:val="21"/>
              </w:rPr>
            </w:pPr>
            <w:r>
              <w:rPr>
                <w:rFonts w:hint="eastAsia" w:ascii="宋体" w:hAnsi="宋体"/>
                <w:szCs w:val="21"/>
              </w:rPr>
              <w:t>（2）</w:t>
            </w:r>
            <w:r>
              <w:rPr>
                <w:rFonts w:hint="eastAsia" w:ascii="宋体" w:hAnsi="宋体"/>
                <w:b/>
                <w:szCs w:val="21"/>
              </w:rPr>
              <w:t>资质等级证书副本（企业资质等级证书可提供加盖单位公章的复印件）；</w:t>
            </w:r>
          </w:p>
          <w:p>
            <w:pPr>
              <w:snapToGrid w:val="0"/>
              <w:rPr>
                <w:rFonts w:ascii="宋体" w:hAnsi="宋体"/>
                <w:szCs w:val="21"/>
              </w:rPr>
            </w:pPr>
            <w:r>
              <w:rPr>
                <w:rFonts w:hint="eastAsia" w:ascii="宋体" w:hAnsi="宋体"/>
                <w:szCs w:val="21"/>
              </w:rPr>
              <w:t>（3）企业安全生产许可证副本；</w:t>
            </w:r>
          </w:p>
          <w:p>
            <w:pPr>
              <w:snapToGrid w:val="0"/>
              <w:rPr>
                <w:rFonts w:ascii="宋体" w:hAnsi="宋体"/>
                <w:szCs w:val="21"/>
              </w:rPr>
            </w:pPr>
            <w:r>
              <w:rPr>
                <w:rFonts w:hint="eastAsia" w:ascii="宋体" w:hAnsi="宋体"/>
                <w:szCs w:val="21"/>
              </w:rPr>
              <w:t>（4）入湘施工登记证（仅省外企业提供）；</w:t>
            </w:r>
          </w:p>
          <w:p>
            <w:pPr>
              <w:snapToGrid w:val="0"/>
              <w:rPr>
                <w:rFonts w:ascii="宋体" w:hAnsi="宋体"/>
                <w:szCs w:val="21"/>
              </w:rPr>
            </w:pPr>
            <w:r>
              <w:rPr>
                <w:rFonts w:hint="eastAsia" w:ascii="宋体" w:hAnsi="宋体"/>
                <w:szCs w:val="21"/>
              </w:rPr>
              <w:t>（5）建造师注册证书、B类安全生产考核合格证书；</w:t>
            </w:r>
          </w:p>
          <w:p>
            <w:pPr>
              <w:snapToGrid w:val="0"/>
              <w:rPr>
                <w:rFonts w:ascii="宋体" w:hAnsi="宋体"/>
                <w:szCs w:val="21"/>
              </w:rPr>
            </w:pPr>
            <w:r>
              <w:rPr>
                <w:rFonts w:hint="eastAsia" w:ascii="宋体" w:hAnsi="宋体"/>
                <w:szCs w:val="21"/>
              </w:rPr>
              <w:t>（6）技术负责人职称证书；</w:t>
            </w:r>
          </w:p>
          <w:p>
            <w:pPr>
              <w:widowControl/>
              <w:jc w:val="left"/>
              <w:rPr>
                <w:rFonts w:ascii="宋体" w:hAnsi="宋体"/>
                <w:szCs w:val="21"/>
              </w:rPr>
            </w:pPr>
            <w:r>
              <w:rPr>
                <w:rFonts w:hint="eastAsia" w:ascii="宋体" w:hAnsi="宋体"/>
                <w:szCs w:val="21"/>
              </w:rPr>
              <w:t>（7）施工员、安全员、质量员岗位资格证书；安全员安全考核合格证书C证；</w:t>
            </w:r>
          </w:p>
          <w:p>
            <w:pPr>
              <w:rPr>
                <w:rFonts w:ascii="宋体" w:hAnsi="宋体"/>
                <w:szCs w:val="21"/>
              </w:rPr>
            </w:pPr>
            <w:r>
              <w:rPr>
                <w:rFonts w:hint="eastAsia" w:ascii="宋体" w:hAnsi="宋体"/>
                <w:szCs w:val="21"/>
              </w:rPr>
              <w:t>（8）省外企业关键岗位人员如持有外省住房和城乡建设主管部门颁发的岗位资格证书，提供其证书真伪查询官方网站网址，或提供由省级住房和城乡建设主管部门出具的证书真实性证明。省外企业由企业所在地地（市）级及以上建设行政主管部门提供施工项目部关键岗位人员无在建工程证明；</w:t>
            </w:r>
          </w:p>
          <w:p>
            <w:pPr>
              <w:rPr>
                <w:rFonts w:ascii="宋体" w:hAnsi="宋体"/>
                <w:szCs w:val="21"/>
              </w:rPr>
            </w:pPr>
            <w:r>
              <w:rPr>
                <w:rFonts w:hint="eastAsia" w:ascii="宋体" w:hAnsi="宋体"/>
                <w:szCs w:val="21"/>
              </w:rPr>
              <w:t>（9）企业基本户开户许可证；</w:t>
            </w:r>
          </w:p>
          <w:p>
            <w:pPr>
              <w:rPr>
                <w:rFonts w:ascii="宋体" w:hAnsi="宋体"/>
                <w:szCs w:val="21"/>
              </w:rPr>
            </w:pPr>
            <w:r>
              <w:rPr>
                <w:rFonts w:hint="eastAsia" w:ascii="宋体" w:hAnsi="宋体"/>
                <w:szCs w:val="21"/>
              </w:rPr>
              <w:t>（10）投标截止时间前近 3个月（2019年</w:t>
            </w:r>
            <w:r>
              <w:rPr>
                <w:rFonts w:hint="eastAsia" w:ascii="宋体" w:hAnsi="宋体"/>
                <w:szCs w:val="21"/>
                <w:lang w:val="en-US" w:eastAsia="zh-CN"/>
              </w:rPr>
              <w:t>7</w:t>
            </w:r>
            <w:r>
              <w:rPr>
                <w:rFonts w:hint="eastAsia" w:ascii="宋体" w:hAnsi="宋体"/>
                <w:szCs w:val="21"/>
              </w:rPr>
              <w:t>月-2019年</w:t>
            </w:r>
            <w:r>
              <w:rPr>
                <w:rFonts w:hint="eastAsia" w:ascii="宋体" w:hAnsi="宋体"/>
                <w:szCs w:val="21"/>
                <w:lang w:val="en-US" w:eastAsia="zh-CN"/>
              </w:rPr>
              <w:t>9</w:t>
            </w:r>
            <w:r>
              <w:rPr>
                <w:rFonts w:hint="eastAsia" w:ascii="宋体" w:hAnsi="宋体"/>
                <w:szCs w:val="21"/>
              </w:rPr>
              <w:t>月）劳动保障部门出具的社保证明。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trPr>
        <w:tc>
          <w:tcPr>
            <w:tcW w:w="1065" w:type="dxa"/>
            <w:vAlign w:val="center"/>
          </w:tcPr>
          <w:p>
            <w:pPr>
              <w:jc w:val="center"/>
              <w:rPr>
                <w:rFonts w:ascii="宋体" w:hAnsi="宋体"/>
                <w:szCs w:val="21"/>
              </w:rPr>
            </w:pPr>
            <w:r>
              <w:rPr>
                <w:rFonts w:hint="eastAsia" w:ascii="宋体" w:hAnsi="宋体"/>
                <w:szCs w:val="21"/>
              </w:rPr>
              <w:t>3.3.1</w:t>
            </w:r>
          </w:p>
        </w:tc>
        <w:tc>
          <w:tcPr>
            <w:tcW w:w="1827" w:type="dxa"/>
            <w:gridSpan w:val="2"/>
            <w:vAlign w:val="center"/>
          </w:tcPr>
          <w:p>
            <w:pPr>
              <w:jc w:val="center"/>
              <w:rPr>
                <w:rFonts w:ascii="宋体" w:hAnsi="宋体"/>
                <w:szCs w:val="21"/>
              </w:rPr>
            </w:pPr>
            <w:r>
              <w:rPr>
                <w:rFonts w:hint="eastAsia" w:ascii="宋体" w:hAnsi="宋体"/>
                <w:szCs w:val="21"/>
              </w:rPr>
              <w:t>投标有效期</w:t>
            </w:r>
          </w:p>
        </w:tc>
        <w:tc>
          <w:tcPr>
            <w:tcW w:w="6281" w:type="dxa"/>
            <w:vAlign w:val="center"/>
          </w:tcPr>
          <w:p>
            <w:pPr>
              <w:rPr>
                <w:rFonts w:ascii="宋体" w:hAnsi="宋体"/>
                <w:szCs w:val="21"/>
              </w:rPr>
            </w:pPr>
            <w:r>
              <w:rPr>
                <w:rFonts w:hint="eastAsia" w:ascii="宋体" w:hAnsi="宋体"/>
                <w:szCs w:val="21"/>
                <w:u w:val="single"/>
              </w:rPr>
              <w:t>90</w:t>
            </w:r>
            <w:r>
              <w:rPr>
                <w:rFonts w:hint="eastAsia" w:ascii="宋体" w:hAnsi="宋体"/>
                <w:szCs w:val="21"/>
              </w:rPr>
              <w:t>天，从投标截止时间算起。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14" w:hRule="atLeast"/>
        </w:trPr>
        <w:tc>
          <w:tcPr>
            <w:tcW w:w="1065" w:type="dxa"/>
            <w:vAlign w:val="center"/>
          </w:tcPr>
          <w:p>
            <w:pPr>
              <w:jc w:val="center"/>
              <w:rPr>
                <w:rFonts w:ascii="宋体" w:hAnsi="宋体"/>
                <w:szCs w:val="21"/>
              </w:rPr>
            </w:pPr>
            <w:r>
              <w:rPr>
                <w:rFonts w:hint="eastAsia" w:ascii="宋体" w:hAnsi="宋体"/>
                <w:szCs w:val="21"/>
              </w:rPr>
              <w:t>3.4.1</w:t>
            </w:r>
          </w:p>
        </w:tc>
        <w:tc>
          <w:tcPr>
            <w:tcW w:w="1827" w:type="dxa"/>
            <w:gridSpan w:val="2"/>
            <w:vAlign w:val="center"/>
          </w:tcPr>
          <w:p>
            <w:pPr>
              <w:jc w:val="center"/>
              <w:rPr>
                <w:rFonts w:ascii="宋体" w:hAnsi="宋体"/>
                <w:szCs w:val="21"/>
              </w:rPr>
            </w:pPr>
            <w:r>
              <w:rPr>
                <w:rFonts w:hint="eastAsia" w:ascii="宋体" w:hAnsi="宋体"/>
                <w:szCs w:val="21"/>
              </w:rPr>
              <w:t>投标保证金</w:t>
            </w:r>
          </w:p>
        </w:tc>
        <w:tc>
          <w:tcPr>
            <w:tcW w:w="6281" w:type="dxa"/>
            <w:vAlign w:val="center"/>
          </w:tcPr>
          <w:p>
            <w:pPr>
              <w:rPr>
                <w:rFonts w:ascii="宋体" w:hAnsi="宋体"/>
                <w:b/>
                <w:bCs/>
                <w:szCs w:val="21"/>
              </w:rPr>
            </w:pPr>
            <w:r>
              <w:rPr>
                <w:rFonts w:hint="eastAsia" w:ascii="宋体" w:hAnsi="宋体"/>
                <w:b/>
                <w:bCs/>
                <w:szCs w:val="21"/>
              </w:rPr>
              <w:t>投标保证金的金额（人民币）：</w:t>
            </w:r>
            <w:r>
              <w:rPr>
                <w:rFonts w:hint="eastAsia" w:ascii="宋体" w:hAnsi="宋体"/>
                <w:b/>
                <w:bCs/>
                <w:szCs w:val="21"/>
                <w:lang w:eastAsia="zh-CN"/>
              </w:rPr>
              <w:t>肆</w:t>
            </w:r>
            <w:r>
              <w:rPr>
                <w:rFonts w:hint="eastAsia" w:ascii="宋体" w:hAnsi="宋体"/>
                <w:b/>
                <w:bCs/>
                <w:szCs w:val="21"/>
              </w:rPr>
              <w:t>万元整（¥</w:t>
            </w:r>
            <w:r>
              <w:rPr>
                <w:rFonts w:hint="eastAsia" w:ascii="宋体" w:hAnsi="宋体"/>
                <w:b/>
                <w:bCs/>
                <w:szCs w:val="21"/>
                <w:lang w:val="en-US" w:eastAsia="zh-CN"/>
              </w:rPr>
              <w:t>4</w:t>
            </w:r>
            <w:r>
              <w:rPr>
                <w:rFonts w:ascii="宋体" w:hAnsi="宋体"/>
                <w:b/>
                <w:bCs/>
                <w:szCs w:val="21"/>
              </w:rPr>
              <w:t>0000元），由投标人基本账户转入投标保证金的托管账户。</w:t>
            </w:r>
            <w:r>
              <w:rPr>
                <w:rFonts w:ascii="宋体" w:hAnsi="宋体"/>
                <w:b/>
                <w:bCs/>
                <w:szCs w:val="21"/>
              </w:rPr>
              <w:br w:type="textWrapping"/>
            </w:r>
            <w:r>
              <w:rPr>
                <w:rFonts w:hint="eastAsia" w:ascii="宋体" w:hAnsi="宋体"/>
                <w:b/>
                <w:bCs/>
                <w:szCs w:val="21"/>
              </w:rPr>
              <w:t>交纳方式：银行转账、银行电汇、银行汇票或网银转账，从投标人基本账户一次性足额转入到投标保证金托管专户管理，以现金方式提交的投标保证金无效。</w:t>
            </w:r>
            <w:r>
              <w:rPr>
                <w:rFonts w:ascii="宋体" w:hAnsi="宋体"/>
                <w:b/>
                <w:bCs/>
                <w:szCs w:val="21"/>
              </w:rPr>
              <w:br w:type="textWrapping"/>
            </w:r>
            <w:r>
              <w:rPr>
                <w:rFonts w:hint="eastAsia"/>
                <w:b/>
                <w:bCs/>
                <w:szCs w:val="21"/>
              </w:rPr>
              <w:t>投标保证金账户获取方式：投标人应按照《公共资源交易保证金电子化管理操作指南》自行在益阳公共资源中心网站注册(网址:</w:t>
            </w:r>
            <w:r>
              <w:fldChar w:fldCharType="begin"/>
            </w:r>
            <w:r>
              <w:instrText xml:space="preserve"> HYPERLINK </w:instrText>
            </w:r>
            <w:r>
              <w:fldChar w:fldCharType="separate"/>
            </w:r>
            <w:r>
              <w:rPr>
                <w:rFonts w:hint="eastAsia"/>
                <w:b/>
                <w:bCs/>
                <w:szCs w:val="21"/>
              </w:rPr>
              <w:t>http://jyzx.yiyang.gov.cn)，使用已注册的账号登录交易业务管理系统进行报名并获取对应项目（标段）投标保证金子账号。在提交投标保证金时，应按照所获取的信息正确填写保证金子账号，不得填写项目及标段名称。已缴纳保证金的用户，可在系统内对应项目（标段）下点击“查询”按钮，查询是否缴纳成功。（缴纳保证金的银行账户户名、账号须与系统注册用户的户名、账号保持一致，否则无法查询）</w:t>
            </w:r>
            <w:r>
              <w:rPr>
                <w:rFonts w:hint="eastAsia"/>
                <w:b/>
                <w:bCs/>
                <w:szCs w:val="21"/>
              </w:rPr>
              <w:fldChar w:fldCharType="end"/>
            </w:r>
            <w:r>
              <w:rPr>
                <w:rFonts w:ascii="宋体" w:hAnsi="宋体"/>
                <w:b/>
                <w:bCs/>
                <w:szCs w:val="21"/>
              </w:rPr>
              <w:br w:type="textWrapping"/>
            </w:r>
            <w:r>
              <w:rPr>
                <w:rFonts w:hint="eastAsia" w:ascii="宋体" w:hAnsi="宋体"/>
                <w:b/>
                <w:bCs/>
                <w:szCs w:val="21"/>
              </w:rPr>
              <w:t>投标保证金的交纳截止时间为</w:t>
            </w:r>
            <w:r>
              <w:rPr>
                <w:rFonts w:ascii="宋体" w:hAnsi="宋体"/>
                <w:b/>
                <w:bCs/>
                <w:szCs w:val="21"/>
              </w:rPr>
              <w:t>201</w:t>
            </w:r>
            <w:r>
              <w:rPr>
                <w:rFonts w:hint="eastAsia" w:ascii="宋体" w:hAnsi="宋体"/>
                <w:b/>
                <w:bCs/>
                <w:szCs w:val="21"/>
              </w:rPr>
              <w:t>9</w:t>
            </w:r>
            <w:r>
              <w:rPr>
                <w:rFonts w:ascii="宋体" w:hAnsi="宋体"/>
                <w:b/>
                <w:bCs/>
                <w:szCs w:val="21"/>
              </w:rPr>
              <w:t>年</w:t>
            </w:r>
            <w:r>
              <w:rPr>
                <w:rFonts w:hint="eastAsia" w:ascii="宋体" w:hAnsi="宋体"/>
                <w:b/>
                <w:bCs/>
                <w:szCs w:val="21"/>
                <w:lang w:val="en-US" w:eastAsia="zh-CN"/>
              </w:rPr>
              <w:t>10</w:t>
            </w:r>
            <w:r>
              <w:rPr>
                <w:rFonts w:ascii="宋体" w:hAnsi="宋体"/>
                <w:b/>
                <w:bCs/>
                <w:szCs w:val="21"/>
              </w:rPr>
              <w:t>月</w:t>
            </w:r>
            <w:r>
              <w:rPr>
                <w:rFonts w:hint="eastAsia" w:ascii="宋体" w:hAnsi="宋体"/>
                <w:b/>
                <w:bCs/>
                <w:szCs w:val="21"/>
                <w:lang w:val="en-US" w:eastAsia="zh-CN"/>
              </w:rPr>
              <w:t xml:space="preserve"> 9 </w:t>
            </w:r>
            <w:r>
              <w:rPr>
                <w:rFonts w:ascii="宋体" w:hAnsi="宋体"/>
                <w:b/>
                <w:bCs/>
                <w:szCs w:val="21"/>
              </w:rPr>
              <w:t>日</w:t>
            </w:r>
            <w:r>
              <w:rPr>
                <w:rFonts w:hint="eastAsia" w:ascii="宋体" w:hAnsi="宋体"/>
                <w:b/>
                <w:bCs/>
                <w:szCs w:val="21"/>
              </w:rPr>
              <w:t>9</w:t>
            </w:r>
            <w:r>
              <w:rPr>
                <w:rFonts w:ascii="宋体" w:hAnsi="宋体"/>
                <w:b/>
                <w:bCs/>
                <w:szCs w:val="21"/>
              </w:rPr>
              <w:t>:</w:t>
            </w:r>
            <w:r>
              <w:rPr>
                <w:rFonts w:hint="eastAsia" w:ascii="宋体" w:hAnsi="宋体"/>
                <w:b/>
                <w:bCs/>
                <w:szCs w:val="21"/>
              </w:rPr>
              <w:t>3</w:t>
            </w:r>
            <w:r>
              <w:rPr>
                <w:rFonts w:ascii="宋体" w:hAnsi="宋体"/>
                <w:b/>
                <w:bCs/>
                <w:szCs w:val="21"/>
              </w:rPr>
              <w:t>0时（北京时间）前到账，以银行到账为准，开标时现场查验。</w:t>
            </w:r>
          </w:p>
          <w:p>
            <w:pPr>
              <w:rPr>
                <w:rFonts w:ascii="宋体" w:hAnsi="宋体"/>
                <w:szCs w:val="21"/>
              </w:rPr>
            </w:pPr>
            <w:r>
              <w:rPr>
                <w:rFonts w:hint="eastAsia" w:ascii="宋体" w:hAnsi="宋体"/>
                <w:b/>
                <w:bCs/>
                <w:szCs w:val="21"/>
              </w:rPr>
              <w:t>对于未按规定要求提交投标保证金的，招标人将视为不响应招标而予以拒绝。</w:t>
            </w:r>
            <w:r>
              <w:rPr>
                <w:rFonts w:ascii="宋体" w:hAnsi="宋体"/>
                <w:b/>
                <w:bCs/>
                <w:szCs w:val="21"/>
              </w:rPr>
              <w:br w:type="textWrapping"/>
            </w:r>
            <w:r>
              <w:rPr>
                <w:rFonts w:hint="eastAsia" w:ascii="宋体" w:hAnsi="宋体"/>
                <w:b/>
                <w:bCs/>
                <w:szCs w:val="21"/>
              </w:rPr>
              <w:t>项目出现招标失败（流标或废标）情况的，投标保证金将即时退还至原交纳账户。重新组织招标时，投标人应当重新获取投标保证金账号，并按新账号交纳投标保证金。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489" w:hRule="atLeast"/>
        </w:trPr>
        <w:tc>
          <w:tcPr>
            <w:tcW w:w="1065" w:type="dxa"/>
            <w:vAlign w:val="center"/>
          </w:tcPr>
          <w:p>
            <w:pPr>
              <w:spacing w:line="288" w:lineRule="auto"/>
              <w:jc w:val="center"/>
              <w:rPr>
                <w:rFonts w:ascii="宋体" w:hAnsi="宋体"/>
                <w:szCs w:val="21"/>
              </w:rPr>
            </w:pPr>
            <w:r>
              <w:rPr>
                <w:rFonts w:hint="eastAsia" w:ascii="宋体" w:hAnsi="宋体"/>
                <w:szCs w:val="21"/>
              </w:rPr>
              <w:t>3.5.2</w:t>
            </w:r>
          </w:p>
        </w:tc>
        <w:tc>
          <w:tcPr>
            <w:tcW w:w="1827" w:type="dxa"/>
            <w:gridSpan w:val="2"/>
            <w:vAlign w:val="center"/>
          </w:tcPr>
          <w:p>
            <w:pPr>
              <w:spacing w:line="288" w:lineRule="auto"/>
              <w:jc w:val="center"/>
              <w:rPr>
                <w:rFonts w:ascii="宋体" w:hAnsi="宋体"/>
                <w:szCs w:val="21"/>
              </w:rPr>
            </w:pPr>
            <w:r>
              <w:rPr>
                <w:rFonts w:hint="eastAsia" w:ascii="宋体" w:hAnsi="宋体"/>
                <w:szCs w:val="21"/>
              </w:rPr>
              <w:t>近年财务状况的年份要求</w:t>
            </w:r>
          </w:p>
        </w:tc>
        <w:tc>
          <w:tcPr>
            <w:tcW w:w="6281" w:type="dxa"/>
            <w:vAlign w:val="center"/>
          </w:tcPr>
          <w:p>
            <w:pPr>
              <w:spacing w:line="288" w:lineRule="auto"/>
              <w:rPr>
                <w:rFonts w:ascii="宋体" w:hAnsi="宋体"/>
                <w:szCs w:val="21"/>
                <w:u w:val="single"/>
              </w:rPr>
            </w:pPr>
            <w:r>
              <w:rPr>
                <w:rFonts w:hint="eastAsia" w:ascii="宋体" w:hAnsi="宋体"/>
                <w:szCs w:val="21"/>
              </w:rPr>
              <w:t>以投标人上一年度经会计事务所认定的资产负债表、损益表和审计报告提供的情况为准；从每年的1月1日至4月30日，如投标人无法提供上一年度上述资料，则可以再上一年度的上述资料为准，否则相应评审项目不予计分；从每年的5月1日开始至12月31日，投标人应当提供上一年度上述资料，否则相应评审项目不予计分；如投标人能够提供上一年度的上述资料而没有提供，且造成评审计分有利于该投标人，应当按弄虚作假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065" w:type="dxa"/>
            <w:vAlign w:val="center"/>
          </w:tcPr>
          <w:p>
            <w:pPr>
              <w:spacing w:line="288" w:lineRule="auto"/>
              <w:jc w:val="center"/>
              <w:rPr>
                <w:rFonts w:ascii="宋体" w:hAnsi="宋体"/>
                <w:szCs w:val="21"/>
              </w:rPr>
            </w:pPr>
            <w:r>
              <w:rPr>
                <w:rFonts w:hint="eastAsia" w:ascii="宋体" w:hAnsi="宋体"/>
                <w:szCs w:val="21"/>
              </w:rPr>
              <w:t>3.5.3</w:t>
            </w:r>
          </w:p>
        </w:tc>
        <w:tc>
          <w:tcPr>
            <w:tcW w:w="1827" w:type="dxa"/>
            <w:gridSpan w:val="2"/>
            <w:vAlign w:val="center"/>
          </w:tcPr>
          <w:p>
            <w:pPr>
              <w:spacing w:line="288" w:lineRule="auto"/>
              <w:jc w:val="center"/>
              <w:rPr>
                <w:rFonts w:ascii="宋体" w:hAnsi="宋体"/>
                <w:szCs w:val="21"/>
              </w:rPr>
            </w:pPr>
            <w:r>
              <w:rPr>
                <w:rFonts w:hint="eastAsia" w:ascii="宋体" w:hAnsi="宋体"/>
                <w:szCs w:val="21"/>
              </w:rPr>
              <w:t>近年完成的类似项目的年份要求</w:t>
            </w:r>
          </w:p>
        </w:tc>
        <w:tc>
          <w:tcPr>
            <w:tcW w:w="6281" w:type="dxa"/>
            <w:vAlign w:val="center"/>
          </w:tcPr>
          <w:p>
            <w:pPr>
              <w:spacing w:line="288" w:lineRule="auto"/>
              <w:rPr>
                <w:rFonts w:ascii="宋体" w:hAnsi="宋体"/>
                <w:szCs w:val="21"/>
                <w:u w:val="single"/>
              </w:rPr>
            </w:pPr>
            <w:r>
              <w:rPr>
                <w:rFonts w:hint="eastAsia" w:ascii="宋体" w:hAnsi="宋体"/>
                <w:szCs w:val="21"/>
                <w:u w:val="single"/>
              </w:rPr>
              <w:t>3</w:t>
            </w:r>
            <w:r>
              <w:rPr>
                <w:rFonts w:hint="eastAsia" w:ascii="宋体" w:hAnsi="宋体"/>
                <w:szCs w:val="21"/>
              </w:rPr>
              <w:t>年</w:t>
            </w:r>
            <w:r>
              <w:rPr>
                <w:rFonts w:hint="eastAsia" w:ascii="宋体" w:hAnsi="宋体"/>
              </w:rPr>
              <w:t>：</w:t>
            </w:r>
            <w:bookmarkStart w:id="23" w:name="OLE_LINK29"/>
            <w:bookmarkStart w:id="24" w:name="OLE_LINK32"/>
            <w:r>
              <w:rPr>
                <w:rFonts w:hint="eastAsia" w:ascii="宋体" w:hAnsi="宋体"/>
                <w:szCs w:val="21"/>
              </w:rPr>
              <w:t>（指</w:t>
            </w:r>
            <w:r>
              <w:rPr>
                <w:rFonts w:hint="eastAsia" w:ascii="宋体" w:hAnsi="宋体"/>
                <w:szCs w:val="21"/>
                <w:u w:val="single"/>
              </w:rPr>
              <w:t xml:space="preserve"> 2016</w:t>
            </w:r>
            <w:r>
              <w:rPr>
                <w:rFonts w:hint="eastAsia" w:ascii="宋体" w:hAnsi="宋体"/>
                <w:szCs w:val="21"/>
              </w:rPr>
              <w:t>年</w:t>
            </w:r>
            <w:r>
              <w:rPr>
                <w:rFonts w:hint="eastAsia" w:ascii="宋体" w:hAnsi="宋体"/>
                <w:szCs w:val="21"/>
                <w:u w:val="single"/>
                <w:lang w:val="en-US" w:eastAsia="zh-CN"/>
              </w:rPr>
              <w:t>9</w:t>
            </w:r>
            <w:r>
              <w:rPr>
                <w:rFonts w:hint="eastAsia" w:ascii="宋体" w:hAnsi="宋体"/>
                <w:szCs w:val="21"/>
              </w:rPr>
              <w:t>月</w:t>
            </w:r>
            <w:r>
              <w:rPr>
                <w:rFonts w:hint="eastAsia" w:ascii="宋体" w:hAnsi="宋体"/>
                <w:szCs w:val="21"/>
                <w:u w:val="single"/>
              </w:rPr>
              <w:t>29</w:t>
            </w:r>
            <w:r>
              <w:rPr>
                <w:rFonts w:hint="eastAsia" w:ascii="宋体" w:hAnsi="宋体"/>
                <w:szCs w:val="21"/>
              </w:rPr>
              <w:t>日起至</w:t>
            </w:r>
            <w:r>
              <w:rPr>
                <w:rFonts w:hint="eastAsia" w:ascii="宋体" w:hAnsi="宋体"/>
                <w:szCs w:val="21"/>
                <w:u w:val="single"/>
              </w:rPr>
              <w:t xml:space="preserve"> 2019</w:t>
            </w:r>
            <w:r>
              <w:rPr>
                <w:rFonts w:hint="eastAsia" w:ascii="宋体" w:hAnsi="宋体"/>
                <w:szCs w:val="21"/>
              </w:rPr>
              <w:t>年</w:t>
            </w:r>
            <w:r>
              <w:rPr>
                <w:rFonts w:hint="eastAsia" w:ascii="宋体" w:hAnsi="宋体"/>
                <w:szCs w:val="21"/>
                <w:u w:val="single"/>
                <w:lang w:val="en-US" w:eastAsia="zh-CN"/>
              </w:rPr>
              <w:t>9</w:t>
            </w:r>
            <w:r>
              <w:rPr>
                <w:rFonts w:hint="eastAsia" w:ascii="宋体" w:hAnsi="宋体"/>
                <w:szCs w:val="21"/>
              </w:rPr>
              <w:t>月</w:t>
            </w:r>
            <w:r>
              <w:rPr>
                <w:rFonts w:hint="eastAsia" w:ascii="宋体" w:hAnsi="宋体"/>
                <w:szCs w:val="21"/>
                <w:u w:val="single"/>
              </w:rPr>
              <w:t>28</w:t>
            </w:r>
            <w:r>
              <w:rPr>
                <w:rFonts w:hint="eastAsia" w:ascii="宋体" w:hAnsi="宋体"/>
                <w:szCs w:val="21"/>
              </w:rPr>
              <w:t>日止）</w:t>
            </w:r>
            <w:bookmarkEnd w:id="23"/>
            <w:bookmarkEnd w:id="2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1065" w:type="dxa"/>
            <w:vAlign w:val="center"/>
          </w:tcPr>
          <w:p>
            <w:pPr>
              <w:spacing w:line="288" w:lineRule="auto"/>
              <w:jc w:val="center"/>
              <w:rPr>
                <w:rFonts w:ascii="宋体" w:hAnsi="宋体"/>
                <w:szCs w:val="21"/>
              </w:rPr>
            </w:pPr>
            <w:r>
              <w:rPr>
                <w:rFonts w:hint="eastAsia" w:ascii="宋体" w:hAnsi="宋体"/>
                <w:szCs w:val="21"/>
              </w:rPr>
              <w:t>3.5.5</w:t>
            </w:r>
          </w:p>
        </w:tc>
        <w:tc>
          <w:tcPr>
            <w:tcW w:w="1827" w:type="dxa"/>
            <w:gridSpan w:val="2"/>
            <w:vAlign w:val="center"/>
          </w:tcPr>
          <w:p>
            <w:pPr>
              <w:spacing w:line="288" w:lineRule="auto"/>
              <w:jc w:val="center"/>
              <w:rPr>
                <w:rFonts w:ascii="宋体" w:hAnsi="宋体"/>
                <w:szCs w:val="21"/>
              </w:rPr>
            </w:pPr>
            <w:r>
              <w:rPr>
                <w:rFonts w:hint="eastAsia" w:ascii="宋体" w:hAnsi="宋体"/>
                <w:szCs w:val="21"/>
              </w:rPr>
              <w:t>近年发生的诉讼及仲裁情况的年份要求</w:t>
            </w:r>
          </w:p>
        </w:tc>
        <w:tc>
          <w:tcPr>
            <w:tcW w:w="6281" w:type="dxa"/>
            <w:vAlign w:val="center"/>
          </w:tcPr>
          <w:p>
            <w:pPr>
              <w:spacing w:line="288" w:lineRule="auto"/>
              <w:rPr>
                <w:rFonts w:ascii="宋体" w:hAnsi="宋体"/>
                <w:szCs w:val="21"/>
                <w:u w:val="single"/>
              </w:rPr>
            </w:pPr>
            <w:r>
              <w:rPr>
                <w:rFonts w:hint="eastAsia" w:ascii="宋体" w:hAnsi="宋体"/>
                <w:szCs w:val="21"/>
                <w:u w:val="single"/>
              </w:rPr>
              <w:t>3</w:t>
            </w:r>
            <w:r>
              <w:rPr>
                <w:rFonts w:hint="eastAsia" w:ascii="宋体" w:hAnsi="宋体"/>
                <w:szCs w:val="21"/>
              </w:rPr>
              <w:t>年</w:t>
            </w:r>
            <w:r>
              <w:rPr>
                <w:rFonts w:hint="eastAsia" w:ascii="宋体" w:hAnsi="宋体"/>
              </w:rPr>
              <w:t>：</w:t>
            </w:r>
            <w:r>
              <w:rPr>
                <w:rFonts w:hint="eastAsia" w:ascii="宋体" w:hAnsi="宋体"/>
                <w:szCs w:val="21"/>
              </w:rPr>
              <w:t>（指</w:t>
            </w:r>
            <w:r>
              <w:rPr>
                <w:rFonts w:hint="eastAsia" w:ascii="宋体" w:hAnsi="宋体"/>
                <w:szCs w:val="21"/>
                <w:u w:val="single"/>
              </w:rPr>
              <w:t xml:space="preserve"> 2016</w:t>
            </w:r>
            <w:r>
              <w:rPr>
                <w:rFonts w:hint="eastAsia" w:ascii="宋体" w:hAnsi="宋体"/>
                <w:szCs w:val="21"/>
              </w:rPr>
              <w:t>年</w:t>
            </w:r>
            <w:r>
              <w:rPr>
                <w:rFonts w:hint="eastAsia" w:ascii="宋体" w:hAnsi="宋体"/>
                <w:szCs w:val="21"/>
                <w:u w:val="single"/>
                <w:lang w:val="en-US" w:eastAsia="zh-CN"/>
              </w:rPr>
              <w:t>9</w:t>
            </w:r>
            <w:r>
              <w:rPr>
                <w:rFonts w:hint="eastAsia" w:ascii="宋体" w:hAnsi="宋体"/>
                <w:szCs w:val="21"/>
              </w:rPr>
              <w:t>月</w:t>
            </w:r>
            <w:r>
              <w:rPr>
                <w:rFonts w:hint="eastAsia" w:ascii="宋体" w:hAnsi="宋体"/>
                <w:szCs w:val="21"/>
                <w:u w:val="single"/>
              </w:rPr>
              <w:t>29</w:t>
            </w:r>
            <w:r>
              <w:rPr>
                <w:rFonts w:hint="eastAsia" w:ascii="宋体" w:hAnsi="宋体"/>
                <w:szCs w:val="21"/>
              </w:rPr>
              <w:t>日起至</w:t>
            </w:r>
            <w:r>
              <w:rPr>
                <w:rFonts w:hint="eastAsia" w:ascii="宋体" w:hAnsi="宋体"/>
                <w:szCs w:val="21"/>
                <w:u w:val="single"/>
              </w:rPr>
              <w:t xml:space="preserve"> 2019</w:t>
            </w:r>
            <w:r>
              <w:rPr>
                <w:rFonts w:hint="eastAsia" w:ascii="宋体" w:hAnsi="宋体"/>
                <w:szCs w:val="21"/>
              </w:rPr>
              <w:t>年</w:t>
            </w:r>
            <w:r>
              <w:rPr>
                <w:rFonts w:hint="eastAsia" w:ascii="宋体" w:hAnsi="宋体"/>
                <w:szCs w:val="21"/>
                <w:u w:val="single"/>
                <w:lang w:val="en-US" w:eastAsia="zh-CN"/>
              </w:rPr>
              <w:t>9</w:t>
            </w:r>
            <w:r>
              <w:rPr>
                <w:rFonts w:hint="eastAsia" w:ascii="宋体" w:hAnsi="宋体"/>
                <w:szCs w:val="21"/>
              </w:rPr>
              <w:t>月</w:t>
            </w:r>
            <w:r>
              <w:rPr>
                <w:rFonts w:hint="eastAsia" w:ascii="宋体" w:hAnsi="宋体"/>
                <w:szCs w:val="21"/>
                <w:u w:val="single"/>
              </w:rPr>
              <w:t>28</w:t>
            </w:r>
            <w:r>
              <w:rPr>
                <w:rFonts w:hint="eastAsia" w:ascii="宋体" w:hAnsi="宋体"/>
                <w:szCs w:val="21"/>
              </w:rPr>
              <w:t>日止）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4" w:hRule="atLeast"/>
        </w:trPr>
        <w:tc>
          <w:tcPr>
            <w:tcW w:w="1065" w:type="dxa"/>
            <w:vAlign w:val="center"/>
          </w:tcPr>
          <w:p>
            <w:pPr>
              <w:spacing w:line="288" w:lineRule="auto"/>
              <w:jc w:val="center"/>
              <w:rPr>
                <w:rFonts w:ascii="宋体" w:hAnsi="宋体"/>
                <w:szCs w:val="21"/>
              </w:rPr>
            </w:pPr>
            <w:r>
              <w:rPr>
                <w:rFonts w:hint="eastAsia" w:ascii="宋体" w:hAnsi="宋体"/>
                <w:szCs w:val="21"/>
              </w:rPr>
              <w:t>3.6.3</w:t>
            </w:r>
          </w:p>
        </w:tc>
        <w:tc>
          <w:tcPr>
            <w:tcW w:w="1827" w:type="dxa"/>
            <w:gridSpan w:val="2"/>
            <w:vAlign w:val="center"/>
          </w:tcPr>
          <w:p>
            <w:pPr>
              <w:spacing w:line="288" w:lineRule="auto"/>
              <w:jc w:val="center"/>
              <w:rPr>
                <w:rFonts w:ascii="宋体" w:hAnsi="宋体"/>
                <w:szCs w:val="21"/>
              </w:rPr>
            </w:pPr>
            <w:r>
              <w:rPr>
                <w:rFonts w:hint="eastAsia" w:ascii="宋体" w:hAnsi="宋体"/>
                <w:szCs w:val="21"/>
              </w:rPr>
              <w:t>签字和（或）盖章要求（适用于经评审的最低投标价法、综合评估法Ⅰ、综合评估法Ⅱ、最低投标价法）</w:t>
            </w:r>
          </w:p>
        </w:tc>
        <w:tc>
          <w:tcPr>
            <w:tcW w:w="6281" w:type="dxa"/>
            <w:vAlign w:val="center"/>
          </w:tcPr>
          <w:p>
            <w:pPr>
              <w:spacing w:line="288" w:lineRule="auto"/>
              <w:rPr>
                <w:rFonts w:ascii="宋体" w:hAnsi="宋体"/>
                <w:szCs w:val="21"/>
              </w:rPr>
            </w:pPr>
            <w:r>
              <w:rPr>
                <w:rFonts w:hint="eastAsia" w:ascii="宋体" w:hAnsi="宋体"/>
                <w:szCs w:val="21"/>
              </w:rPr>
              <w:t>（1）投标文件须按招标文件第八章“投标文件格式”规定处由投标人的法定代表人或其委托代理人签字（或盖章）和加盖单位章。加盖的投标人单位章名称须与投标人营业执照、资质证书和安全生产许可证上注明的单位名称一致。</w:t>
            </w:r>
          </w:p>
          <w:p>
            <w:pPr>
              <w:spacing w:line="288" w:lineRule="auto"/>
              <w:rPr>
                <w:rFonts w:ascii="宋体" w:hAnsi="宋体"/>
                <w:szCs w:val="21"/>
              </w:rPr>
            </w:pPr>
            <w:r>
              <w:rPr>
                <w:rFonts w:hint="eastAsia" w:ascii="宋体" w:hAnsi="宋体"/>
                <w:szCs w:val="21"/>
              </w:rPr>
              <w:t>（2）投标总价扉页、</w:t>
            </w:r>
            <w:r>
              <w:rPr>
                <w:rFonts w:hint="eastAsia" w:ascii="宋体" w:hAnsi="宋体"/>
              </w:rPr>
              <w:t>工程计价总说明、建设项目（单项工程）工程造价汇总表、单位工程费用计算表</w:t>
            </w:r>
            <w:r>
              <w:rPr>
                <w:rFonts w:hint="eastAsia" w:ascii="宋体" w:hAnsi="宋体"/>
                <w:szCs w:val="21"/>
              </w:rPr>
              <w:t>都应由注册造价工程师签字并盖其执业专用章，同时将该造价师注册证书复印件附在其投标文件中。注册造价工程师属投标人本单位的，其注册单位名称应与投标人名称一致。如委托他人编制投标报价，应委托具备相应资质的工程造价咨询机构编制，并在投标文件中附有造价咨询机构的资质证书和委托合同（协议书）复印件，同时由被委托人的注册造价工程师签字并盖其执业专用章，签字盖章的注册造价工程师的注册单位名称应当与被委托人名称一致。</w:t>
            </w:r>
          </w:p>
          <w:p>
            <w:pPr>
              <w:spacing w:line="288" w:lineRule="auto"/>
              <w:rPr>
                <w:rFonts w:ascii="宋体" w:hAnsi="宋体"/>
                <w:szCs w:val="21"/>
              </w:rPr>
            </w:pPr>
            <w:r>
              <w:rPr>
                <w:rFonts w:hint="eastAsia" w:ascii="宋体" w:hAnsi="宋体"/>
                <w:szCs w:val="21"/>
              </w:rPr>
              <w:t>（3）上述签字盖章要求投标文件正本须本人亲笔签字、盖章必须为原章，副本可用正本复印。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065" w:type="dxa"/>
            <w:vAlign w:val="center"/>
          </w:tcPr>
          <w:p>
            <w:pPr>
              <w:spacing w:line="288" w:lineRule="auto"/>
              <w:jc w:val="center"/>
              <w:rPr>
                <w:rFonts w:ascii="宋体" w:hAnsi="宋体"/>
                <w:szCs w:val="21"/>
              </w:rPr>
            </w:pPr>
            <w:r>
              <w:rPr>
                <w:rFonts w:hint="eastAsia" w:ascii="宋体" w:hAnsi="宋体"/>
                <w:szCs w:val="21"/>
              </w:rPr>
              <w:t>3.6.4</w:t>
            </w:r>
          </w:p>
        </w:tc>
        <w:tc>
          <w:tcPr>
            <w:tcW w:w="1827" w:type="dxa"/>
            <w:gridSpan w:val="2"/>
            <w:vAlign w:val="center"/>
          </w:tcPr>
          <w:p>
            <w:pPr>
              <w:spacing w:line="288" w:lineRule="auto"/>
              <w:jc w:val="center"/>
              <w:rPr>
                <w:rFonts w:ascii="宋体" w:hAnsi="宋体"/>
                <w:b/>
                <w:bCs/>
                <w:szCs w:val="21"/>
              </w:rPr>
            </w:pPr>
            <w:r>
              <w:rPr>
                <w:rFonts w:hint="eastAsia" w:ascii="宋体" w:hAnsi="宋体"/>
                <w:szCs w:val="21"/>
              </w:rPr>
              <w:t>投标文件份数</w:t>
            </w:r>
          </w:p>
        </w:tc>
        <w:tc>
          <w:tcPr>
            <w:tcW w:w="6281" w:type="dxa"/>
            <w:vAlign w:val="center"/>
          </w:tcPr>
          <w:p>
            <w:pPr>
              <w:spacing w:line="288" w:lineRule="auto"/>
              <w:rPr>
                <w:rFonts w:ascii="宋体" w:hAnsi="宋体"/>
                <w:szCs w:val="21"/>
              </w:rPr>
            </w:pPr>
            <w:r>
              <w:rPr>
                <w:rFonts w:ascii="宋体" w:hAnsi="宋体"/>
                <w:szCs w:val="21"/>
              </w:rPr>
              <w:t>1、投标函部分、商务标部分分别一式</w:t>
            </w:r>
            <w:r>
              <w:rPr>
                <w:rFonts w:hint="eastAsia" w:ascii="宋体" w:hAnsi="宋体"/>
                <w:szCs w:val="21"/>
              </w:rPr>
              <w:t>五</w:t>
            </w:r>
            <w:r>
              <w:rPr>
                <w:rFonts w:ascii="宋体" w:hAnsi="宋体"/>
                <w:szCs w:val="21"/>
              </w:rPr>
              <w:t>份，其中正本一份，副本</w:t>
            </w:r>
            <w:r>
              <w:rPr>
                <w:rFonts w:hint="eastAsia" w:ascii="宋体" w:hAnsi="宋体"/>
                <w:szCs w:val="21"/>
              </w:rPr>
              <w:t>四</w:t>
            </w:r>
            <w:r>
              <w:rPr>
                <w:rFonts w:ascii="宋体" w:hAnsi="宋体"/>
                <w:szCs w:val="21"/>
              </w:rPr>
              <w:t>份</w:t>
            </w:r>
            <w:r>
              <w:rPr>
                <w:rFonts w:hint="eastAsia" w:ascii="宋体" w:hAnsi="宋体"/>
                <w:szCs w:val="21"/>
              </w:rPr>
              <w:t>；技术标部分一式五份，不分正副本</w:t>
            </w:r>
            <w:r>
              <w:rPr>
                <w:rFonts w:hint="eastAsia" w:ascii="宋体" w:hAnsi="宋体"/>
                <w:b/>
                <w:szCs w:val="21"/>
              </w:rPr>
              <w:t>。</w:t>
            </w:r>
          </w:p>
          <w:p>
            <w:pPr>
              <w:spacing w:line="288" w:lineRule="auto"/>
              <w:rPr>
                <w:rFonts w:ascii="宋体" w:hAnsi="宋体"/>
                <w:bCs/>
                <w:szCs w:val="21"/>
              </w:rPr>
            </w:pPr>
            <w:r>
              <w:rPr>
                <w:rFonts w:ascii="宋体" w:hAnsi="宋体"/>
                <w:bCs/>
                <w:szCs w:val="21"/>
              </w:rPr>
              <w:t>2、</w:t>
            </w:r>
            <w:r>
              <w:rPr>
                <w:rFonts w:hint="eastAsia" w:ascii="宋体" w:hAnsi="宋体"/>
                <w:szCs w:val="21"/>
              </w:rPr>
              <w:t>中标人在中标通知书发出前（根据招标人要求）再补充份投标文件（含投标函部分、商务标部分、技术标部分）。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065" w:type="dxa"/>
            <w:vAlign w:val="center"/>
          </w:tcPr>
          <w:p>
            <w:pPr>
              <w:spacing w:line="288" w:lineRule="auto"/>
              <w:jc w:val="center"/>
              <w:rPr>
                <w:rFonts w:ascii="宋体" w:hAnsi="宋体"/>
                <w:szCs w:val="21"/>
              </w:rPr>
            </w:pPr>
            <w:r>
              <w:rPr>
                <w:rFonts w:hint="eastAsia" w:ascii="宋体" w:hAnsi="宋体"/>
                <w:szCs w:val="21"/>
              </w:rPr>
              <w:t>3.6.5</w:t>
            </w:r>
          </w:p>
        </w:tc>
        <w:tc>
          <w:tcPr>
            <w:tcW w:w="1827" w:type="dxa"/>
            <w:gridSpan w:val="2"/>
            <w:vAlign w:val="center"/>
          </w:tcPr>
          <w:p>
            <w:pPr>
              <w:spacing w:line="288" w:lineRule="auto"/>
              <w:jc w:val="center"/>
              <w:rPr>
                <w:rFonts w:ascii="宋体" w:hAnsi="宋体"/>
                <w:szCs w:val="21"/>
              </w:rPr>
            </w:pPr>
            <w:r>
              <w:rPr>
                <w:rFonts w:hint="eastAsia" w:ascii="宋体" w:hAnsi="宋体"/>
                <w:szCs w:val="21"/>
              </w:rPr>
              <w:t>装订要求</w:t>
            </w:r>
          </w:p>
        </w:tc>
        <w:tc>
          <w:tcPr>
            <w:tcW w:w="6281" w:type="dxa"/>
            <w:vAlign w:val="center"/>
          </w:tcPr>
          <w:p>
            <w:pPr>
              <w:spacing w:line="288" w:lineRule="auto"/>
              <w:rPr>
                <w:rFonts w:ascii="宋体" w:hAnsi="宋体"/>
                <w:szCs w:val="21"/>
              </w:rPr>
            </w:pPr>
            <w:r>
              <w:rPr>
                <w:rFonts w:hint="eastAsia" w:ascii="宋体" w:hAnsi="宋体"/>
                <w:szCs w:val="21"/>
              </w:rPr>
              <w:t>按照投标人须知第3.1.1项规定的投标文件组成内容，投标文件应按以下要求装订：</w:t>
            </w:r>
          </w:p>
          <w:p>
            <w:pPr>
              <w:spacing w:line="288" w:lineRule="auto"/>
              <w:rPr>
                <w:rFonts w:ascii="宋体" w:hAnsi="宋体"/>
                <w:szCs w:val="21"/>
              </w:rPr>
            </w:pPr>
            <w:r>
              <w:rPr>
                <w:rFonts w:hint="eastAsia" w:ascii="宋体" w:hAnsi="宋体"/>
                <w:szCs w:val="21"/>
              </w:rPr>
              <w:t>□不分</w:t>
            </w:r>
            <w:bookmarkStart w:id="25" w:name="OLE_LINK2"/>
            <w:bookmarkStart w:id="26" w:name="OLE_LINK1"/>
            <w:r>
              <w:rPr>
                <w:rFonts w:hint="eastAsia" w:ascii="宋体" w:hAnsi="宋体"/>
                <w:szCs w:val="21"/>
              </w:rPr>
              <w:t>册</w:t>
            </w:r>
            <w:bookmarkEnd w:id="25"/>
            <w:bookmarkEnd w:id="26"/>
            <w:r>
              <w:rPr>
                <w:rFonts w:hint="eastAsia" w:ascii="宋体" w:hAnsi="宋体"/>
                <w:szCs w:val="21"/>
              </w:rPr>
              <w:t>装订</w:t>
            </w:r>
          </w:p>
          <w:p>
            <w:pPr>
              <w:spacing w:line="288" w:lineRule="auto"/>
              <w:rPr>
                <w:rFonts w:ascii="宋体" w:hAnsi="宋体"/>
                <w:szCs w:val="21"/>
              </w:rPr>
            </w:pPr>
            <w:r>
              <w:rPr>
                <w:rFonts w:ascii="Arial" w:hAnsi="Arial" w:cs="Arial"/>
                <w:szCs w:val="21"/>
              </w:rPr>
              <w:t>√</w:t>
            </w:r>
            <w:r>
              <w:rPr>
                <w:rFonts w:hint="eastAsia" w:ascii="宋体" w:hAnsi="宋体"/>
                <w:szCs w:val="21"/>
              </w:rPr>
              <w:t>分册装订，共分</w:t>
            </w:r>
            <w:r>
              <w:rPr>
                <w:rFonts w:hint="eastAsia" w:ascii="宋体" w:hAnsi="宋体"/>
                <w:szCs w:val="21"/>
                <w:u w:val="single"/>
              </w:rPr>
              <w:t>3</w:t>
            </w:r>
            <w:r>
              <w:rPr>
                <w:rFonts w:hint="eastAsia" w:ascii="宋体" w:hAnsi="宋体"/>
                <w:szCs w:val="21"/>
              </w:rPr>
              <w:t>册，分别为：</w:t>
            </w:r>
          </w:p>
          <w:p>
            <w:pPr>
              <w:spacing w:line="288" w:lineRule="auto"/>
              <w:rPr>
                <w:rFonts w:ascii="宋体" w:hAnsi="宋体"/>
                <w:szCs w:val="21"/>
              </w:rPr>
            </w:pPr>
            <w:r>
              <w:rPr>
                <w:rFonts w:hint="eastAsia" w:ascii="宋体" w:hAnsi="宋体"/>
                <w:szCs w:val="21"/>
              </w:rPr>
              <w:t xml:space="preserve">  投标函部分：包括投标函目录的内容；</w:t>
            </w:r>
          </w:p>
          <w:p>
            <w:pPr>
              <w:spacing w:line="288" w:lineRule="auto"/>
              <w:ind w:firstLine="210" w:firstLineChars="100"/>
              <w:rPr>
                <w:rFonts w:ascii="宋体" w:hAnsi="宋体"/>
                <w:szCs w:val="21"/>
              </w:rPr>
            </w:pPr>
            <w:r>
              <w:rPr>
                <w:rFonts w:hint="eastAsia" w:ascii="宋体" w:hAnsi="宋体"/>
                <w:szCs w:val="21"/>
              </w:rPr>
              <w:t>商务标部分：包括商务标目录的内容；</w:t>
            </w:r>
          </w:p>
          <w:p>
            <w:pPr>
              <w:spacing w:line="288" w:lineRule="auto"/>
              <w:rPr>
                <w:rFonts w:ascii="宋体" w:hAnsi="宋体"/>
                <w:szCs w:val="21"/>
              </w:rPr>
            </w:pPr>
            <w:r>
              <w:rPr>
                <w:rFonts w:hint="eastAsia" w:ascii="宋体" w:hAnsi="宋体"/>
                <w:szCs w:val="21"/>
              </w:rPr>
              <w:t xml:space="preserve">  技术标部分：包括技术标目录的内容；</w:t>
            </w:r>
          </w:p>
          <w:p>
            <w:pPr>
              <w:spacing w:line="288" w:lineRule="auto"/>
              <w:rPr>
                <w:rFonts w:ascii="宋体" w:hAnsi="宋体"/>
                <w:szCs w:val="21"/>
              </w:rPr>
            </w:pPr>
            <w:r>
              <w:rPr>
                <w:rFonts w:hint="eastAsia" w:ascii="宋体" w:hAnsi="宋体"/>
                <w:szCs w:val="21"/>
              </w:rPr>
              <w:t xml:space="preserve">  每册采用</w:t>
            </w:r>
            <w:r>
              <w:rPr>
                <w:rFonts w:hint="eastAsia" w:ascii="宋体" w:hAnsi="宋体"/>
                <w:szCs w:val="21"/>
                <w:u w:val="single"/>
              </w:rPr>
              <w:t xml:space="preserve"> 胶装 </w:t>
            </w:r>
            <w:r>
              <w:rPr>
                <w:rFonts w:hint="eastAsia" w:ascii="宋体" w:hAnsi="宋体"/>
                <w:szCs w:val="21"/>
              </w:rPr>
              <w:t>方式装订，装订应牢固、不易拆散和换页，不得采用活页装订，提倡双面打印。</w:t>
            </w:r>
          </w:p>
          <w:p>
            <w:pPr>
              <w:spacing w:line="288" w:lineRule="auto"/>
              <w:rPr>
                <w:rFonts w:ascii="宋体" w:hAnsi="宋体"/>
                <w:szCs w:val="21"/>
              </w:rPr>
            </w:pPr>
            <w:r>
              <w:rPr>
                <w:rFonts w:hint="eastAsia" w:ascii="宋体" w:hAnsi="宋体"/>
                <w:szCs w:val="21"/>
              </w:rPr>
              <w:t>商务标部分中的清单项目直接费用预算表、清单项目人材机用量与单价表、清单项目费用计算表按以下要求提供:</w:t>
            </w:r>
          </w:p>
          <w:p>
            <w:pPr>
              <w:spacing w:line="288" w:lineRule="auto"/>
              <w:rPr>
                <w:rFonts w:ascii="宋体" w:hAnsi="宋体"/>
                <w:szCs w:val="21"/>
              </w:rPr>
            </w:pPr>
            <w:r>
              <w:rPr>
                <w:rFonts w:ascii="Arial" w:hAnsi="Arial" w:cs="Arial"/>
                <w:szCs w:val="21"/>
              </w:rPr>
              <w:t>√</w:t>
            </w:r>
            <w:r>
              <w:rPr>
                <w:rFonts w:hint="eastAsia" w:ascii="宋体" w:hAnsi="宋体"/>
                <w:szCs w:val="21"/>
              </w:rPr>
              <w:t>纸质版一份，装订成册，和商务标一起密封。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522" w:hRule="atLeast"/>
        </w:trPr>
        <w:tc>
          <w:tcPr>
            <w:tcW w:w="1065" w:type="dxa"/>
            <w:vAlign w:val="center"/>
          </w:tcPr>
          <w:p>
            <w:pPr>
              <w:spacing w:line="288" w:lineRule="auto"/>
              <w:jc w:val="center"/>
              <w:rPr>
                <w:rFonts w:ascii="宋体" w:hAnsi="宋体"/>
                <w:szCs w:val="21"/>
              </w:rPr>
            </w:pPr>
            <w:r>
              <w:rPr>
                <w:rFonts w:hint="eastAsia" w:ascii="宋体" w:hAnsi="宋体"/>
                <w:szCs w:val="21"/>
              </w:rPr>
              <w:t>4.1.2</w:t>
            </w:r>
          </w:p>
        </w:tc>
        <w:tc>
          <w:tcPr>
            <w:tcW w:w="1827" w:type="dxa"/>
            <w:gridSpan w:val="2"/>
            <w:vAlign w:val="center"/>
          </w:tcPr>
          <w:p>
            <w:pPr>
              <w:spacing w:line="288" w:lineRule="auto"/>
              <w:jc w:val="center"/>
              <w:rPr>
                <w:rFonts w:ascii="宋体" w:hAnsi="宋体"/>
                <w:szCs w:val="21"/>
              </w:rPr>
            </w:pPr>
            <w:r>
              <w:rPr>
                <w:rFonts w:hint="eastAsia" w:ascii="宋体" w:hAnsi="宋体"/>
                <w:szCs w:val="21"/>
              </w:rPr>
              <w:t>封套上写明</w:t>
            </w:r>
          </w:p>
        </w:tc>
        <w:tc>
          <w:tcPr>
            <w:tcW w:w="6281" w:type="dxa"/>
            <w:vAlign w:val="center"/>
          </w:tcPr>
          <w:p>
            <w:pPr>
              <w:spacing w:line="288" w:lineRule="auto"/>
              <w:rPr>
                <w:rFonts w:ascii="宋体" w:hAnsi="宋体"/>
                <w:szCs w:val="21"/>
                <w:u w:val="single"/>
              </w:rPr>
            </w:pPr>
            <w:r>
              <w:rPr>
                <w:rFonts w:hint="eastAsia" w:ascii="宋体" w:hAnsi="宋体"/>
                <w:szCs w:val="21"/>
              </w:rPr>
              <w:t>招标人地址：</w:t>
            </w:r>
          </w:p>
          <w:p>
            <w:pPr>
              <w:spacing w:line="288" w:lineRule="auto"/>
              <w:rPr>
                <w:rFonts w:ascii="宋体" w:hAnsi="宋体"/>
                <w:szCs w:val="21"/>
                <w:u w:val="single"/>
              </w:rPr>
            </w:pPr>
            <w:r>
              <w:rPr>
                <w:rFonts w:hint="eastAsia" w:ascii="宋体" w:hAnsi="宋体"/>
                <w:szCs w:val="21"/>
              </w:rPr>
              <w:t>招标人名称：</w:t>
            </w:r>
          </w:p>
          <w:p>
            <w:pPr>
              <w:snapToGrid w:val="0"/>
              <w:spacing w:line="288" w:lineRule="auto"/>
              <w:rPr>
                <w:rFonts w:ascii="宋体" w:hAnsi="宋体"/>
                <w:szCs w:val="21"/>
              </w:rPr>
            </w:pPr>
            <w:r>
              <w:rPr>
                <w:rFonts w:hint="eastAsia" w:ascii="宋体" w:hAnsi="宋体"/>
                <w:szCs w:val="21"/>
              </w:rPr>
              <w:t>投标人全称：</w:t>
            </w:r>
          </w:p>
          <w:p>
            <w:pPr>
              <w:snapToGrid w:val="0"/>
              <w:spacing w:line="288" w:lineRule="auto"/>
              <w:rPr>
                <w:rFonts w:ascii="宋体" w:hAnsi="宋体"/>
                <w:szCs w:val="21"/>
              </w:rPr>
            </w:pPr>
            <w:r>
              <w:rPr>
                <w:rFonts w:hint="eastAsia" w:ascii="宋体" w:hAnsi="宋体"/>
                <w:szCs w:val="21"/>
              </w:rPr>
              <w:t>投标人的地址：</w:t>
            </w:r>
          </w:p>
          <w:p>
            <w:pPr>
              <w:spacing w:line="288" w:lineRule="auto"/>
              <w:rPr>
                <w:rFonts w:ascii="宋体" w:hAnsi="宋体"/>
                <w:szCs w:val="21"/>
              </w:rPr>
            </w:pPr>
            <w:r>
              <w:rPr>
                <w:rFonts w:hint="eastAsia"/>
                <w:szCs w:val="21"/>
              </w:rPr>
              <w:t xml:space="preserve"> </w:t>
            </w:r>
            <w:r>
              <w:rPr>
                <w:rFonts w:hint="eastAsia"/>
                <w:szCs w:val="21"/>
                <w:lang w:eastAsia="zh-CN"/>
              </w:rPr>
              <w:t>中国邮政集团公司益阳市分公司谢林港支局重建项目</w:t>
            </w:r>
            <w:r>
              <w:rPr>
                <w:rFonts w:hint="eastAsia" w:ascii="宋体" w:hAnsi="宋体"/>
                <w:szCs w:val="21"/>
              </w:rPr>
              <w:t>投标文件在2019年</w:t>
            </w:r>
            <w:r>
              <w:rPr>
                <w:rFonts w:hint="eastAsia" w:ascii="宋体" w:hAnsi="宋体"/>
                <w:szCs w:val="21"/>
                <w:lang w:val="en-US" w:eastAsia="zh-CN"/>
              </w:rPr>
              <w:t>10</w:t>
            </w:r>
            <w:r>
              <w:rPr>
                <w:rFonts w:hint="eastAsia" w:ascii="宋体" w:hAnsi="宋体"/>
                <w:szCs w:val="21"/>
              </w:rPr>
              <w:t>月</w:t>
            </w:r>
            <w:r>
              <w:rPr>
                <w:rFonts w:hint="eastAsia" w:ascii="宋体" w:hAnsi="宋体"/>
                <w:szCs w:val="21"/>
                <w:lang w:val="en-US" w:eastAsia="zh-CN"/>
              </w:rPr>
              <w:t>9</w:t>
            </w:r>
            <w:r>
              <w:rPr>
                <w:rFonts w:hint="eastAsia" w:ascii="宋体" w:hAnsi="宋体"/>
                <w:szCs w:val="21"/>
              </w:rPr>
              <w:t>日9时30分前不得开启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66" w:hRule="atLeast"/>
        </w:trPr>
        <w:tc>
          <w:tcPr>
            <w:tcW w:w="1065" w:type="dxa"/>
            <w:vAlign w:val="center"/>
          </w:tcPr>
          <w:p>
            <w:pPr>
              <w:spacing w:line="288" w:lineRule="auto"/>
              <w:jc w:val="center"/>
              <w:rPr>
                <w:rFonts w:ascii="宋体" w:hAnsi="宋体"/>
                <w:szCs w:val="21"/>
              </w:rPr>
            </w:pPr>
            <w:r>
              <w:rPr>
                <w:rFonts w:hint="eastAsia" w:ascii="宋体" w:hAnsi="宋体"/>
                <w:szCs w:val="21"/>
              </w:rPr>
              <w:t>4.2.2</w:t>
            </w:r>
          </w:p>
        </w:tc>
        <w:tc>
          <w:tcPr>
            <w:tcW w:w="1827" w:type="dxa"/>
            <w:gridSpan w:val="2"/>
            <w:vAlign w:val="center"/>
          </w:tcPr>
          <w:p>
            <w:pPr>
              <w:spacing w:line="288" w:lineRule="auto"/>
              <w:jc w:val="center"/>
              <w:rPr>
                <w:rFonts w:ascii="宋体" w:hAnsi="宋体"/>
                <w:szCs w:val="21"/>
              </w:rPr>
            </w:pPr>
            <w:r>
              <w:rPr>
                <w:rFonts w:hint="eastAsia" w:ascii="宋体" w:hAnsi="宋体"/>
                <w:szCs w:val="21"/>
              </w:rPr>
              <w:t>递交投标文件</w:t>
            </w:r>
          </w:p>
          <w:p>
            <w:pPr>
              <w:spacing w:line="288" w:lineRule="auto"/>
              <w:jc w:val="center"/>
              <w:rPr>
                <w:rFonts w:ascii="宋体" w:hAnsi="宋体"/>
                <w:szCs w:val="21"/>
              </w:rPr>
            </w:pPr>
            <w:r>
              <w:rPr>
                <w:rFonts w:hint="eastAsia" w:ascii="宋体" w:hAnsi="宋体"/>
                <w:szCs w:val="21"/>
              </w:rPr>
              <w:t>地点</w:t>
            </w:r>
          </w:p>
        </w:tc>
        <w:tc>
          <w:tcPr>
            <w:tcW w:w="6281" w:type="dxa"/>
            <w:vAlign w:val="center"/>
          </w:tcPr>
          <w:p>
            <w:pPr>
              <w:spacing w:line="288" w:lineRule="auto"/>
              <w:rPr>
                <w:rFonts w:ascii="宋体" w:hAnsi="宋体"/>
                <w:szCs w:val="21"/>
              </w:rPr>
            </w:pPr>
            <w:r>
              <w:rPr>
                <w:rFonts w:hint="eastAsia" w:ascii="宋体" w:hAnsi="宋体"/>
                <w:color w:val="000000"/>
                <w:szCs w:val="21"/>
              </w:rPr>
              <w:t>开标地点：益阳市公共资源交易中心（益阳高新区中南电子商务园3号楼二楼，迎宾东路355号，开标室详见益阳市公共资源交易中心当天电子显示屏）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trPr>
        <w:tc>
          <w:tcPr>
            <w:tcW w:w="1065" w:type="dxa"/>
            <w:vAlign w:val="center"/>
          </w:tcPr>
          <w:p>
            <w:pPr>
              <w:spacing w:line="288" w:lineRule="auto"/>
              <w:jc w:val="center"/>
              <w:rPr>
                <w:rFonts w:ascii="宋体" w:hAnsi="宋体"/>
                <w:szCs w:val="21"/>
              </w:rPr>
            </w:pPr>
            <w:r>
              <w:rPr>
                <w:rFonts w:hint="eastAsia" w:ascii="宋体" w:hAnsi="宋体"/>
                <w:szCs w:val="21"/>
              </w:rPr>
              <w:t>4.2.3</w:t>
            </w:r>
          </w:p>
        </w:tc>
        <w:tc>
          <w:tcPr>
            <w:tcW w:w="1827" w:type="dxa"/>
            <w:gridSpan w:val="2"/>
            <w:vAlign w:val="center"/>
          </w:tcPr>
          <w:p>
            <w:pPr>
              <w:spacing w:line="288" w:lineRule="auto"/>
              <w:jc w:val="center"/>
              <w:rPr>
                <w:rFonts w:ascii="宋体" w:hAnsi="宋体"/>
                <w:szCs w:val="21"/>
              </w:rPr>
            </w:pPr>
            <w:r>
              <w:rPr>
                <w:rFonts w:hint="eastAsia" w:ascii="宋体" w:hAnsi="宋体"/>
                <w:szCs w:val="21"/>
              </w:rPr>
              <w:t>是否退还投标</w:t>
            </w:r>
          </w:p>
          <w:p>
            <w:pPr>
              <w:spacing w:line="288" w:lineRule="auto"/>
              <w:jc w:val="center"/>
              <w:rPr>
                <w:rFonts w:ascii="宋体" w:hAnsi="宋体"/>
                <w:szCs w:val="21"/>
              </w:rPr>
            </w:pPr>
            <w:r>
              <w:rPr>
                <w:rFonts w:hint="eastAsia" w:ascii="宋体" w:hAnsi="宋体"/>
                <w:szCs w:val="21"/>
              </w:rPr>
              <w:t>文件</w:t>
            </w:r>
          </w:p>
        </w:tc>
        <w:tc>
          <w:tcPr>
            <w:tcW w:w="6281" w:type="dxa"/>
            <w:vAlign w:val="center"/>
          </w:tcPr>
          <w:p>
            <w:pPr>
              <w:spacing w:line="288" w:lineRule="auto"/>
              <w:rPr>
                <w:rFonts w:ascii="宋体" w:hAnsi="宋体"/>
                <w:szCs w:val="21"/>
              </w:rPr>
            </w:pPr>
            <w:r>
              <w:rPr>
                <w:rFonts w:ascii="Arial" w:hAnsi="Arial" w:cs="Arial"/>
                <w:szCs w:val="21"/>
              </w:rPr>
              <w:t>√</w:t>
            </w:r>
            <w:r>
              <w:rPr>
                <w:rFonts w:hint="eastAsia" w:ascii="宋体" w:hAnsi="宋体"/>
                <w:szCs w:val="21"/>
              </w:rPr>
              <w:t>否</w:t>
            </w:r>
          </w:p>
          <w:p>
            <w:pPr>
              <w:spacing w:line="288" w:lineRule="auto"/>
              <w:rPr>
                <w:rFonts w:ascii="宋体" w:hAnsi="宋体"/>
                <w:szCs w:val="21"/>
                <w:u w:val="single"/>
              </w:rPr>
            </w:pPr>
            <w:r>
              <w:rPr>
                <w:rFonts w:hint="eastAsia" w:ascii="宋体" w:hAnsi="宋体"/>
                <w:szCs w:val="21"/>
              </w:rPr>
              <w:t>□是，退还安排：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1065" w:type="dxa"/>
            <w:vAlign w:val="center"/>
          </w:tcPr>
          <w:p>
            <w:pPr>
              <w:spacing w:line="288" w:lineRule="auto"/>
              <w:jc w:val="center"/>
              <w:rPr>
                <w:rFonts w:ascii="宋体" w:hAnsi="宋体"/>
                <w:szCs w:val="21"/>
              </w:rPr>
            </w:pPr>
            <w:r>
              <w:rPr>
                <w:rFonts w:hint="eastAsia" w:ascii="宋体" w:hAnsi="宋体"/>
                <w:szCs w:val="21"/>
              </w:rPr>
              <w:t>5.1</w:t>
            </w:r>
          </w:p>
        </w:tc>
        <w:tc>
          <w:tcPr>
            <w:tcW w:w="1827" w:type="dxa"/>
            <w:gridSpan w:val="2"/>
            <w:vAlign w:val="center"/>
          </w:tcPr>
          <w:p>
            <w:pPr>
              <w:spacing w:line="288" w:lineRule="auto"/>
              <w:jc w:val="center"/>
              <w:rPr>
                <w:rFonts w:ascii="宋体" w:hAnsi="宋体"/>
                <w:szCs w:val="21"/>
              </w:rPr>
            </w:pPr>
            <w:r>
              <w:rPr>
                <w:rFonts w:hint="eastAsia" w:ascii="宋体" w:hAnsi="宋体"/>
                <w:szCs w:val="21"/>
              </w:rPr>
              <w:t>开标时间和地点</w:t>
            </w:r>
          </w:p>
        </w:tc>
        <w:tc>
          <w:tcPr>
            <w:tcW w:w="6281" w:type="dxa"/>
            <w:vAlign w:val="center"/>
          </w:tcPr>
          <w:p>
            <w:pPr>
              <w:spacing w:line="288" w:lineRule="auto"/>
              <w:rPr>
                <w:rFonts w:ascii="宋体" w:hAnsi="宋体"/>
                <w:b/>
                <w:bCs/>
                <w:szCs w:val="21"/>
              </w:rPr>
            </w:pPr>
            <w:bookmarkStart w:id="27" w:name="OLE_LINK12"/>
            <w:bookmarkStart w:id="28" w:name="OLE_LINK21"/>
            <w:r>
              <w:rPr>
                <w:rFonts w:hint="eastAsia" w:ascii="宋体" w:hAnsi="宋体"/>
                <w:szCs w:val="21"/>
              </w:rPr>
              <w:t>开标时间</w:t>
            </w:r>
            <w:bookmarkEnd w:id="27"/>
            <w:bookmarkEnd w:id="28"/>
            <w:r>
              <w:rPr>
                <w:rFonts w:hint="eastAsia" w:ascii="宋体" w:hAnsi="宋体"/>
                <w:szCs w:val="21"/>
              </w:rPr>
              <w:t>：</w:t>
            </w:r>
            <w:r>
              <w:rPr>
                <w:rFonts w:hint="eastAsia" w:ascii="宋体" w:hAnsi="宋体"/>
                <w:szCs w:val="21"/>
                <w:u w:val="single"/>
              </w:rPr>
              <w:t>2019年</w:t>
            </w:r>
            <w:r>
              <w:rPr>
                <w:rFonts w:hint="eastAsia" w:ascii="宋体" w:hAnsi="宋体"/>
                <w:szCs w:val="21"/>
                <w:u w:val="single"/>
                <w:lang w:val="en-US" w:eastAsia="zh-CN"/>
              </w:rPr>
              <w:t>10</w:t>
            </w:r>
            <w:r>
              <w:rPr>
                <w:rFonts w:hint="eastAsia" w:ascii="宋体" w:hAnsi="宋体"/>
                <w:szCs w:val="21"/>
                <w:u w:val="single"/>
              </w:rPr>
              <w:t>月</w:t>
            </w:r>
            <w:r>
              <w:rPr>
                <w:rFonts w:hint="eastAsia" w:ascii="宋体" w:hAnsi="宋体"/>
                <w:szCs w:val="21"/>
                <w:u w:val="single"/>
                <w:lang w:val="en-US" w:eastAsia="zh-CN"/>
              </w:rPr>
              <w:t>9</w:t>
            </w:r>
            <w:r>
              <w:rPr>
                <w:rFonts w:hint="eastAsia" w:ascii="宋体" w:hAnsi="宋体"/>
                <w:szCs w:val="21"/>
                <w:u w:val="single"/>
              </w:rPr>
              <w:t>日9时30分</w:t>
            </w:r>
          </w:p>
          <w:p>
            <w:pPr>
              <w:spacing w:line="288" w:lineRule="auto"/>
              <w:rPr>
                <w:rFonts w:ascii="宋体" w:hAnsi="宋体"/>
                <w:szCs w:val="21"/>
              </w:rPr>
            </w:pPr>
            <w:r>
              <w:rPr>
                <w:rFonts w:hint="eastAsia" w:ascii="宋体" w:hAnsi="宋体"/>
                <w:color w:val="000000"/>
                <w:szCs w:val="21"/>
              </w:rPr>
              <w:t>开标地点：</w:t>
            </w:r>
            <w:r>
              <w:rPr>
                <w:rFonts w:hint="eastAsia" w:ascii="宋体" w:hAnsi="宋体"/>
                <w:szCs w:val="21"/>
              </w:rPr>
              <w:t>益阳市公共资源交易中心（益阳高新区中南电子商务园3号楼二楼，迎宾东路355号，开标室详见益阳市公共资源交易中心当天电子显示屏）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065" w:type="dxa"/>
            <w:vAlign w:val="center"/>
          </w:tcPr>
          <w:p>
            <w:pPr>
              <w:spacing w:line="288" w:lineRule="auto"/>
              <w:jc w:val="center"/>
              <w:rPr>
                <w:rFonts w:ascii="宋体" w:hAnsi="宋体"/>
                <w:szCs w:val="21"/>
              </w:rPr>
            </w:pPr>
            <w:r>
              <w:rPr>
                <w:rFonts w:hint="eastAsia" w:ascii="宋体" w:hAnsi="宋体"/>
                <w:szCs w:val="21"/>
              </w:rPr>
              <w:t>5.2(4)</w:t>
            </w:r>
          </w:p>
        </w:tc>
        <w:tc>
          <w:tcPr>
            <w:tcW w:w="1827" w:type="dxa"/>
            <w:gridSpan w:val="2"/>
            <w:vAlign w:val="center"/>
          </w:tcPr>
          <w:p>
            <w:pPr>
              <w:spacing w:line="288" w:lineRule="auto"/>
              <w:jc w:val="center"/>
              <w:rPr>
                <w:rFonts w:ascii="宋体" w:hAnsi="宋体"/>
                <w:szCs w:val="21"/>
              </w:rPr>
            </w:pPr>
            <w:r>
              <w:rPr>
                <w:rFonts w:hint="eastAsia" w:ascii="宋体" w:hAnsi="宋体"/>
                <w:szCs w:val="21"/>
              </w:rPr>
              <w:t>密封情况检查</w:t>
            </w:r>
          </w:p>
        </w:tc>
        <w:tc>
          <w:tcPr>
            <w:tcW w:w="6281" w:type="dxa"/>
            <w:vAlign w:val="center"/>
          </w:tcPr>
          <w:p>
            <w:pPr>
              <w:spacing w:line="288" w:lineRule="auto"/>
              <w:rPr>
                <w:rFonts w:ascii="宋体" w:hAnsi="宋体"/>
                <w:szCs w:val="21"/>
              </w:rPr>
            </w:pPr>
            <w:r>
              <w:rPr>
                <w:rFonts w:hint="eastAsia" w:ascii="宋体" w:hAnsi="宋体"/>
                <w:color w:val="000000"/>
                <w:szCs w:val="21"/>
              </w:rPr>
              <w:t>密封情况检查：</w:t>
            </w:r>
            <w:r>
              <w:rPr>
                <w:rFonts w:hint="eastAsia" w:ascii="宋体" w:hAnsi="宋体"/>
                <w:color w:val="000000"/>
                <w:szCs w:val="21"/>
                <w:u w:val="single"/>
              </w:rPr>
              <w:t>对投标文件进行</w:t>
            </w:r>
            <w:r>
              <w:rPr>
                <w:rFonts w:hint="eastAsia" w:ascii="宋体" w:hAnsi="宋体"/>
                <w:color w:val="000000"/>
                <w:szCs w:val="21"/>
              </w:rPr>
              <w:t>密封情况检查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065" w:type="dxa"/>
            <w:vAlign w:val="center"/>
          </w:tcPr>
          <w:p>
            <w:pPr>
              <w:spacing w:line="288" w:lineRule="auto"/>
              <w:jc w:val="center"/>
              <w:rPr>
                <w:rFonts w:ascii="宋体" w:hAnsi="宋体"/>
                <w:szCs w:val="21"/>
              </w:rPr>
            </w:pPr>
            <w:r>
              <w:rPr>
                <w:rFonts w:hint="eastAsia" w:ascii="宋体" w:hAnsi="宋体"/>
                <w:szCs w:val="21"/>
              </w:rPr>
              <w:t>5.2(6)</w:t>
            </w:r>
          </w:p>
        </w:tc>
        <w:tc>
          <w:tcPr>
            <w:tcW w:w="1827" w:type="dxa"/>
            <w:gridSpan w:val="2"/>
            <w:vAlign w:val="center"/>
          </w:tcPr>
          <w:p>
            <w:pPr>
              <w:spacing w:line="288" w:lineRule="auto"/>
              <w:jc w:val="center"/>
              <w:rPr>
                <w:rFonts w:ascii="宋体" w:hAnsi="宋体"/>
                <w:szCs w:val="21"/>
              </w:rPr>
            </w:pPr>
            <w:r>
              <w:rPr>
                <w:rFonts w:hint="eastAsia" w:ascii="宋体" w:hAnsi="宋体"/>
                <w:szCs w:val="21"/>
              </w:rPr>
              <w:t>开标顺序</w:t>
            </w:r>
          </w:p>
        </w:tc>
        <w:tc>
          <w:tcPr>
            <w:tcW w:w="6281" w:type="dxa"/>
            <w:vAlign w:val="center"/>
          </w:tcPr>
          <w:p>
            <w:pPr>
              <w:spacing w:line="288" w:lineRule="auto"/>
              <w:rPr>
                <w:rFonts w:ascii="宋体" w:hAnsi="宋体"/>
                <w:szCs w:val="21"/>
              </w:rPr>
            </w:pPr>
            <w:r>
              <w:rPr>
                <w:rFonts w:hint="eastAsia" w:ascii="宋体" w:hAnsi="宋体"/>
                <w:szCs w:val="21"/>
              </w:rPr>
              <w:t>开标顺序：</w:t>
            </w:r>
            <w:r>
              <w:rPr>
                <w:rFonts w:hint="eastAsia" w:ascii="宋体" w:hAnsi="宋体"/>
                <w:color w:val="000000"/>
                <w:szCs w:val="21"/>
                <w:u w:val="single"/>
              </w:rPr>
              <w:t>对符合要求的投标文件予以拆封并现场唱标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167" w:hRule="atLeast"/>
        </w:trPr>
        <w:tc>
          <w:tcPr>
            <w:tcW w:w="1065" w:type="dxa"/>
            <w:vAlign w:val="center"/>
          </w:tcPr>
          <w:p>
            <w:pPr>
              <w:spacing w:line="288" w:lineRule="auto"/>
              <w:jc w:val="center"/>
              <w:rPr>
                <w:rFonts w:ascii="宋体" w:hAnsi="宋体"/>
                <w:szCs w:val="21"/>
              </w:rPr>
            </w:pPr>
            <w:r>
              <w:rPr>
                <w:rFonts w:hint="eastAsia" w:ascii="宋体" w:hAnsi="宋体"/>
                <w:szCs w:val="21"/>
              </w:rPr>
              <w:t>6.1.1</w:t>
            </w:r>
          </w:p>
        </w:tc>
        <w:tc>
          <w:tcPr>
            <w:tcW w:w="1827" w:type="dxa"/>
            <w:gridSpan w:val="2"/>
            <w:vAlign w:val="center"/>
          </w:tcPr>
          <w:p>
            <w:pPr>
              <w:spacing w:line="288" w:lineRule="auto"/>
              <w:jc w:val="center"/>
              <w:rPr>
                <w:rFonts w:ascii="宋体" w:hAnsi="宋体"/>
                <w:szCs w:val="21"/>
              </w:rPr>
            </w:pPr>
            <w:r>
              <w:rPr>
                <w:rFonts w:hint="eastAsia" w:ascii="宋体" w:hAnsi="宋体"/>
                <w:szCs w:val="21"/>
              </w:rPr>
              <w:t>评标委员会的组建</w:t>
            </w:r>
          </w:p>
        </w:tc>
        <w:tc>
          <w:tcPr>
            <w:tcW w:w="6281" w:type="dxa"/>
            <w:vAlign w:val="center"/>
          </w:tcPr>
          <w:p>
            <w:pPr>
              <w:spacing w:line="288" w:lineRule="auto"/>
              <w:rPr>
                <w:rFonts w:ascii="宋体" w:hAnsi="宋体"/>
                <w:szCs w:val="21"/>
              </w:rPr>
            </w:pPr>
            <w:r>
              <w:rPr>
                <w:rFonts w:hint="eastAsia" w:ascii="宋体" w:hAnsi="宋体"/>
                <w:szCs w:val="21"/>
              </w:rPr>
              <w:t>评标委员会构成：5人；</w:t>
            </w:r>
          </w:p>
          <w:p>
            <w:pPr>
              <w:spacing w:line="288" w:lineRule="auto"/>
              <w:rPr>
                <w:rFonts w:ascii="宋体" w:hAnsi="宋体"/>
                <w:szCs w:val="21"/>
              </w:rPr>
            </w:pPr>
            <w:r>
              <w:rPr>
                <w:rFonts w:hint="eastAsia" w:ascii="宋体" w:hAnsi="宋体"/>
                <w:szCs w:val="21"/>
              </w:rPr>
              <w:t>评标专家确定方式：从政府评标专家库随机抽取的相关技术、经济类评标专家5人。</w:t>
            </w:r>
          </w:p>
          <w:p>
            <w:pPr>
              <w:spacing w:line="288" w:lineRule="auto"/>
              <w:rPr>
                <w:rFonts w:ascii="宋体" w:hAnsi="宋体"/>
                <w:szCs w:val="21"/>
              </w:rPr>
            </w:pPr>
            <w:r>
              <w:rPr>
                <w:rFonts w:hint="eastAsia" w:ascii="宋体" w:hAnsi="宋体"/>
                <w:szCs w:val="21"/>
              </w:rPr>
              <w:t>分工：评标委员会主任在与其他评标委员会成员协商的基础上，可以将评标委员会划分为技术组和商务组，但最终评审结果须全体评标委员会一致认可。</w:t>
            </w:r>
          </w:p>
          <w:p>
            <w:pPr>
              <w:spacing w:line="288" w:lineRule="auto"/>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1065" w:type="dxa"/>
            <w:vAlign w:val="center"/>
          </w:tcPr>
          <w:p>
            <w:pPr>
              <w:spacing w:line="288" w:lineRule="auto"/>
              <w:jc w:val="center"/>
              <w:rPr>
                <w:rFonts w:ascii="宋体" w:hAnsi="宋体"/>
                <w:szCs w:val="21"/>
              </w:rPr>
            </w:pPr>
            <w:r>
              <w:rPr>
                <w:rFonts w:hint="eastAsia" w:ascii="宋体" w:hAnsi="宋体"/>
                <w:szCs w:val="21"/>
              </w:rPr>
              <w:t>7.1</w:t>
            </w:r>
          </w:p>
        </w:tc>
        <w:tc>
          <w:tcPr>
            <w:tcW w:w="1827" w:type="dxa"/>
            <w:gridSpan w:val="2"/>
            <w:vAlign w:val="center"/>
          </w:tcPr>
          <w:p>
            <w:pPr>
              <w:spacing w:line="288" w:lineRule="auto"/>
              <w:jc w:val="center"/>
              <w:rPr>
                <w:rFonts w:ascii="宋体" w:hAnsi="宋体"/>
                <w:b/>
                <w:bCs/>
                <w:szCs w:val="21"/>
              </w:rPr>
            </w:pPr>
            <w:r>
              <w:rPr>
                <w:rFonts w:hint="eastAsia" w:ascii="宋体" w:hAnsi="宋体"/>
                <w:szCs w:val="21"/>
              </w:rPr>
              <w:t>是否授权评标委员会确定中标人</w:t>
            </w:r>
          </w:p>
        </w:tc>
        <w:tc>
          <w:tcPr>
            <w:tcW w:w="6281" w:type="dxa"/>
            <w:vAlign w:val="center"/>
          </w:tcPr>
          <w:p>
            <w:pPr>
              <w:spacing w:line="288" w:lineRule="auto"/>
              <w:rPr>
                <w:rFonts w:ascii="宋体" w:hAnsi="宋体"/>
                <w:szCs w:val="21"/>
              </w:rPr>
            </w:pPr>
            <w:r>
              <w:rPr>
                <w:rFonts w:hint="eastAsia" w:ascii="宋体" w:hAnsi="宋体"/>
                <w:szCs w:val="21"/>
              </w:rPr>
              <w:t>□是</w:t>
            </w:r>
          </w:p>
          <w:p>
            <w:pPr>
              <w:spacing w:line="288" w:lineRule="auto"/>
              <w:rPr>
                <w:rFonts w:ascii="宋体" w:hAnsi="宋体"/>
                <w:b/>
                <w:bCs/>
                <w:szCs w:val="21"/>
              </w:rPr>
            </w:pPr>
            <w:r>
              <w:rPr>
                <w:rFonts w:ascii="Arial" w:hAnsi="Arial" w:cs="Arial"/>
                <w:szCs w:val="21"/>
              </w:rPr>
              <w:t>√</w:t>
            </w:r>
            <w:r>
              <w:rPr>
                <w:rFonts w:hint="eastAsia" w:ascii="宋体" w:hAnsi="宋体"/>
                <w:color w:val="000000"/>
                <w:szCs w:val="21"/>
              </w:rPr>
              <w:t>否，推荐的中标候选人数：</w:t>
            </w:r>
            <w:r>
              <w:rPr>
                <w:rFonts w:hint="eastAsia" w:ascii="宋体" w:hAnsi="宋体"/>
                <w:color w:val="000000"/>
                <w:szCs w:val="21"/>
                <w:u w:val="single"/>
              </w:rPr>
              <w:t>1-3人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trPr>
        <w:tc>
          <w:tcPr>
            <w:tcW w:w="1065" w:type="dxa"/>
            <w:vAlign w:val="center"/>
          </w:tcPr>
          <w:p>
            <w:pPr>
              <w:spacing w:line="288" w:lineRule="auto"/>
              <w:jc w:val="center"/>
              <w:rPr>
                <w:rFonts w:ascii="宋体" w:hAnsi="宋体"/>
                <w:szCs w:val="21"/>
              </w:rPr>
            </w:pPr>
            <w:r>
              <w:rPr>
                <w:rFonts w:hint="eastAsia" w:ascii="宋体" w:hAnsi="宋体"/>
                <w:szCs w:val="21"/>
              </w:rPr>
              <w:t>7.3.1</w:t>
            </w:r>
          </w:p>
        </w:tc>
        <w:tc>
          <w:tcPr>
            <w:tcW w:w="1827" w:type="dxa"/>
            <w:gridSpan w:val="2"/>
            <w:vAlign w:val="center"/>
          </w:tcPr>
          <w:p>
            <w:pPr>
              <w:spacing w:line="288" w:lineRule="auto"/>
              <w:jc w:val="center"/>
              <w:rPr>
                <w:rFonts w:ascii="宋体" w:hAnsi="宋体"/>
                <w:szCs w:val="21"/>
              </w:rPr>
            </w:pPr>
            <w:r>
              <w:rPr>
                <w:rFonts w:hint="eastAsia" w:ascii="宋体" w:hAnsi="宋体"/>
                <w:szCs w:val="21"/>
              </w:rPr>
              <w:t>履约担保</w:t>
            </w:r>
          </w:p>
        </w:tc>
        <w:tc>
          <w:tcPr>
            <w:tcW w:w="6281" w:type="dxa"/>
            <w:vAlign w:val="center"/>
          </w:tcPr>
          <w:p>
            <w:pPr>
              <w:spacing w:line="288" w:lineRule="auto"/>
              <w:rPr>
                <w:rFonts w:ascii="宋体" w:hAnsi="宋体"/>
                <w:color w:val="000000"/>
                <w:szCs w:val="21"/>
                <w:u w:val="single"/>
              </w:rPr>
            </w:pPr>
            <w:r>
              <w:rPr>
                <w:rFonts w:hint="eastAsia" w:ascii="宋体" w:hAnsi="宋体"/>
                <w:color w:val="000000"/>
                <w:szCs w:val="21"/>
              </w:rPr>
              <w:t>履约担保的形式：</w:t>
            </w:r>
            <w:r>
              <w:rPr>
                <w:rFonts w:hint="eastAsia" w:ascii="宋体" w:hAnsi="宋体"/>
                <w:color w:val="000000"/>
                <w:szCs w:val="21"/>
                <w:u w:val="single"/>
              </w:rPr>
              <w:t>现金</w:t>
            </w:r>
          </w:p>
          <w:p>
            <w:pPr>
              <w:spacing w:line="288" w:lineRule="auto"/>
              <w:rPr>
                <w:rFonts w:ascii="宋体" w:hAnsi="宋体"/>
                <w:szCs w:val="21"/>
              </w:rPr>
            </w:pPr>
            <w:r>
              <w:rPr>
                <w:rFonts w:hint="eastAsia" w:ascii="宋体" w:hAnsi="宋体"/>
                <w:color w:val="000000"/>
                <w:szCs w:val="21"/>
              </w:rPr>
              <w:t>履约担保的金额：</w:t>
            </w:r>
            <w:r>
              <w:rPr>
                <w:rFonts w:hint="eastAsia" w:ascii="宋体" w:hAnsi="宋体"/>
                <w:color w:val="000000"/>
                <w:szCs w:val="21"/>
                <w:u w:val="single"/>
              </w:rPr>
              <w:t>中标金额的10﹪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9173" w:type="dxa"/>
            <w:gridSpan w:val="4"/>
            <w:vAlign w:val="center"/>
          </w:tcPr>
          <w:p>
            <w:pPr>
              <w:rPr>
                <w:rFonts w:ascii="宋体" w:hAnsi="宋体"/>
                <w:b/>
                <w:bCs/>
                <w:szCs w:val="21"/>
              </w:rPr>
            </w:pPr>
            <w:r>
              <w:rPr>
                <w:rFonts w:hint="eastAsia" w:ascii="宋体" w:hAnsi="宋体"/>
                <w:b/>
                <w:bCs/>
                <w:szCs w:val="21"/>
              </w:rPr>
              <w:t>10.  需要补充的其他内容</w:t>
            </w:r>
          </w:p>
          <w:p>
            <w:pPr>
              <w:ind w:firstLine="206"/>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9" w:hRule="atLeast"/>
        </w:trPr>
        <w:tc>
          <w:tcPr>
            <w:tcW w:w="9173" w:type="dxa"/>
            <w:gridSpan w:val="4"/>
            <w:vAlign w:val="center"/>
          </w:tcPr>
          <w:p>
            <w:pPr>
              <w:rPr>
                <w:rFonts w:ascii="宋体" w:hAnsi="宋体"/>
                <w:szCs w:val="21"/>
              </w:rPr>
            </w:pPr>
            <w:r>
              <w:rPr>
                <w:rFonts w:hint="eastAsia" w:ascii="宋体" w:hAnsi="宋体"/>
                <w:szCs w:val="21"/>
              </w:rPr>
              <w:t>10.1 词语定义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231" w:hRule="atLeast"/>
        </w:trPr>
        <w:tc>
          <w:tcPr>
            <w:tcW w:w="1065" w:type="dxa"/>
            <w:vAlign w:val="center"/>
          </w:tcPr>
          <w:p>
            <w:pPr>
              <w:jc w:val="center"/>
              <w:rPr>
                <w:rFonts w:ascii="宋体" w:hAnsi="宋体"/>
                <w:szCs w:val="21"/>
              </w:rPr>
            </w:pPr>
            <w:r>
              <w:rPr>
                <w:rFonts w:hint="eastAsia" w:ascii="宋体" w:hAnsi="宋体"/>
                <w:szCs w:val="21"/>
              </w:rPr>
              <w:t>10.1.1</w:t>
            </w:r>
          </w:p>
        </w:tc>
        <w:tc>
          <w:tcPr>
            <w:tcW w:w="1827" w:type="dxa"/>
            <w:gridSpan w:val="2"/>
            <w:vAlign w:val="center"/>
          </w:tcPr>
          <w:p>
            <w:pPr>
              <w:jc w:val="center"/>
              <w:rPr>
                <w:rFonts w:ascii="宋体" w:hAnsi="宋体"/>
                <w:szCs w:val="21"/>
              </w:rPr>
            </w:pPr>
            <w:r>
              <w:rPr>
                <w:rFonts w:hint="eastAsia" w:ascii="宋体" w:hAnsi="宋体"/>
                <w:szCs w:val="21"/>
              </w:rPr>
              <w:t>类似项目</w:t>
            </w:r>
          </w:p>
        </w:tc>
        <w:tc>
          <w:tcPr>
            <w:tcW w:w="6281" w:type="dxa"/>
            <w:vAlign w:val="center"/>
          </w:tcPr>
          <w:p>
            <w:pPr>
              <w:rPr>
                <w:rFonts w:ascii="宋体" w:hAnsi="宋体"/>
                <w:b/>
                <w:bCs/>
                <w:szCs w:val="21"/>
              </w:rPr>
            </w:pPr>
            <w:bookmarkStart w:id="29" w:name="OLE_LINK39"/>
            <w:bookmarkStart w:id="30" w:name="OLE_LINK38"/>
            <w:bookmarkStart w:id="31" w:name="OLE_LINK16"/>
            <w:r>
              <w:rPr>
                <w:rFonts w:hint="eastAsia" w:ascii="宋体" w:hAnsi="宋体"/>
                <w:b/>
                <w:bCs/>
                <w:szCs w:val="21"/>
              </w:rPr>
              <w:t>房屋建筑工程：</w:t>
            </w:r>
            <w:r>
              <w:rPr>
                <w:rFonts w:hint="eastAsia" w:hAnsi="宋体"/>
                <w:b/>
                <w:bCs/>
                <w:szCs w:val="21"/>
                <w:u w:val="single"/>
              </w:rPr>
              <w:t>单项合同金额不小于</w:t>
            </w:r>
            <w:r>
              <w:rPr>
                <w:rFonts w:hint="eastAsia" w:hAnsi="宋体"/>
                <w:b/>
                <w:bCs/>
                <w:szCs w:val="21"/>
                <w:u w:val="single"/>
                <w:lang w:val="en-US" w:eastAsia="zh-CN"/>
              </w:rPr>
              <w:t>200</w:t>
            </w:r>
            <w:r>
              <w:rPr>
                <w:rFonts w:hint="eastAsia" w:hAnsi="宋体"/>
                <w:b/>
                <w:bCs/>
                <w:szCs w:val="21"/>
                <w:u w:val="single"/>
              </w:rPr>
              <w:t>万元的</w:t>
            </w:r>
            <w:r>
              <w:rPr>
                <w:rFonts w:hint="eastAsia" w:ascii="宋体" w:hAnsi="宋体"/>
                <w:b/>
                <w:bCs/>
                <w:szCs w:val="21"/>
                <w:u w:val="single"/>
              </w:rPr>
              <w:t>房屋建筑</w:t>
            </w:r>
            <w:r>
              <w:rPr>
                <w:rFonts w:hint="eastAsia" w:hAnsi="宋体"/>
                <w:b/>
                <w:bCs/>
                <w:szCs w:val="21"/>
                <w:u w:val="single"/>
              </w:rPr>
              <w:t>工程业绩，</w:t>
            </w:r>
            <w:r>
              <w:rPr>
                <w:rFonts w:hint="eastAsia" w:ascii="宋体" w:hAnsi="宋体"/>
                <w:b/>
                <w:bCs/>
                <w:szCs w:val="21"/>
                <w:u w:val="single"/>
              </w:rPr>
              <w:t>类似工程业绩证明材料招标工程以中标通知书、合同协议书和竣工验收备案登记表为准；非招标工程以合同协议书和竣工验收备案登记表为准</w:t>
            </w:r>
            <w:r>
              <w:rPr>
                <w:rFonts w:hint="eastAsia" w:ascii="宋体" w:hAnsi="宋体"/>
                <w:b/>
                <w:bCs/>
                <w:szCs w:val="21"/>
              </w:rPr>
              <w:t>。</w:t>
            </w:r>
            <w:bookmarkEnd w:id="29"/>
            <w:bookmarkEnd w:id="30"/>
            <w:bookmarkEnd w:id="31"/>
          </w:p>
          <w:p>
            <w:pPr>
              <w:rPr>
                <w:rFonts w:ascii="宋体" w:hAnsi="宋体"/>
                <w:szCs w:val="21"/>
              </w:rPr>
            </w:pPr>
            <w:r>
              <w:rPr>
                <w:rFonts w:hint="eastAsia" w:ascii="宋体" w:hAnsi="宋体"/>
                <w:szCs w:val="21"/>
                <w:shd w:val="clear" w:color="auto" w:fill="FFFFFF"/>
              </w:rPr>
              <w:t>企业类似项目经历加分有效期为36个月，按工程竣工验收文件中建设单位签字的时间计算</w:t>
            </w:r>
            <w:r>
              <w:rPr>
                <w:rFonts w:ascii="宋体" w:hAnsi="宋体" w:cs="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1" w:hRule="atLeast"/>
        </w:trPr>
        <w:tc>
          <w:tcPr>
            <w:tcW w:w="1065" w:type="dxa"/>
            <w:vAlign w:val="center"/>
          </w:tcPr>
          <w:p>
            <w:pPr>
              <w:jc w:val="center"/>
              <w:rPr>
                <w:rFonts w:ascii="宋体" w:hAnsi="宋体"/>
                <w:szCs w:val="21"/>
              </w:rPr>
            </w:pPr>
            <w:r>
              <w:rPr>
                <w:rFonts w:hint="eastAsia" w:ascii="宋体" w:hAnsi="宋体"/>
                <w:szCs w:val="21"/>
              </w:rPr>
              <w:t>10.1.2</w:t>
            </w:r>
          </w:p>
        </w:tc>
        <w:tc>
          <w:tcPr>
            <w:tcW w:w="1827" w:type="dxa"/>
            <w:gridSpan w:val="2"/>
            <w:vAlign w:val="center"/>
          </w:tcPr>
          <w:p>
            <w:pPr>
              <w:jc w:val="center"/>
              <w:rPr>
                <w:rFonts w:ascii="宋体" w:hAnsi="宋体"/>
                <w:szCs w:val="21"/>
              </w:rPr>
            </w:pPr>
            <w:r>
              <w:rPr>
                <w:rFonts w:hint="eastAsia" w:ascii="宋体" w:hAnsi="宋体"/>
                <w:szCs w:val="21"/>
              </w:rPr>
              <w:t>不良行为记录</w:t>
            </w:r>
          </w:p>
        </w:tc>
        <w:tc>
          <w:tcPr>
            <w:tcW w:w="6281" w:type="dxa"/>
            <w:vAlign w:val="center"/>
          </w:tcPr>
          <w:p>
            <w:pPr>
              <w:ind w:firstLine="420"/>
              <w:rPr>
                <w:rFonts w:ascii="宋体" w:hAnsi="宋体"/>
              </w:rPr>
            </w:pPr>
            <w:r>
              <w:rPr>
                <w:rFonts w:ascii="宋体" w:hAnsi="宋体"/>
              </w:rPr>
              <w:t>不良行为记录包括工程质量、安全生产、市场行为等方面的情况。省住房和城乡建设厅发布的</w:t>
            </w:r>
            <w:r>
              <w:rPr>
                <w:rFonts w:hint="eastAsia" w:ascii="宋体" w:hAnsi="宋体"/>
              </w:rPr>
              <w:t>《湖南省建筑市场违法违规不良行为记录公布制度》(湘建建[2015]185号)</w:t>
            </w:r>
            <w:r>
              <w:rPr>
                <w:rFonts w:ascii="宋体" w:hAnsi="宋体"/>
              </w:rPr>
              <w:t>是确认本省行政区域内不良行为记录的依据，其有效期限统一按省住房和城乡建设厅发布</w:t>
            </w:r>
            <w:r>
              <w:rPr>
                <w:rFonts w:hint="eastAsia" w:ascii="宋体" w:hAnsi="宋体"/>
                <w:color w:val="000000"/>
                <w:szCs w:val="21"/>
              </w:rPr>
              <w:t>《湖南省建筑市场违法违规不良行为记录公布制度》</w:t>
            </w:r>
            <w:r>
              <w:rPr>
                <w:rFonts w:ascii="宋体" w:hAnsi="宋体"/>
              </w:rPr>
              <w:t>的时间计算</w:t>
            </w:r>
            <w:r>
              <w:rPr>
                <w:rFonts w:hint="eastAsia" w:ascii="宋体" w:hAnsi="宋体"/>
              </w:rPr>
              <w:t>。</w:t>
            </w:r>
          </w:p>
          <w:p>
            <w:pPr>
              <w:ind w:firstLine="420"/>
              <w:rPr>
                <w:rFonts w:ascii="宋体" w:hAnsi="宋体"/>
              </w:rPr>
            </w:pPr>
            <w:r>
              <w:rPr>
                <w:rFonts w:hint="eastAsia" w:ascii="宋体" w:hAnsi="宋体"/>
              </w:rPr>
              <w:t>本省行政区域外符合以下两种情形之一的不良行为记录，作为我省在房屋建筑和市政工程招标评标中的扣分依据：1.住房和城乡建设部统一在全国公布的；2.由外省（自治区、直辖市）建设行政主管部门在当地建筑市场信息平台上统一公布的，其认定标准、认定程序、结果运用与我省规定基本一致，且直接运用于招投标，在评标时采取单项次扣分的。对外省不良行为记录认定标准、认定程序、结果运用与我省规定差别较大，且不直接运用于招投标，在评标中不采取单项次扣分的（如只综合运用于信用等级评价），不作为我省在房屋建筑和市政工程招标评标中的直接扣分依据。本省行政区域外不良行为记录扣分有效期统一按照我省规定执行。当外省相关部门没有确定不良行为记录程度为一般或严重时，按照我省认定标准确认。</w:t>
            </w:r>
          </w:p>
          <w:p>
            <w:pPr>
              <w:rPr>
                <w:rFonts w:ascii="宋体" w:hAnsi="宋体"/>
              </w:rPr>
            </w:pPr>
            <w:r>
              <w:rPr>
                <w:rFonts w:ascii="宋体" w:hAnsi="宋体"/>
              </w:rPr>
              <w:t>省</w:t>
            </w:r>
            <w:r>
              <w:rPr>
                <w:rFonts w:hint="eastAsia" w:ascii="宋体" w:hAnsi="宋体"/>
              </w:rPr>
              <w:t>外</w:t>
            </w:r>
            <w:r>
              <w:rPr>
                <w:rFonts w:ascii="宋体" w:hAnsi="宋体"/>
              </w:rPr>
              <w:t>企业应当在</w:t>
            </w:r>
            <w:r>
              <w:rPr>
                <w:rFonts w:hint="eastAsia" w:ascii="宋体" w:hAnsi="宋体"/>
              </w:rPr>
              <w:t>投标</w:t>
            </w:r>
            <w:r>
              <w:rPr>
                <w:rFonts w:ascii="宋体" w:hAnsi="宋体"/>
              </w:rPr>
              <w:t>文件中如实反映和提供企业及其拟任项目负责人有效期限内</w:t>
            </w:r>
            <w:r>
              <w:rPr>
                <w:rFonts w:hint="eastAsia" w:ascii="宋体" w:hAnsi="宋体"/>
              </w:rPr>
              <w:t>符合上述规定</w:t>
            </w:r>
            <w:r>
              <w:rPr>
                <w:rFonts w:ascii="宋体" w:hAnsi="宋体"/>
              </w:rPr>
              <w:t>的不良行为记录，并附企业注册所在地省级建设行政主管部门的证明文件原件</w:t>
            </w:r>
            <w:r>
              <w:rPr>
                <w:rFonts w:hint="eastAsia" w:ascii="宋体" w:hAnsi="宋体"/>
              </w:rPr>
              <w:t>或相关官方</w:t>
            </w:r>
            <w:r>
              <w:rPr>
                <w:rFonts w:ascii="宋体" w:hAnsi="宋体"/>
              </w:rPr>
              <w:t>网</w:t>
            </w:r>
            <w:r>
              <w:rPr>
                <w:rFonts w:hint="eastAsia" w:ascii="宋体" w:hAnsi="宋体"/>
              </w:rPr>
              <w:t>站</w:t>
            </w:r>
            <w:r>
              <w:rPr>
                <w:rFonts w:ascii="宋体" w:hAnsi="宋体"/>
              </w:rPr>
              <w:t>下载资料。</w:t>
            </w:r>
          </w:p>
          <w:p>
            <w:pPr>
              <w:ind w:firstLine="420" w:firstLineChars="200"/>
              <w:rPr>
                <w:rFonts w:ascii="宋体" w:hAnsi="宋体"/>
                <w:color w:val="000000"/>
                <w:szCs w:val="21"/>
              </w:rPr>
            </w:pPr>
            <w:r>
              <w:rPr>
                <w:rFonts w:hint="eastAsia" w:ascii="宋体" w:hAnsi="宋体"/>
                <w:color w:val="000000"/>
                <w:szCs w:val="21"/>
              </w:rPr>
              <w:t>企业不良行为记录扣分有效期为180天（在本省行政区域内发生不良行为的，以开标时省住房和城乡建设厅已发的文件为准，自公布发文之日起计算），拟任项目负责人不良行为记录扣分有效期为720天（在本省行政区域内发生不良行为的，以开标时省住房和城乡建设厅已发的文件为准，自公布发文之日起计算）。</w:t>
            </w:r>
          </w:p>
          <w:p>
            <w:pPr>
              <w:rPr>
                <w:rFonts w:ascii="宋体" w:hAnsi="宋体"/>
                <w:szCs w:val="21"/>
              </w:rPr>
            </w:pPr>
            <w:r>
              <w:rPr>
                <w:rFonts w:hint="eastAsia" w:ascii="宋体" w:hAnsi="宋体"/>
                <w:b/>
                <w:color w:val="000000"/>
                <w:szCs w:val="21"/>
              </w:rPr>
              <w:t>根据《关于印发湖南省建筑市场违法违规不良行为记录公布制度的通知》（湘建建[2015]185号）文件的要求，湖南省住房和城乡建设厅2016年1月1日之前公布的不良行为记录有效期同时终止。因此本项目只计算2016年1月1日之后公布的不良行为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92" w:hRule="atLeast"/>
        </w:trPr>
        <w:tc>
          <w:tcPr>
            <w:tcW w:w="1065" w:type="dxa"/>
            <w:vAlign w:val="center"/>
          </w:tcPr>
          <w:p>
            <w:pPr>
              <w:spacing w:line="288" w:lineRule="auto"/>
              <w:jc w:val="center"/>
              <w:rPr>
                <w:rFonts w:ascii="宋体" w:hAnsi="宋体"/>
                <w:szCs w:val="21"/>
              </w:rPr>
            </w:pPr>
            <w:r>
              <w:rPr>
                <w:rFonts w:hint="eastAsia" w:ascii="宋体" w:hAnsi="宋体"/>
                <w:szCs w:val="21"/>
              </w:rPr>
              <w:t>10.1.3</w:t>
            </w:r>
          </w:p>
        </w:tc>
        <w:tc>
          <w:tcPr>
            <w:tcW w:w="1827" w:type="dxa"/>
            <w:gridSpan w:val="2"/>
            <w:vAlign w:val="center"/>
          </w:tcPr>
          <w:p>
            <w:pPr>
              <w:spacing w:line="288" w:lineRule="auto"/>
              <w:jc w:val="center"/>
              <w:rPr>
                <w:rFonts w:ascii="宋体" w:hAnsi="宋体"/>
                <w:szCs w:val="21"/>
              </w:rPr>
            </w:pPr>
            <w:r>
              <w:rPr>
                <w:rFonts w:hint="eastAsia" w:ascii="宋体" w:hAnsi="宋体"/>
                <w:szCs w:val="21"/>
              </w:rPr>
              <w:t>工程获奖情况</w:t>
            </w:r>
          </w:p>
        </w:tc>
        <w:tc>
          <w:tcPr>
            <w:tcW w:w="6281" w:type="dxa"/>
            <w:vAlign w:val="center"/>
          </w:tcPr>
          <w:p>
            <w:pPr>
              <w:ind w:firstLine="420" w:firstLineChars="200"/>
              <w:rPr>
                <w:rFonts w:ascii="宋体" w:hAnsi="宋体"/>
                <w:bCs/>
                <w:szCs w:val="21"/>
              </w:rPr>
            </w:pPr>
            <w:r>
              <w:rPr>
                <w:rFonts w:ascii="宋体" w:hAnsi="宋体"/>
                <w:szCs w:val="21"/>
              </w:rPr>
              <w:t>如果招标项目的工程类型与获奖工程的工程类型不一致，则该获奖工程不能加分</w:t>
            </w:r>
            <w:r>
              <w:rPr>
                <w:rFonts w:hint="eastAsia" w:ascii="宋体" w:hAnsi="宋体"/>
                <w:szCs w:val="21"/>
              </w:rPr>
              <w:t>（如房建获奖工程不能加到市政工程，市政获奖工程不能加到房建工程）</w:t>
            </w:r>
            <w:r>
              <w:rPr>
                <w:rFonts w:ascii="宋体" w:hAnsi="宋体"/>
                <w:szCs w:val="21"/>
              </w:rPr>
              <w:t>；招标项目的工程规模及面积没有达到相应奖项所要求的规模及面积时，该奖项不能加分；其中外省（市）的奖项以本省相应奖项的规模及面积要求为准，外省（市）由省级建设行政主管部门或省级建筑业协会评定的综合工程质量奖项按省优质工程奖加分，投标人如能提供每年该奖项工程数量控制在</w:t>
            </w:r>
            <w:r>
              <w:rPr>
                <w:rFonts w:hint="eastAsia" w:ascii="宋体" w:hAnsi="宋体"/>
                <w:szCs w:val="21"/>
              </w:rPr>
              <w:t>《湖南省建设工程芙蓉奖评选办法》（湘建协</w:t>
            </w:r>
            <w:r>
              <w:rPr>
                <w:rFonts w:ascii="宋体" w:hAnsi="宋体"/>
                <w:szCs w:val="21"/>
              </w:rPr>
              <w:t>[2016]17号）第四条规定项</w:t>
            </w:r>
            <w:r>
              <w:rPr>
                <w:rFonts w:hint="eastAsia" w:ascii="宋体" w:hAnsi="宋体"/>
                <w:szCs w:val="21"/>
              </w:rPr>
              <w:t>数</w:t>
            </w:r>
            <w:r>
              <w:rPr>
                <w:rFonts w:ascii="宋体" w:hAnsi="宋体"/>
                <w:szCs w:val="21"/>
              </w:rPr>
              <w:t>以内的有效证明文件，则该获奖工程按芙蓉奖加分；</w:t>
            </w:r>
            <w:r>
              <w:rPr>
                <w:rFonts w:hint="eastAsia" w:ascii="宋体" w:hAnsi="宋体"/>
                <w:szCs w:val="21"/>
              </w:rPr>
              <w:t>专业工程招标时，若为具有相应招标专业工程资质的总承包资质企业或多项专业工程承包资质企业的工程获奖，且获奖证书或表彰文件（含官方网站下载的表彰文件，下同。鲁班奖以中国建筑业协会每年评选确定的公布文件为准；全国建筑工程装饰奖以中国建筑装饰协会每年评选确定的公布文件为准）中不能体</w:t>
            </w:r>
            <w:r>
              <w:rPr>
                <w:rFonts w:hint="eastAsia" w:ascii="宋体" w:hAnsi="宋体"/>
                <w:bCs/>
                <w:szCs w:val="21"/>
              </w:rPr>
              <w:t>现相应招标专业工程时，则需提供承包合同且合同内容须包含该专业工程，否则该奖项不加分；若为不构成实体的专业工程（如土石方工程、场地平整、基坑支护工程等），则除AAA级安全文明标准化工地和省创建安全质量标准化示范工地奖项可以加分外，其他所有奖项不加分</w:t>
            </w:r>
            <w:r>
              <w:rPr>
                <w:rFonts w:hint="eastAsia" w:ascii="宋体" w:hAnsi="宋体" w:cs="楷体_GB2312"/>
                <w:szCs w:val="21"/>
              </w:rPr>
              <w:t>。</w:t>
            </w:r>
          </w:p>
          <w:p>
            <w:pPr>
              <w:ind w:firstLine="420" w:firstLineChars="200"/>
              <w:rPr>
                <w:rFonts w:ascii="宋体" w:hAnsi="宋体"/>
                <w:b/>
                <w:bCs/>
                <w:szCs w:val="21"/>
              </w:rPr>
            </w:pPr>
            <w:r>
              <w:rPr>
                <w:rFonts w:ascii="宋体" w:hAnsi="宋体"/>
                <w:szCs w:val="21"/>
              </w:rPr>
              <w:t>企业及拟任本招标项目的项目负责人对同一工程的</w:t>
            </w:r>
            <w:r>
              <w:rPr>
                <w:rFonts w:hint="eastAsia" w:ascii="宋体" w:hAnsi="宋体"/>
                <w:szCs w:val="21"/>
              </w:rPr>
              <w:t>同类奖项（注：质量奖项、安全奖项为不同类型奖项）</w:t>
            </w:r>
            <w:r>
              <w:rPr>
                <w:rFonts w:ascii="宋体" w:hAnsi="宋体"/>
                <w:szCs w:val="21"/>
              </w:rPr>
              <w:t>获奖加分、或企业同时通过省、市安全认证计分，只能按最高奖项（级）加（计）分，不得重复加（计）分。鲁班奖、AAA级安全文明标准化工地、全国建筑工程装饰奖、全国金杯示范工程累计加分不超过3项。当芙蓉奖、省优质工程、省安全质量标准化示范工程、省创建安全质量标准化示范工地等累计加分不超过7项时，按</w:t>
            </w:r>
            <w:r>
              <w:rPr>
                <w:rFonts w:hint="eastAsia" w:ascii="宋体" w:hAnsi="宋体"/>
                <w:szCs w:val="21"/>
              </w:rPr>
              <w:t>第三章“信誉评审计分表”</w:t>
            </w:r>
            <w:r>
              <w:rPr>
                <w:rFonts w:ascii="宋体" w:hAnsi="宋体"/>
                <w:szCs w:val="21"/>
              </w:rPr>
              <w:t>中评审标准加分；当芙蓉奖、省优质工程、省安全质量标准化示范工程、省创建安全质量标准化示范工地等累计超过7项时，超过7项部分按表中评审标准五分之一加分。拟任本招标项目的项目负责人获奖工程加分的工程项目合计不得超过2项。</w:t>
            </w:r>
          </w:p>
          <w:p>
            <w:pPr>
              <w:ind w:firstLine="420" w:firstLineChars="200"/>
              <w:rPr>
                <w:rFonts w:ascii="宋体" w:hAnsi="宋体"/>
                <w:szCs w:val="21"/>
              </w:rPr>
            </w:pPr>
            <w:r>
              <w:rPr>
                <w:rFonts w:ascii="宋体" w:hAnsi="宋体"/>
                <w:szCs w:val="21"/>
              </w:rPr>
              <w:t>企业及其拟任项目负责人所承担工程获奖加分，鲁班奖以提交</w:t>
            </w:r>
            <w:r>
              <w:rPr>
                <w:rFonts w:hint="eastAsia" w:ascii="宋体" w:hAnsi="宋体"/>
                <w:szCs w:val="21"/>
              </w:rPr>
              <w:t>投标</w:t>
            </w:r>
            <w:r>
              <w:rPr>
                <w:rFonts w:ascii="宋体" w:hAnsi="宋体"/>
                <w:szCs w:val="21"/>
              </w:rPr>
              <w:t>文件截止时间前</w:t>
            </w:r>
            <w:r>
              <w:rPr>
                <w:rFonts w:hint="eastAsia" w:ascii="宋体" w:hAnsi="宋体"/>
                <w:szCs w:val="21"/>
              </w:rPr>
              <w:t>最新（近）的2</w:t>
            </w:r>
            <w:r>
              <w:rPr>
                <w:rFonts w:ascii="宋体" w:hAnsi="宋体"/>
                <w:szCs w:val="21"/>
              </w:rPr>
              <w:t>个年度为准，省创建安全质量标准化示范工地以</w:t>
            </w:r>
            <w:r>
              <w:rPr>
                <w:rFonts w:hint="eastAsia" w:ascii="宋体" w:hAnsi="宋体"/>
                <w:szCs w:val="21"/>
              </w:rPr>
              <w:t>最新（近）的</w:t>
            </w:r>
            <w:r>
              <w:rPr>
                <w:rFonts w:ascii="宋体" w:hAnsi="宋体"/>
                <w:szCs w:val="21"/>
              </w:rPr>
              <w:t>半年为准，其他奖项以</w:t>
            </w:r>
            <w:r>
              <w:rPr>
                <w:rFonts w:hint="eastAsia" w:ascii="宋体" w:hAnsi="宋体"/>
                <w:szCs w:val="21"/>
              </w:rPr>
              <w:t>最新（近）的1个</w:t>
            </w:r>
            <w:r>
              <w:rPr>
                <w:rFonts w:ascii="宋体" w:hAnsi="宋体"/>
                <w:szCs w:val="21"/>
              </w:rPr>
              <w:t>年度情况为准，</w:t>
            </w:r>
            <w:r>
              <w:rPr>
                <w:rFonts w:hint="eastAsia" w:ascii="宋体" w:hAnsi="宋体"/>
                <w:szCs w:val="21"/>
              </w:rPr>
              <w:t>鲁班奖的认定以中国建筑业协会每年评选确定的公布文件为准，按公布文件发布时间计算；全国建筑工程装饰奖的认定以中国建筑装饰协会每年评选确定的公布文件为准，按公布文件发布时间计算，其他奖项</w:t>
            </w:r>
            <w:r>
              <w:rPr>
                <w:rFonts w:ascii="宋体" w:hAnsi="宋体"/>
                <w:szCs w:val="21"/>
              </w:rPr>
              <w:t>发布表彰文件的按文件发布时间计算，没有发布表彰文件的按证书注明时间计算</w:t>
            </w:r>
            <w:r>
              <w:rPr>
                <w:rFonts w:hint="eastAsia" w:ascii="宋体" w:hAnsi="宋体"/>
                <w:szCs w:val="21"/>
              </w:rPr>
              <w:t>。</w:t>
            </w:r>
          </w:p>
          <w:p>
            <w:pPr>
              <w:spacing w:line="288" w:lineRule="auto"/>
              <w:ind w:firstLine="422" w:firstLineChars="200"/>
              <w:rPr>
                <w:rFonts w:ascii="宋体" w:hAnsi="宋体"/>
                <w:szCs w:val="21"/>
              </w:rPr>
            </w:pPr>
            <w:r>
              <w:rPr>
                <w:rFonts w:hint="eastAsia" w:ascii="宋体" w:hAnsi="宋体"/>
                <w:b/>
                <w:szCs w:val="21"/>
              </w:rPr>
              <w:t>本招标项目对奖项均不加分。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065" w:type="dxa"/>
            <w:vAlign w:val="center"/>
          </w:tcPr>
          <w:p>
            <w:pPr>
              <w:spacing w:line="288" w:lineRule="auto"/>
              <w:jc w:val="center"/>
              <w:rPr>
                <w:rFonts w:ascii="宋体" w:hAnsi="宋体"/>
                <w:szCs w:val="21"/>
              </w:rPr>
            </w:pPr>
            <w:r>
              <w:rPr>
                <w:rFonts w:hint="eastAsia" w:ascii="宋体" w:hAnsi="宋体"/>
                <w:szCs w:val="21"/>
              </w:rPr>
              <w:t>10.1.4</w:t>
            </w:r>
          </w:p>
        </w:tc>
        <w:tc>
          <w:tcPr>
            <w:tcW w:w="1827" w:type="dxa"/>
            <w:gridSpan w:val="2"/>
            <w:vAlign w:val="center"/>
          </w:tcPr>
          <w:p>
            <w:pPr>
              <w:spacing w:line="288" w:lineRule="auto"/>
              <w:jc w:val="center"/>
              <w:rPr>
                <w:rFonts w:ascii="宋体" w:hAnsi="宋体"/>
                <w:szCs w:val="21"/>
              </w:rPr>
            </w:pPr>
            <w:r>
              <w:rPr>
                <w:rFonts w:hint="eastAsia" w:ascii="宋体" w:hAnsi="宋体"/>
                <w:szCs w:val="21"/>
              </w:rPr>
              <w:t>企业安全认证</w:t>
            </w:r>
          </w:p>
        </w:tc>
        <w:tc>
          <w:tcPr>
            <w:tcW w:w="6281" w:type="dxa"/>
            <w:vAlign w:val="center"/>
          </w:tcPr>
          <w:p>
            <w:pPr>
              <w:spacing w:line="288" w:lineRule="auto"/>
              <w:rPr>
                <w:rFonts w:ascii="宋体" w:hAnsi="宋体"/>
                <w:szCs w:val="21"/>
              </w:rPr>
            </w:pPr>
            <w:r>
              <w:rPr>
                <w:rFonts w:hint="eastAsia" w:ascii="宋体" w:hAnsi="宋体"/>
                <w:szCs w:val="21"/>
              </w:rPr>
              <w:t>企业安全认证以相关证书或公布文件注明的有效期为准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9173" w:type="dxa"/>
            <w:gridSpan w:val="4"/>
            <w:vAlign w:val="center"/>
          </w:tcPr>
          <w:p>
            <w:pPr>
              <w:spacing w:line="288" w:lineRule="auto"/>
              <w:rPr>
                <w:rFonts w:ascii="宋体" w:hAnsi="宋体"/>
                <w:szCs w:val="21"/>
              </w:rPr>
            </w:pPr>
            <w:r>
              <w:rPr>
                <w:rFonts w:hint="eastAsia" w:ascii="宋体" w:hAnsi="宋体"/>
                <w:szCs w:val="21"/>
              </w:rPr>
              <w:t>10.2  招标控制价（适用于经评审的最低投标价法、综合评估法Ⅰ、综合评估法Ⅱ、最低投标价法）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59" w:hRule="atLeast"/>
        </w:trPr>
        <w:tc>
          <w:tcPr>
            <w:tcW w:w="1065" w:type="dxa"/>
            <w:vAlign w:val="center"/>
          </w:tcPr>
          <w:p>
            <w:pPr>
              <w:spacing w:line="288" w:lineRule="auto"/>
              <w:jc w:val="center"/>
              <w:rPr>
                <w:rFonts w:ascii="宋体" w:hAnsi="宋体"/>
                <w:szCs w:val="21"/>
              </w:rPr>
            </w:pPr>
          </w:p>
        </w:tc>
        <w:tc>
          <w:tcPr>
            <w:tcW w:w="1827" w:type="dxa"/>
            <w:gridSpan w:val="2"/>
            <w:vAlign w:val="center"/>
          </w:tcPr>
          <w:p>
            <w:pPr>
              <w:spacing w:line="288" w:lineRule="auto"/>
              <w:jc w:val="center"/>
              <w:rPr>
                <w:rFonts w:ascii="宋体" w:hAnsi="宋体"/>
                <w:szCs w:val="21"/>
              </w:rPr>
            </w:pPr>
            <w:r>
              <w:rPr>
                <w:rFonts w:hint="eastAsia" w:ascii="宋体" w:hAnsi="宋体"/>
                <w:szCs w:val="21"/>
              </w:rPr>
              <w:t>招标控制价</w:t>
            </w:r>
          </w:p>
        </w:tc>
        <w:tc>
          <w:tcPr>
            <w:tcW w:w="6281" w:type="dxa"/>
            <w:vAlign w:val="center"/>
          </w:tcPr>
          <w:p>
            <w:pPr>
              <w:spacing w:line="288" w:lineRule="auto"/>
              <w:rPr>
                <w:rFonts w:ascii="宋体" w:hAnsi="宋体"/>
                <w:b/>
                <w:szCs w:val="21"/>
              </w:rPr>
            </w:pPr>
            <w:r>
              <w:rPr>
                <w:rFonts w:hint="eastAsia" w:ascii="宋体" w:hAnsi="宋体"/>
                <w:b/>
                <w:szCs w:val="21"/>
              </w:rPr>
              <w:t>招标控制价为</w:t>
            </w:r>
            <w:r>
              <w:rPr>
                <w:rFonts w:hint="eastAsia" w:ascii="宋体" w:hAnsi="宋体"/>
                <w:b/>
                <w:szCs w:val="21"/>
                <w:lang w:val="en-US" w:eastAsia="zh-CN"/>
              </w:rPr>
              <w:t>239.66万</w:t>
            </w:r>
            <w:r>
              <w:rPr>
                <w:rFonts w:hint="eastAsia" w:ascii="宋体" w:hAnsi="宋体"/>
                <w:b/>
                <w:szCs w:val="21"/>
              </w:rPr>
              <w:t>元</w:t>
            </w:r>
          </w:p>
          <w:p>
            <w:pPr>
              <w:spacing w:line="288" w:lineRule="auto"/>
              <w:rPr>
                <w:rFonts w:ascii="宋体" w:hAnsi="宋体"/>
                <w:szCs w:val="21"/>
              </w:rPr>
            </w:pPr>
            <w:r>
              <w:rPr>
                <w:rFonts w:hint="eastAsia" w:ascii="宋体" w:hAnsi="宋体"/>
                <w:b/>
                <w:szCs w:val="21"/>
              </w:rPr>
              <w:t>投标人在投标截止时间十日前，可对招标控制价向招标人或招标代理机构书面提出异议；招标人对招标控制价若有调整，则在投标截止时间十五日前在</w:t>
            </w:r>
            <w:r>
              <w:rPr>
                <w:rFonts w:hint="eastAsia" w:ascii="宋体" w:hAnsi="宋体"/>
                <w:b/>
                <w:szCs w:val="21"/>
                <w:u w:val="single"/>
              </w:rPr>
              <w:t>湖南省招标投标监管网</w:t>
            </w:r>
            <w:r>
              <w:rPr>
                <w:rFonts w:hint="eastAsia" w:ascii="宋体" w:hAnsi="宋体"/>
                <w:b/>
                <w:szCs w:val="21"/>
              </w:rPr>
              <w:t>上公示。投标人自行查阅，不另行通知。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9173" w:type="dxa"/>
            <w:gridSpan w:val="4"/>
            <w:vAlign w:val="center"/>
          </w:tcPr>
          <w:p>
            <w:pPr>
              <w:rPr>
                <w:rFonts w:ascii="宋体" w:hAnsi="宋体"/>
                <w:szCs w:val="21"/>
              </w:rPr>
            </w:pPr>
            <w:r>
              <w:rPr>
                <w:rFonts w:hint="eastAsia" w:ascii="宋体" w:hAnsi="宋体"/>
                <w:szCs w:val="21"/>
              </w:rPr>
              <w:t>10.3  “暗标”评审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192" w:hRule="atLeast"/>
        </w:trPr>
        <w:tc>
          <w:tcPr>
            <w:tcW w:w="1065" w:type="dxa"/>
            <w:vAlign w:val="center"/>
          </w:tcPr>
          <w:p>
            <w:pPr>
              <w:jc w:val="center"/>
              <w:rPr>
                <w:rFonts w:ascii="宋体" w:hAnsi="宋体"/>
                <w:szCs w:val="21"/>
              </w:rPr>
            </w:pPr>
          </w:p>
        </w:tc>
        <w:tc>
          <w:tcPr>
            <w:tcW w:w="1827" w:type="dxa"/>
            <w:gridSpan w:val="2"/>
            <w:vAlign w:val="center"/>
          </w:tcPr>
          <w:p>
            <w:pPr>
              <w:jc w:val="center"/>
              <w:rPr>
                <w:rFonts w:ascii="宋体" w:hAnsi="宋体"/>
                <w:szCs w:val="21"/>
              </w:rPr>
            </w:pPr>
            <w:r>
              <w:rPr>
                <w:rFonts w:hint="eastAsia" w:ascii="宋体" w:hAnsi="宋体"/>
                <w:szCs w:val="21"/>
              </w:rPr>
              <w:t>施工组织设计是否采用“暗标”评审方式</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不采用</w:t>
            </w:r>
          </w:p>
          <w:p>
            <w:pPr>
              <w:rPr>
                <w:rFonts w:ascii="宋体" w:hAnsi="宋体"/>
                <w:szCs w:val="21"/>
              </w:rPr>
            </w:pPr>
            <w:r>
              <w:rPr>
                <w:rFonts w:hint="eastAsia" w:ascii="宋体" w:hAnsi="宋体"/>
                <w:szCs w:val="21"/>
              </w:rPr>
              <w:t>□采用，投标人应严格按照第八章“投标文件格式”中“施工组织设计（技术暗标）编制及装订要求”编制和装订施工组织设计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trPr>
        <w:tc>
          <w:tcPr>
            <w:tcW w:w="9173" w:type="dxa"/>
            <w:gridSpan w:val="4"/>
            <w:vAlign w:val="center"/>
          </w:tcPr>
          <w:p>
            <w:pPr>
              <w:rPr>
                <w:rFonts w:ascii="宋体" w:hAnsi="宋体"/>
                <w:szCs w:val="21"/>
              </w:rPr>
            </w:pPr>
            <w:r>
              <w:rPr>
                <w:rFonts w:hint="eastAsia" w:ascii="宋体" w:hAnsi="宋体"/>
                <w:szCs w:val="21"/>
              </w:rPr>
              <w:t>10.4  投标文件电子版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489" w:hRule="atLeast"/>
        </w:trPr>
        <w:tc>
          <w:tcPr>
            <w:tcW w:w="1065" w:type="dxa"/>
            <w:vAlign w:val="center"/>
          </w:tcPr>
          <w:p>
            <w:pPr>
              <w:spacing w:line="240" w:lineRule="exact"/>
              <w:jc w:val="center"/>
              <w:rPr>
                <w:rFonts w:ascii="宋体" w:hAnsi="宋体"/>
                <w:szCs w:val="21"/>
              </w:rPr>
            </w:pPr>
          </w:p>
        </w:tc>
        <w:tc>
          <w:tcPr>
            <w:tcW w:w="1827" w:type="dxa"/>
            <w:gridSpan w:val="2"/>
            <w:vAlign w:val="center"/>
          </w:tcPr>
          <w:p>
            <w:pPr>
              <w:spacing w:line="240" w:lineRule="exact"/>
              <w:jc w:val="center"/>
              <w:rPr>
                <w:rFonts w:ascii="宋体" w:hAnsi="宋体"/>
                <w:szCs w:val="21"/>
              </w:rPr>
            </w:pPr>
            <w:r>
              <w:rPr>
                <w:rFonts w:hint="eastAsia" w:ascii="宋体" w:hAnsi="宋体"/>
                <w:szCs w:val="21"/>
              </w:rPr>
              <w:t>是否要求投标人在递交投标文件时，同时递交投标文件电子版</w:t>
            </w:r>
          </w:p>
        </w:tc>
        <w:tc>
          <w:tcPr>
            <w:tcW w:w="6281" w:type="dxa"/>
            <w:vAlign w:val="center"/>
          </w:tcPr>
          <w:p>
            <w:pPr>
              <w:spacing w:line="240" w:lineRule="exact"/>
              <w:rPr>
                <w:rFonts w:ascii="宋体" w:hAnsi="宋体"/>
                <w:szCs w:val="21"/>
              </w:rPr>
            </w:pPr>
            <w:r>
              <w:rPr>
                <w:rFonts w:ascii="Arial" w:hAnsi="Arial" w:cs="Arial"/>
                <w:szCs w:val="21"/>
              </w:rPr>
              <w:t>√</w:t>
            </w:r>
            <w:r>
              <w:rPr>
                <w:rFonts w:hint="eastAsia" w:ascii="宋体" w:hAnsi="宋体"/>
                <w:szCs w:val="21"/>
              </w:rPr>
              <w:t>不要求</w:t>
            </w:r>
          </w:p>
          <w:p>
            <w:pPr>
              <w:spacing w:line="240" w:lineRule="exact"/>
              <w:rPr>
                <w:rFonts w:ascii="宋体" w:hAnsi="宋体"/>
                <w:szCs w:val="21"/>
              </w:rPr>
            </w:pPr>
            <w:r>
              <w:rPr>
                <w:rFonts w:hint="eastAsia" w:ascii="宋体" w:hAnsi="宋体"/>
                <w:szCs w:val="21"/>
              </w:rPr>
              <w:t>□要求，投标文件电子版内容：</w:t>
            </w:r>
          </w:p>
          <w:p>
            <w:pPr>
              <w:spacing w:line="240" w:lineRule="exact"/>
              <w:rPr>
                <w:rFonts w:ascii="宋体" w:hAnsi="宋体"/>
                <w:szCs w:val="21"/>
                <w:u w:val="single"/>
              </w:rPr>
            </w:pPr>
          </w:p>
          <w:p>
            <w:pPr>
              <w:spacing w:line="240" w:lineRule="exact"/>
              <w:rPr>
                <w:rFonts w:ascii="宋体" w:hAnsi="宋体"/>
                <w:szCs w:val="21"/>
              </w:rPr>
            </w:pPr>
            <w:r>
              <w:rPr>
                <w:rFonts w:hint="eastAsia" w:ascii="宋体" w:hAnsi="宋体"/>
                <w:szCs w:val="21"/>
              </w:rPr>
              <w:t xml:space="preserve">        投标文件电子版份数：</w:t>
            </w:r>
          </w:p>
          <w:p>
            <w:pPr>
              <w:spacing w:line="240" w:lineRule="exact"/>
              <w:rPr>
                <w:rFonts w:ascii="宋体" w:hAnsi="宋体"/>
                <w:szCs w:val="21"/>
                <w:u w:val="single"/>
              </w:rPr>
            </w:pPr>
          </w:p>
          <w:p>
            <w:pPr>
              <w:spacing w:line="240" w:lineRule="exact"/>
              <w:rPr>
                <w:rFonts w:ascii="宋体" w:hAnsi="宋体"/>
                <w:szCs w:val="21"/>
              </w:rPr>
            </w:pPr>
            <w:r>
              <w:rPr>
                <w:rFonts w:hint="eastAsia" w:ascii="宋体" w:hAnsi="宋体"/>
                <w:szCs w:val="21"/>
              </w:rPr>
              <w:t xml:space="preserve">        投标文件电子版形式：</w:t>
            </w:r>
          </w:p>
          <w:p>
            <w:pPr>
              <w:spacing w:line="240" w:lineRule="exact"/>
              <w:rPr>
                <w:rFonts w:ascii="宋体" w:hAnsi="宋体"/>
                <w:szCs w:val="21"/>
                <w:u w:val="single"/>
              </w:rPr>
            </w:pPr>
          </w:p>
          <w:p>
            <w:pPr>
              <w:spacing w:line="240" w:lineRule="exact"/>
              <w:rPr>
                <w:rFonts w:ascii="宋体" w:hAnsi="宋体"/>
                <w:szCs w:val="21"/>
              </w:rPr>
            </w:pPr>
            <w:r>
              <w:rPr>
                <w:rFonts w:hint="eastAsia" w:ascii="宋体" w:hAnsi="宋体"/>
                <w:szCs w:val="21"/>
              </w:rPr>
              <w:t xml:space="preserve">        投标文件电子版密封方式：单独放入一个密封袋中，加贴封条，</w:t>
            </w:r>
            <w:r>
              <w:rPr>
                <w:rFonts w:hint="eastAsia" w:ascii="宋体" w:hAnsi="宋体"/>
                <w:spacing w:val="6"/>
                <w:szCs w:val="21"/>
              </w:rPr>
              <w:t>并在封套封口处加盖投标人</w:t>
            </w:r>
            <w:r>
              <w:rPr>
                <w:rFonts w:hint="eastAsia" w:ascii="宋体" w:hAnsi="宋体"/>
                <w:szCs w:val="21"/>
              </w:rPr>
              <w:t>单位章，在封套上标记“投标文件电子版”字样。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9173" w:type="dxa"/>
            <w:gridSpan w:val="4"/>
            <w:vAlign w:val="center"/>
          </w:tcPr>
          <w:p>
            <w:pPr>
              <w:rPr>
                <w:rFonts w:ascii="宋体" w:hAnsi="宋体"/>
                <w:szCs w:val="21"/>
              </w:rPr>
            </w:pPr>
            <w:r>
              <w:rPr>
                <w:rFonts w:hint="eastAsia" w:ascii="宋体" w:hAnsi="宋体"/>
                <w:szCs w:val="21"/>
              </w:rPr>
              <w:t>10.5  计算机辅助评标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065" w:type="dxa"/>
            <w:vAlign w:val="center"/>
          </w:tcPr>
          <w:p>
            <w:pPr>
              <w:jc w:val="center"/>
              <w:rPr>
                <w:rFonts w:ascii="宋体" w:hAnsi="宋体"/>
                <w:szCs w:val="21"/>
              </w:rPr>
            </w:pPr>
          </w:p>
        </w:tc>
        <w:tc>
          <w:tcPr>
            <w:tcW w:w="1827" w:type="dxa"/>
            <w:gridSpan w:val="2"/>
            <w:vAlign w:val="center"/>
          </w:tcPr>
          <w:p>
            <w:pPr>
              <w:rPr>
                <w:rFonts w:ascii="宋体" w:hAnsi="宋体"/>
                <w:szCs w:val="21"/>
              </w:rPr>
            </w:pPr>
            <w:r>
              <w:rPr>
                <w:rFonts w:hint="eastAsia" w:ascii="宋体" w:hAnsi="宋体"/>
                <w:szCs w:val="21"/>
              </w:rPr>
              <w:t>是否实行计算机辅助评标</w:t>
            </w:r>
          </w:p>
        </w:tc>
        <w:tc>
          <w:tcPr>
            <w:tcW w:w="6281" w:type="dxa"/>
            <w:vAlign w:val="center"/>
          </w:tcPr>
          <w:p>
            <w:pPr>
              <w:rPr>
                <w:rFonts w:ascii="宋体" w:hAnsi="宋体"/>
                <w:szCs w:val="21"/>
              </w:rPr>
            </w:pPr>
            <w:r>
              <w:rPr>
                <w:rFonts w:ascii="Arial" w:hAnsi="Arial" w:cs="Arial"/>
                <w:szCs w:val="21"/>
              </w:rPr>
              <w:t>√</w:t>
            </w:r>
            <w:r>
              <w:rPr>
                <w:rFonts w:hint="eastAsia" w:ascii="宋体" w:hAnsi="宋体"/>
                <w:szCs w:val="21"/>
              </w:rPr>
              <w:t>否</w:t>
            </w:r>
          </w:p>
          <w:p>
            <w:pPr>
              <w:ind w:left="210" w:hanging="210" w:hangingChars="100"/>
              <w:rPr>
                <w:rFonts w:ascii="宋体" w:hAnsi="宋体"/>
                <w:szCs w:val="21"/>
              </w:rPr>
            </w:pPr>
            <w:r>
              <w:rPr>
                <w:rFonts w:hint="eastAsia" w:ascii="宋体" w:hAnsi="宋体"/>
                <w:szCs w:val="21"/>
              </w:rPr>
              <w:t>□是，投标人需递交纸质投标文件一份，同时按本须知附表八“电子投标文件编制及报送要求”编制及报送电子投标文件。计算机辅助评标方法见第三章“评标办法”。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9173" w:type="dxa"/>
            <w:gridSpan w:val="4"/>
            <w:vAlign w:val="center"/>
          </w:tcPr>
          <w:p>
            <w:pPr>
              <w:ind w:left="210" w:hanging="210" w:hangingChars="100"/>
              <w:rPr>
                <w:rFonts w:ascii="宋体" w:hAnsi="宋体"/>
                <w:szCs w:val="21"/>
              </w:rPr>
            </w:pPr>
            <w:r>
              <w:rPr>
                <w:rFonts w:hint="eastAsia" w:ascii="宋体" w:hAnsi="宋体"/>
                <w:szCs w:val="21"/>
              </w:rPr>
              <w:t>10.6投标人代表出席开标会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065" w:type="dxa"/>
            <w:vAlign w:val="center"/>
          </w:tcPr>
          <w:p>
            <w:pPr>
              <w:jc w:val="center"/>
              <w:rPr>
                <w:rFonts w:ascii="宋体" w:hAnsi="宋体"/>
                <w:szCs w:val="21"/>
              </w:rPr>
            </w:pPr>
          </w:p>
        </w:tc>
        <w:tc>
          <w:tcPr>
            <w:tcW w:w="1704" w:type="dxa"/>
            <w:vAlign w:val="center"/>
          </w:tcPr>
          <w:p>
            <w:pPr>
              <w:widowControl/>
              <w:jc w:val="center"/>
              <w:rPr>
                <w:rFonts w:ascii="宋体" w:hAnsi="宋体"/>
                <w:szCs w:val="21"/>
              </w:rPr>
            </w:pPr>
            <w:r>
              <w:rPr>
                <w:rFonts w:hint="eastAsia" w:ascii="宋体" w:hAnsi="宋体"/>
                <w:szCs w:val="21"/>
              </w:rPr>
              <w:t>身份验证</w:t>
            </w:r>
          </w:p>
        </w:tc>
        <w:tc>
          <w:tcPr>
            <w:tcW w:w="6404" w:type="dxa"/>
            <w:gridSpan w:val="2"/>
            <w:vAlign w:val="center"/>
          </w:tcPr>
          <w:p>
            <w:pPr>
              <w:ind w:firstLine="422" w:firstLineChars="200"/>
              <w:rPr>
                <w:rFonts w:ascii="宋体" w:hAnsi="宋体"/>
                <w:szCs w:val="21"/>
              </w:rPr>
            </w:pPr>
            <w:r>
              <w:rPr>
                <w:rFonts w:hint="eastAsia" w:ascii="宋体" w:hAnsi="宋体"/>
                <w:b/>
                <w:szCs w:val="21"/>
              </w:rPr>
              <w:t>按照本须知第5.1款的规定，招标人邀请所有投标人的法定代表人或项目负责人持本人身份证原件参加开标会。并在招标人按开标</w:t>
            </w:r>
            <w:r>
              <w:rPr>
                <w:rFonts w:hint="eastAsia" w:ascii="宋体" w:hAnsi="宋体"/>
                <w:b/>
                <w:bCs/>
                <w:szCs w:val="21"/>
              </w:rPr>
              <w:t>程序</w:t>
            </w:r>
            <w:r>
              <w:rPr>
                <w:rFonts w:hint="eastAsia" w:ascii="宋体" w:hAnsi="宋体"/>
                <w:b/>
                <w:szCs w:val="21"/>
              </w:rPr>
              <w:t>进行点名时，向招标人提交法定代表人身份证明文件或授权委托书原件，出示本人身份证，以证明其出席，</w:t>
            </w:r>
            <w:r>
              <w:rPr>
                <w:rFonts w:hint="eastAsia" w:ascii="宋体" w:hAnsi="宋体"/>
                <w:b/>
                <w:bCs/>
              </w:rPr>
              <w:t>否则，其提交的投标文件招标人不予受理</w:t>
            </w:r>
            <w:r>
              <w:rPr>
                <w:rFonts w:hint="eastAsia" w:ascii="宋体" w:hAnsi="宋体"/>
                <w:b/>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9173" w:type="dxa"/>
            <w:gridSpan w:val="4"/>
            <w:vAlign w:val="center"/>
          </w:tcPr>
          <w:p>
            <w:pPr>
              <w:rPr>
                <w:rFonts w:ascii="宋体" w:hAnsi="宋体"/>
                <w:bCs/>
              </w:rPr>
            </w:pPr>
            <w:r>
              <w:rPr>
                <w:rFonts w:hint="eastAsia" w:ascii="宋体" w:hAnsi="宋体"/>
                <w:bCs/>
              </w:rPr>
              <w:t>10.7开标时要求提交的原件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1065" w:type="dxa"/>
            <w:vAlign w:val="center"/>
          </w:tcPr>
          <w:p>
            <w:pPr>
              <w:jc w:val="center"/>
              <w:rPr>
                <w:rFonts w:ascii="宋体" w:hAnsi="宋体"/>
                <w:szCs w:val="21"/>
              </w:rPr>
            </w:pPr>
          </w:p>
        </w:tc>
        <w:tc>
          <w:tcPr>
            <w:tcW w:w="1704" w:type="dxa"/>
            <w:vAlign w:val="center"/>
          </w:tcPr>
          <w:p>
            <w:pPr>
              <w:rPr>
                <w:rFonts w:ascii="宋体" w:hAnsi="宋体"/>
                <w:szCs w:val="21"/>
              </w:rPr>
            </w:pPr>
            <w:r>
              <w:rPr>
                <w:rFonts w:hint="eastAsia" w:ascii="宋体" w:hAnsi="宋体"/>
                <w:szCs w:val="21"/>
              </w:rPr>
              <w:t>开标时要求提交的证书及证明原件：</w:t>
            </w:r>
          </w:p>
          <w:p>
            <w:pPr>
              <w:widowControl/>
              <w:jc w:val="center"/>
              <w:rPr>
                <w:rFonts w:ascii="宋体" w:hAnsi="宋体"/>
                <w:szCs w:val="21"/>
              </w:rPr>
            </w:pPr>
          </w:p>
        </w:tc>
        <w:tc>
          <w:tcPr>
            <w:tcW w:w="6404" w:type="dxa"/>
            <w:gridSpan w:val="2"/>
            <w:vAlign w:val="center"/>
          </w:tcPr>
          <w:p>
            <w:pPr>
              <w:snapToGrid w:val="0"/>
              <w:rPr>
                <w:rFonts w:ascii="宋体" w:hAnsi="宋体"/>
                <w:szCs w:val="21"/>
              </w:rPr>
            </w:pPr>
            <w:r>
              <w:rPr>
                <w:rFonts w:hint="eastAsia" w:ascii="宋体" w:hAnsi="宋体"/>
                <w:szCs w:val="21"/>
              </w:rPr>
              <w:t>（1）营业执照副本；</w:t>
            </w:r>
          </w:p>
          <w:p>
            <w:pPr>
              <w:snapToGrid w:val="0"/>
              <w:rPr>
                <w:rFonts w:ascii="宋体" w:hAnsi="宋体"/>
                <w:szCs w:val="21"/>
              </w:rPr>
            </w:pPr>
            <w:r>
              <w:rPr>
                <w:rFonts w:hint="eastAsia" w:ascii="宋体" w:hAnsi="宋体"/>
                <w:szCs w:val="21"/>
              </w:rPr>
              <w:t>（2）资质等级证书副本（资质证书提供复印件的应加盖投标单位公章，并可通过扫描二维码查询）；</w:t>
            </w:r>
          </w:p>
          <w:p>
            <w:pPr>
              <w:snapToGrid w:val="0"/>
              <w:rPr>
                <w:rFonts w:ascii="宋体" w:hAnsi="宋体"/>
                <w:szCs w:val="21"/>
              </w:rPr>
            </w:pPr>
            <w:r>
              <w:rPr>
                <w:rFonts w:hint="eastAsia" w:ascii="宋体" w:hAnsi="宋体"/>
                <w:szCs w:val="21"/>
              </w:rPr>
              <w:t>（3）企业安全生产许可证副本；</w:t>
            </w:r>
          </w:p>
          <w:p>
            <w:pPr>
              <w:snapToGrid w:val="0"/>
              <w:rPr>
                <w:rFonts w:ascii="宋体" w:hAnsi="宋体"/>
                <w:szCs w:val="21"/>
              </w:rPr>
            </w:pPr>
            <w:r>
              <w:rPr>
                <w:rFonts w:hint="eastAsia" w:ascii="宋体" w:hAnsi="宋体"/>
                <w:szCs w:val="21"/>
              </w:rPr>
              <w:t>（4）入湘施工登记证（仅省外企业提供，如有）；</w:t>
            </w:r>
          </w:p>
          <w:p>
            <w:pPr>
              <w:snapToGrid w:val="0"/>
              <w:rPr>
                <w:rFonts w:ascii="宋体" w:hAnsi="宋体"/>
                <w:szCs w:val="21"/>
              </w:rPr>
            </w:pPr>
            <w:r>
              <w:rPr>
                <w:rFonts w:hint="eastAsia" w:ascii="宋体" w:hAnsi="宋体"/>
                <w:szCs w:val="21"/>
              </w:rPr>
              <w:t>（5）建造师注册证书、项目负责人安全生产考核合格证书；</w:t>
            </w:r>
          </w:p>
          <w:p>
            <w:pPr>
              <w:snapToGrid w:val="0"/>
              <w:rPr>
                <w:rFonts w:ascii="宋体" w:hAnsi="宋体"/>
                <w:szCs w:val="21"/>
              </w:rPr>
            </w:pPr>
            <w:r>
              <w:rPr>
                <w:rFonts w:hint="eastAsia" w:ascii="宋体" w:hAnsi="宋体"/>
                <w:szCs w:val="21"/>
              </w:rPr>
              <w:t>（6）技术负责人职称证书；</w:t>
            </w:r>
          </w:p>
          <w:p>
            <w:pPr>
              <w:widowControl/>
              <w:jc w:val="left"/>
              <w:rPr>
                <w:rFonts w:ascii="宋体" w:hAnsi="宋体"/>
                <w:szCs w:val="21"/>
              </w:rPr>
            </w:pPr>
            <w:r>
              <w:rPr>
                <w:rFonts w:hint="eastAsia" w:ascii="宋体" w:hAnsi="宋体"/>
                <w:szCs w:val="21"/>
              </w:rPr>
              <w:t>（7）施工员、质量员岗位资格证书；安全员安全考核合格证书C证；</w:t>
            </w:r>
          </w:p>
          <w:p>
            <w:pPr>
              <w:rPr>
                <w:rFonts w:ascii="宋体" w:hAnsi="宋体"/>
                <w:szCs w:val="21"/>
              </w:rPr>
            </w:pPr>
            <w:r>
              <w:rPr>
                <w:rFonts w:hint="eastAsia" w:ascii="宋体" w:hAnsi="宋体"/>
                <w:szCs w:val="21"/>
              </w:rPr>
              <w:t>（8）</w:t>
            </w:r>
            <w:r>
              <w:rPr>
                <w:rFonts w:hint="eastAsia" w:ascii="宋体" w:hAnsi="宋体"/>
                <w:color w:val="000000"/>
                <w:szCs w:val="21"/>
              </w:rPr>
              <w:t>省外企业关键岗位人员如持有外省住房和城乡建设主管部门颁发的岗位资格证书，应提供由省级住房和城乡建设主管部门出具的证书真实性证明（如不能提供真实性证明的，则在投标函部分规定处提供证书真伪查询官方查询网址及结果）。省外企业应提供由企业所在地地（市）级及以上建设行政主管部门出具的施工项目部关键岗位人员无在建工程证明（如不能提供无在建证明的，则在投标函部分规定处提供其官方查询网址及结果）；</w:t>
            </w:r>
          </w:p>
          <w:p>
            <w:pPr>
              <w:rPr>
                <w:rFonts w:ascii="宋体" w:hAnsi="宋体"/>
                <w:szCs w:val="21"/>
              </w:rPr>
            </w:pPr>
            <w:r>
              <w:rPr>
                <w:rFonts w:hint="eastAsia" w:ascii="宋体" w:hAnsi="宋体"/>
                <w:szCs w:val="21"/>
              </w:rPr>
              <w:t>（9）企业基本户开户许可证；</w:t>
            </w:r>
          </w:p>
          <w:p>
            <w:pPr>
              <w:rPr>
                <w:rFonts w:ascii="宋体" w:hAnsi="宋体"/>
                <w:szCs w:val="21"/>
              </w:rPr>
            </w:pPr>
            <w:r>
              <w:rPr>
                <w:rFonts w:hint="eastAsia" w:ascii="宋体" w:hAnsi="宋体"/>
                <w:szCs w:val="21"/>
              </w:rPr>
              <w:t>（10）关键岗位人员</w:t>
            </w:r>
            <w:r>
              <w:rPr>
                <w:rFonts w:hint="eastAsia" w:ascii="宋体" w:hAnsi="宋体"/>
                <w:b/>
                <w:bCs/>
                <w:szCs w:val="21"/>
              </w:rPr>
              <w:t>近3个月（2019年</w:t>
            </w:r>
            <w:r>
              <w:rPr>
                <w:rFonts w:hint="eastAsia" w:ascii="宋体" w:hAnsi="宋体"/>
                <w:b/>
                <w:bCs/>
                <w:szCs w:val="21"/>
                <w:lang w:val="en-US" w:eastAsia="zh-CN"/>
              </w:rPr>
              <w:t>7</w:t>
            </w:r>
            <w:r>
              <w:rPr>
                <w:rFonts w:hint="eastAsia" w:ascii="宋体" w:hAnsi="宋体"/>
                <w:b/>
                <w:bCs/>
                <w:szCs w:val="21"/>
              </w:rPr>
              <w:t>-</w:t>
            </w:r>
            <w:r>
              <w:rPr>
                <w:rFonts w:hint="eastAsia" w:ascii="宋体" w:hAnsi="宋体"/>
                <w:b/>
                <w:bCs/>
                <w:szCs w:val="21"/>
                <w:lang w:val="en-US" w:eastAsia="zh-CN"/>
              </w:rPr>
              <w:t>9</w:t>
            </w:r>
            <w:r>
              <w:rPr>
                <w:rFonts w:hint="eastAsia" w:ascii="宋体" w:hAnsi="宋体"/>
                <w:b/>
                <w:bCs/>
                <w:szCs w:val="21"/>
              </w:rPr>
              <w:t>月份）劳动保障部门出具的社保证明</w:t>
            </w:r>
            <w:r>
              <w:rPr>
                <w:rFonts w:hint="eastAsia" w:ascii="宋体" w:hAnsi="宋体"/>
                <w:szCs w:val="21"/>
              </w:rPr>
              <w:t>；</w:t>
            </w:r>
          </w:p>
          <w:p>
            <w:pPr>
              <w:rPr>
                <w:rFonts w:ascii="宋体" w:hAnsi="宋体"/>
                <w:b/>
                <w:bCs/>
                <w:szCs w:val="21"/>
              </w:rPr>
            </w:pPr>
            <w:r>
              <w:rPr>
                <w:rFonts w:hint="eastAsia" w:ascii="宋体" w:hAnsi="宋体"/>
                <w:b/>
                <w:bCs/>
                <w:szCs w:val="21"/>
              </w:rPr>
              <w:t>（11）类似项目业绩证明资料（如有的话，此项原件要求仅作为企业/项目负责人/技术负责人业绩加分依据，不作为资格性强制要求）</w:t>
            </w:r>
          </w:p>
          <w:p>
            <w:pPr>
              <w:snapToGrid w:val="0"/>
              <w:rPr>
                <w:rFonts w:ascii="宋体" w:hAnsi="宋体"/>
                <w:szCs w:val="21"/>
              </w:rPr>
            </w:pPr>
            <w:r>
              <w:rPr>
                <w:rFonts w:hint="eastAsia" w:ascii="宋体" w:hAnsi="宋体"/>
                <w:szCs w:val="21"/>
              </w:rPr>
              <w:t>说明：</w:t>
            </w:r>
          </w:p>
          <w:p>
            <w:pPr>
              <w:snapToGrid w:val="0"/>
              <w:rPr>
                <w:rFonts w:ascii="宋体" w:hAnsi="宋体"/>
                <w:szCs w:val="21"/>
              </w:rPr>
            </w:pPr>
            <w:r>
              <w:rPr>
                <w:rFonts w:hint="eastAsia" w:ascii="宋体" w:hAnsi="宋体"/>
                <w:szCs w:val="21"/>
              </w:rPr>
              <w:t xml:space="preserve">    （1）如果以上原件正在年检，则必须提供年检单位出具的有效盖章证明原件。</w:t>
            </w:r>
          </w:p>
          <w:p>
            <w:pPr>
              <w:snapToGrid w:val="0"/>
              <w:ind w:firstLine="420"/>
              <w:rPr>
                <w:rFonts w:ascii="宋体" w:hAnsi="宋体"/>
                <w:b/>
                <w:szCs w:val="21"/>
              </w:rPr>
            </w:pPr>
            <w:r>
              <w:rPr>
                <w:rFonts w:hint="eastAsia" w:ascii="宋体" w:hAnsi="宋体"/>
                <w:szCs w:val="21"/>
              </w:rPr>
              <w:t>（2）投标人应将以上原件集中包装，内附原件详细清单，与投标文件一并递交。原件不作密封要求。原件在评标结束后退还。</w:t>
            </w:r>
          </w:p>
          <w:p>
            <w:pPr>
              <w:snapToGrid w:val="0"/>
              <w:ind w:firstLine="420"/>
              <w:rPr>
                <w:rFonts w:ascii="宋体" w:hAnsi="宋体"/>
                <w:b/>
                <w:szCs w:val="21"/>
              </w:rPr>
            </w:pPr>
            <w:r>
              <w:rPr>
                <w:rFonts w:hint="eastAsia" w:ascii="宋体" w:hAnsi="宋体"/>
                <w:b/>
                <w:szCs w:val="21"/>
              </w:rPr>
              <w:t>（3）施工项目部关键岗位人员证书原件按投标人实际配备的施工项目部岗位人员核查，但投标人必须满足本项目建设规模和招标文件所要求的最低岗位人员配备标准。</w:t>
            </w:r>
          </w:p>
          <w:p>
            <w:pPr>
              <w:snapToGrid w:val="0"/>
              <w:ind w:firstLine="420"/>
              <w:rPr>
                <w:rFonts w:ascii="宋体" w:hAnsi="宋体"/>
                <w:szCs w:val="21"/>
              </w:rPr>
            </w:pPr>
            <w:r>
              <w:rPr>
                <w:rFonts w:hint="eastAsia" w:ascii="宋体" w:hAnsi="宋体"/>
                <w:szCs w:val="21"/>
              </w:rPr>
              <w:t>（4）投标人已按相关建设行政主管部门或其委托的招标投标监管机构要求已进行了原件备案的，其中可不提供原件，但须提供已备案的证明材料。</w:t>
            </w:r>
          </w:p>
          <w:p>
            <w:pPr>
              <w:ind w:firstLine="420" w:firstLineChars="200"/>
              <w:rPr>
                <w:rFonts w:ascii="宋体" w:hAnsi="宋体"/>
                <w:b/>
                <w:bCs/>
              </w:rPr>
            </w:pPr>
            <w:r>
              <w:rPr>
                <w:rFonts w:hint="eastAsia" w:ascii="宋体" w:hAnsi="宋体"/>
                <w:szCs w:val="21"/>
              </w:rPr>
              <w:t>（</w:t>
            </w:r>
            <w:r>
              <w:rPr>
                <w:rFonts w:ascii="宋体" w:hAnsi="宋体"/>
                <w:szCs w:val="21"/>
              </w:rPr>
              <w:t>5）已进行开标前资格审查的，在开标时，除</w:t>
            </w:r>
            <w:r>
              <w:rPr>
                <w:rFonts w:hint="eastAsia" w:ascii="宋体" w:hAnsi="宋体"/>
                <w:szCs w:val="21"/>
              </w:rPr>
              <w:t>第（</w:t>
            </w:r>
            <w:r>
              <w:rPr>
                <w:rFonts w:ascii="宋体" w:hAnsi="宋体"/>
                <w:szCs w:val="21"/>
              </w:rPr>
              <w:t>1</w:t>
            </w:r>
            <w:r>
              <w:rPr>
                <w:rFonts w:hint="eastAsia" w:ascii="宋体" w:hAnsi="宋体"/>
                <w:szCs w:val="21"/>
              </w:rPr>
              <w:t>2</w:t>
            </w:r>
            <w:r>
              <w:rPr>
                <w:rFonts w:ascii="宋体" w:hAnsi="宋体"/>
                <w:szCs w:val="21"/>
              </w:rPr>
              <w:t>）项</w:t>
            </w:r>
            <w:r>
              <w:rPr>
                <w:rFonts w:hint="eastAsia" w:ascii="宋体" w:hAnsi="宋体"/>
                <w:szCs w:val="21"/>
              </w:rPr>
              <w:t>原件外,以上其它原件均不须提供；第（12）项原件未提供的，企业/项目负责人/技术负责人业绩不予加分。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173" w:type="dxa"/>
            <w:gridSpan w:val="4"/>
            <w:vAlign w:val="center"/>
          </w:tcPr>
          <w:p>
            <w:pPr>
              <w:rPr>
                <w:rFonts w:ascii="宋体" w:hAnsi="宋体"/>
                <w:szCs w:val="21"/>
              </w:rPr>
            </w:pPr>
            <w:r>
              <w:rPr>
                <w:rFonts w:hint="eastAsia" w:ascii="宋体" w:hAnsi="宋体"/>
                <w:szCs w:val="21"/>
              </w:rPr>
              <w:t>10.8中标公示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在中标通知书发出前，招标人将中标候选人的情况在本招标项目招标公告发布的同一媒介予以公示，公示期不少于3个工作日。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9173" w:type="dxa"/>
            <w:gridSpan w:val="4"/>
            <w:vAlign w:val="center"/>
          </w:tcPr>
          <w:p>
            <w:pPr>
              <w:ind w:left="180" w:hanging="180"/>
              <w:rPr>
                <w:rFonts w:ascii="宋体" w:hAnsi="宋体"/>
                <w:szCs w:val="21"/>
              </w:rPr>
            </w:pPr>
            <w:r>
              <w:rPr>
                <w:rFonts w:hint="eastAsia" w:ascii="宋体" w:hAnsi="宋体"/>
                <w:szCs w:val="21"/>
              </w:rPr>
              <w:t>10.9知识产权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构成本招标文件各个组成部分的文件，未经招标人书面同意，投标人不得擅自复印和用于非本招标项目所需的其他目的。招标人全部或者部分使用未中标人投标文件中的</w:t>
            </w:r>
            <w:r>
              <w:rPr>
                <w:rFonts w:hint="eastAsia" w:ascii="宋体" w:hAnsi="宋体"/>
                <w:bCs/>
                <w:szCs w:val="21"/>
              </w:rPr>
              <w:t>技术</w:t>
            </w:r>
            <w:r>
              <w:rPr>
                <w:rFonts w:hint="eastAsia" w:ascii="宋体" w:hAnsi="宋体"/>
                <w:szCs w:val="21"/>
              </w:rPr>
              <w:t>成果或技术方案时，需征得其书面同意，并不得擅自复印或提供给第三人。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173" w:type="dxa"/>
            <w:gridSpan w:val="4"/>
            <w:vAlign w:val="center"/>
          </w:tcPr>
          <w:p>
            <w:pPr>
              <w:rPr>
                <w:rFonts w:ascii="宋体" w:hAnsi="宋体"/>
                <w:szCs w:val="21"/>
              </w:rPr>
            </w:pPr>
            <w:r>
              <w:rPr>
                <w:rFonts w:hint="eastAsia" w:ascii="宋体" w:hAnsi="宋体"/>
                <w:szCs w:val="21"/>
              </w:rPr>
              <w:t>10.10重新招标的其他情形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除投标人须知正文第8条规定的情形外，除非已经产生中标候选人，在投标有效期内同意延长投标有效期的投标人少于三个的，招标人应当依法重新招标。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9173" w:type="dxa"/>
            <w:gridSpan w:val="4"/>
            <w:vAlign w:val="center"/>
          </w:tcPr>
          <w:p>
            <w:pPr>
              <w:ind w:left="180" w:hanging="180"/>
              <w:rPr>
                <w:rFonts w:ascii="宋体" w:hAnsi="宋体"/>
                <w:szCs w:val="21"/>
              </w:rPr>
            </w:pPr>
            <w:r>
              <w:rPr>
                <w:rFonts w:hint="eastAsia" w:ascii="宋体" w:hAnsi="宋体"/>
                <w:szCs w:val="21"/>
              </w:rPr>
              <w:t>10.11同义词语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构成招标文件组成部分的“通用合同条款”、“专用合同条款”、“技术标准和要求”和“工程量清单”等章节中出现的措辞“发包人”和“承包人”，在招标投标阶段应当分别按“招标人”和“投标人”进行理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9173" w:type="dxa"/>
            <w:gridSpan w:val="4"/>
            <w:vAlign w:val="center"/>
          </w:tcPr>
          <w:p>
            <w:pPr>
              <w:ind w:left="180" w:hanging="180"/>
              <w:rPr>
                <w:rFonts w:ascii="宋体" w:hAnsi="宋体"/>
                <w:szCs w:val="21"/>
              </w:rPr>
            </w:pPr>
            <w:r>
              <w:rPr>
                <w:rFonts w:hint="eastAsia" w:ascii="宋体" w:hAnsi="宋体"/>
                <w:szCs w:val="21"/>
              </w:rPr>
              <w:t>10.12监  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本项目的</w:t>
            </w:r>
            <w:r>
              <w:rPr>
                <w:rFonts w:hint="eastAsia" w:ascii="宋体" w:hAnsi="宋体"/>
                <w:bCs/>
                <w:szCs w:val="21"/>
              </w:rPr>
              <w:t>招标</w:t>
            </w:r>
            <w:r>
              <w:rPr>
                <w:rFonts w:hint="eastAsia" w:ascii="宋体" w:hAnsi="宋体"/>
                <w:szCs w:val="21"/>
              </w:rPr>
              <w:t>投标活动及其相关当事人应当接受有管辖权的建设工程招标投标行政监督部门依法实施的监督。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9173" w:type="dxa"/>
            <w:gridSpan w:val="4"/>
            <w:vAlign w:val="center"/>
          </w:tcPr>
          <w:p>
            <w:pPr>
              <w:ind w:left="210" w:hanging="210" w:hangingChars="100"/>
              <w:rPr>
                <w:rFonts w:ascii="宋体" w:hAnsi="宋体"/>
                <w:szCs w:val="21"/>
              </w:rPr>
            </w:pPr>
            <w:r>
              <w:rPr>
                <w:rFonts w:hint="eastAsia" w:ascii="宋体" w:hAnsi="宋体"/>
                <w:szCs w:val="21"/>
              </w:rPr>
              <w:t>10.13解释权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szCs w:val="21"/>
              </w:rPr>
            </w:pPr>
            <w:r>
              <w:rPr>
                <w:rFonts w:hint="eastAsia" w:ascii="宋体" w:hAnsi="宋体"/>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w:t>
            </w:r>
            <w:r>
              <w:rPr>
                <w:rFonts w:hint="eastAsia" w:ascii="宋体" w:hAnsi="宋体"/>
                <w:bCs/>
                <w:szCs w:val="21"/>
              </w:rPr>
              <w:t>解释</w:t>
            </w:r>
            <w:r>
              <w:rPr>
                <w:rFonts w:hint="eastAsia" w:ascii="宋体" w:hAnsi="宋体"/>
                <w:szCs w:val="21"/>
              </w:rPr>
              <w:t>；同一组成文件中就同一事项的规定或约定不一致的，以编排顺序在后者为准；同一组成文件不同版本之间有不一致的，以形成时间在后者为准。按本款前述规定仍不能形成结论的，由招标人负责解释。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9173" w:type="dxa"/>
            <w:gridSpan w:val="4"/>
            <w:vAlign w:val="center"/>
          </w:tcPr>
          <w:p>
            <w:pPr>
              <w:rPr>
                <w:rFonts w:ascii="宋体" w:hAnsi="宋体"/>
                <w:szCs w:val="21"/>
              </w:rPr>
            </w:pPr>
            <w:r>
              <w:rPr>
                <w:rFonts w:hint="eastAsia" w:ascii="宋体" w:hAnsi="宋体"/>
                <w:szCs w:val="21"/>
              </w:rPr>
              <w:t>10.14</w:t>
            </w:r>
            <w:r>
              <w:rPr>
                <w:rFonts w:hint="eastAsia" w:ascii="宋体" w:hAnsi="宋体"/>
                <w:kern w:val="0"/>
                <w:szCs w:val="21"/>
              </w:rPr>
              <w:t>建设工程交易服务费和招标代理服务费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37" w:hRule="atLeast"/>
        </w:trPr>
        <w:tc>
          <w:tcPr>
            <w:tcW w:w="1065" w:type="dxa"/>
            <w:vAlign w:val="center"/>
          </w:tcPr>
          <w:p>
            <w:pPr>
              <w:jc w:val="center"/>
              <w:rPr>
                <w:rFonts w:ascii="宋体" w:hAnsi="宋体"/>
                <w:szCs w:val="21"/>
              </w:rPr>
            </w:pPr>
          </w:p>
        </w:tc>
        <w:tc>
          <w:tcPr>
            <w:tcW w:w="8108" w:type="dxa"/>
            <w:gridSpan w:val="3"/>
            <w:vAlign w:val="center"/>
          </w:tcPr>
          <w:p>
            <w:pPr>
              <w:widowControl/>
              <w:jc w:val="left"/>
              <w:rPr>
                <w:rFonts w:ascii="宋体" w:hAnsi="宋体"/>
                <w:color w:val="000000"/>
                <w:szCs w:val="21"/>
              </w:rPr>
            </w:pPr>
            <w:r>
              <w:rPr>
                <w:rFonts w:hint="eastAsia" w:ascii="宋体" w:hAnsi="宋体"/>
                <w:szCs w:val="21"/>
              </w:rPr>
              <w:t>（1）</w:t>
            </w:r>
            <w:r>
              <w:rPr>
                <w:rFonts w:hint="eastAsia" w:ascii="宋体" w:hAnsi="宋体"/>
                <w:color w:val="000000"/>
                <w:szCs w:val="21"/>
              </w:rPr>
              <w:t>招标代理服务费由中标人支付，</w:t>
            </w:r>
            <w:r>
              <w:rPr>
                <w:rFonts w:ascii="宋体" w:hAnsi="宋体"/>
                <w:szCs w:val="21"/>
              </w:rPr>
              <w:t>招标代理服务费按国家计委计价格【2002】1980号文件规定标准收取。</w:t>
            </w:r>
          </w:p>
          <w:p>
            <w:pPr>
              <w:widowControl/>
              <w:jc w:val="left"/>
              <w:rPr>
                <w:rFonts w:ascii="宋体" w:hAnsi="宋体"/>
                <w:color w:val="000000"/>
                <w:szCs w:val="21"/>
              </w:rPr>
            </w:pPr>
            <w:r>
              <w:rPr>
                <w:rFonts w:hint="eastAsia" w:ascii="宋体" w:hAnsi="宋体"/>
                <w:color w:val="000000"/>
                <w:szCs w:val="21"/>
              </w:rPr>
              <w:t>招标代理服务费的币种：人民币。</w:t>
            </w:r>
          </w:p>
          <w:p>
            <w:pPr>
              <w:widowControl/>
              <w:jc w:val="left"/>
              <w:rPr>
                <w:rFonts w:ascii="宋体" w:hAnsi="宋体"/>
                <w:szCs w:val="21"/>
              </w:rPr>
            </w:pPr>
            <w:r>
              <w:rPr>
                <w:rFonts w:hint="eastAsia" w:ascii="宋体" w:hAnsi="宋体"/>
                <w:color w:val="000000"/>
                <w:szCs w:val="21"/>
              </w:rPr>
              <w:t>（2）招标代理服务费的支付方式及支付时间：在中标通知书发出之前一次性交清。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9173" w:type="dxa"/>
            <w:gridSpan w:val="4"/>
            <w:vAlign w:val="center"/>
          </w:tcPr>
          <w:p>
            <w:pPr>
              <w:rPr>
                <w:rFonts w:ascii="宋体" w:hAnsi="宋体"/>
                <w:szCs w:val="21"/>
              </w:rPr>
            </w:pPr>
            <w:r>
              <w:rPr>
                <w:rFonts w:hint="eastAsia" w:ascii="宋体" w:hAnsi="宋体"/>
                <w:szCs w:val="21"/>
              </w:rPr>
              <w:t>10.15</w:t>
            </w:r>
            <w:r>
              <w:rPr>
                <w:rFonts w:ascii="宋体" w:hAnsi="宋体"/>
                <w:b/>
                <w:bCs/>
                <w:szCs w:val="21"/>
              </w:rPr>
              <w:t xml:space="preserve"> 招标人补充的其他内容:</w:t>
            </w:r>
            <w:r>
              <w:rPr>
                <w:rFonts w:hint="eastAsia" w:ascii="宋体" w:hAnsi="宋体"/>
                <w:b/>
                <w:bCs/>
                <w:szCs w:val="21"/>
              </w:rPr>
              <w:t>中标单位须接受招标人就项目整体建设的合理要求。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9173" w:type="dxa"/>
            <w:gridSpan w:val="4"/>
            <w:vAlign w:val="center"/>
          </w:tcPr>
          <w:p>
            <w:pPr>
              <w:rPr>
                <w:rFonts w:ascii="宋体" w:hAnsi="宋体"/>
                <w:bCs/>
                <w:szCs w:val="21"/>
              </w:rPr>
            </w:pPr>
            <w:r>
              <w:rPr>
                <w:rFonts w:hint="eastAsia" w:ascii="宋体" w:hAnsi="宋体"/>
                <w:szCs w:val="21"/>
              </w:rPr>
              <w:t>10.15.1</w:t>
            </w:r>
            <w:r>
              <w:rPr>
                <w:rFonts w:hint="eastAsia" w:ascii="宋体" w:hAnsi="宋体"/>
                <w:bCs/>
                <w:szCs w:val="21"/>
              </w:rPr>
              <w:t>施工项目部关键岗位人员要求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09" w:hRule="atLeast"/>
        </w:trPr>
        <w:tc>
          <w:tcPr>
            <w:tcW w:w="1065" w:type="dxa"/>
            <w:vAlign w:val="center"/>
          </w:tcPr>
          <w:p>
            <w:pPr>
              <w:rPr>
                <w:rFonts w:ascii="宋体" w:hAnsi="宋体"/>
                <w:szCs w:val="21"/>
              </w:rPr>
            </w:pPr>
          </w:p>
        </w:tc>
        <w:tc>
          <w:tcPr>
            <w:tcW w:w="8108" w:type="dxa"/>
            <w:gridSpan w:val="3"/>
            <w:vAlign w:val="center"/>
          </w:tcPr>
          <w:p>
            <w:pPr>
              <w:rPr>
                <w:rFonts w:ascii="宋体" w:hAnsi="宋体"/>
                <w:b/>
                <w:szCs w:val="21"/>
              </w:rPr>
            </w:pPr>
            <w:r>
              <w:rPr>
                <w:rFonts w:ascii="宋体" w:hAnsi="宋体"/>
                <w:b/>
                <w:szCs w:val="21"/>
              </w:rPr>
              <w:t>1、施工项目部关键岗位人员指项目负责人、技术负责人、施工员、安全员、质量员。</w:t>
            </w:r>
          </w:p>
          <w:p>
            <w:pPr>
              <w:rPr>
                <w:rFonts w:ascii="宋体" w:hAnsi="宋体"/>
                <w:b/>
                <w:szCs w:val="21"/>
              </w:rPr>
            </w:pPr>
            <w:r>
              <w:rPr>
                <w:rFonts w:ascii="宋体" w:hAnsi="宋体"/>
                <w:b/>
                <w:szCs w:val="21"/>
              </w:rPr>
              <w:t>2、投标人应按照国家和省有关法律法规、规范标准和</w:t>
            </w:r>
            <w:r>
              <w:rPr>
                <w:rFonts w:hint="eastAsia" w:ascii="宋体" w:hAnsi="宋体"/>
                <w:b/>
                <w:szCs w:val="21"/>
                <w:u w:val="single"/>
              </w:rPr>
              <w:t>湘建建</w:t>
            </w:r>
            <w:r>
              <w:rPr>
                <w:rFonts w:ascii="宋体" w:hAnsi="宋体"/>
                <w:b/>
                <w:szCs w:val="21"/>
                <w:u w:val="single"/>
              </w:rPr>
              <w:t>[2015]57号</w:t>
            </w:r>
            <w:r>
              <w:rPr>
                <w:rFonts w:hint="eastAsia" w:ascii="宋体" w:hAnsi="宋体"/>
                <w:b/>
                <w:szCs w:val="21"/>
              </w:rPr>
              <w:t>文《湖南省建设工程施工项目部和现场监理部关键岗位人员配备标准及管理办法（试行）》规定配备施工项目部关键岗位人员。其中施工项目部关键岗位人员数量不得低于</w:t>
            </w:r>
            <w:r>
              <w:rPr>
                <w:rFonts w:hint="eastAsia" w:ascii="宋体" w:hAnsi="宋体"/>
                <w:b/>
                <w:szCs w:val="21"/>
                <w:u w:val="single"/>
              </w:rPr>
              <w:t>湘建建</w:t>
            </w:r>
            <w:r>
              <w:rPr>
                <w:rFonts w:ascii="宋体" w:hAnsi="宋体"/>
                <w:b/>
                <w:szCs w:val="21"/>
                <w:u w:val="single"/>
              </w:rPr>
              <w:t>[2015]57号</w:t>
            </w:r>
            <w:r>
              <w:rPr>
                <w:rFonts w:hint="eastAsia" w:ascii="宋体" w:hAnsi="宋体"/>
                <w:b/>
                <w:szCs w:val="21"/>
              </w:rPr>
              <w:t>文规定的最低配备标准，即至少项目负责人</w:t>
            </w:r>
            <w:r>
              <w:rPr>
                <w:rFonts w:ascii="宋体" w:hAnsi="宋体"/>
                <w:b/>
                <w:szCs w:val="21"/>
              </w:rPr>
              <w:t>1</w:t>
            </w:r>
            <w:r>
              <w:rPr>
                <w:rFonts w:hint="eastAsia" w:ascii="宋体" w:hAnsi="宋体"/>
                <w:b/>
                <w:szCs w:val="21"/>
              </w:rPr>
              <w:t>人、技术负责人</w:t>
            </w:r>
            <w:r>
              <w:rPr>
                <w:rFonts w:ascii="宋体" w:hAnsi="宋体"/>
                <w:b/>
                <w:szCs w:val="21"/>
                <w:u w:val="single"/>
              </w:rPr>
              <w:t xml:space="preserve"> 1</w:t>
            </w:r>
            <w:r>
              <w:rPr>
                <w:rFonts w:hint="eastAsia" w:ascii="宋体" w:hAnsi="宋体"/>
                <w:b/>
                <w:szCs w:val="21"/>
              </w:rPr>
              <w:t>人、施工员</w:t>
            </w:r>
            <w:r>
              <w:rPr>
                <w:rFonts w:ascii="宋体" w:hAnsi="宋体"/>
                <w:b/>
                <w:szCs w:val="21"/>
                <w:u w:val="single"/>
              </w:rPr>
              <w:t xml:space="preserve"> 1</w:t>
            </w:r>
            <w:r>
              <w:rPr>
                <w:rFonts w:hint="eastAsia" w:ascii="宋体" w:hAnsi="宋体"/>
                <w:b/>
                <w:szCs w:val="21"/>
              </w:rPr>
              <w:t>人、安全员</w:t>
            </w:r>
            <w:r>
              <w:rPr>
                <w:rFonts w:hint="eastAsia" w:ascii="宋体" w:hAnsi="宋体"/>
                <w:b/>
                <w:szCs w:val="21"/>
                <w:u w:val="single"/>
              </w:rPr>
              <w:t>1</w:t>
            </w:r>
            <w:r>
              <w:rPr>
                <w:rFonts w:hint="eastAsia" w:ascii="宋体" w:hAnsi="宋体"/>
                <w:b/>
                <w:szCs w:val="21"/>
              </w:rPr>
              <w:t>人、质量员</w:t>
            </w:r>
            <w:r>
              <w:rPr>
                <w:rFonts w:ascii="宋体" w:hAnsi="宋体"/>
                <w:b/>
                <w:szCs w:val="21"/>
                <w:u w:val="single"/>
              </w:rPr>
              <w:t xml:space="preserve"> 1</w:t>
            </w:r>
            <w:r>
              <w:rPr>
                <w:rFonts w:hint="eastAsia" w:ascii="宋体" w:hAnsi="宋体"/>
                <w:b/>
                <w:szCs w:val="21"/>
              </w:rPr>
              <w:t>人。</w:t>
            </w:r>
          </w:p>
          <w:p>
            <w:pPr>
              <w:rPr>
                <w:rFonts w:ascii="宋体" w:hAnsi="宋体"/>
                <w:b/>
                <w:szCs w:val="21"/>
              </w:rPr>
            </w:pPr>
            <w:r>
              <w:rPr>
                <w:rFonts w:ascii="宋体" w:hAnsi="宋体"/>
                <w:b/>
                <w:szCs w:val="21"/>
              </w:rPr>
              <w:t>3、施工项目部关键岗位人员不得同时在二个及二个以上的建设工程项目中任职</w:t>
            </w:r>
            <w:r>
              <w:rPr>
                <w:rFonts w:hint="eastAsia" w:ascii="宋体" w:hAnsi="宋体"/>
                <w:b/>
                <w:szCs w:val="21"/>
              </w:rPr>
              <w:t>。</w:t>
            </w:r>
          </w:p>
          <w:p>
            <w:pPr>
              <w:widowControl/>
              <w:jc w:val="left"/>
              <w:rPr>
                <w:rFonts w:ascii="宋体" w:hAnsi="宋体"/>
                <w:b/>
                <w:szCs w:val="21"/>
              </w:rPr>
            </w:pPr>
            <w:r>
              <w:rPr>
                <w:rFonts w:ascii="宋体" w:hAnsi="宋体"/>
                <w:b/>
                <w:szCs w:val="21"/>
              </w:rPr>
              <w:t>4、施工项目</w:t>
            </w:r>
            <w:r>
              <w:rPr>
                <w:rFonts w:hint="eastAsia" w:ascii="宋体" w:hAnsi="宋体"/>
                <w:b/>
                <w:szCs w:val="21"/>
              </w:rPr>
              <w:t>部关键岗位人员必须是本企业在职人员（提供</w:t>
            </w:r>
            <w:r>
              <w:rPr>
                <w:rFonts w:ascii="宋体" w:hAnsi="宋体"/>
                <w:b/>
                <w:szCs w:val="21"/>
              </w:rPr>
              <w:t>交纳至</w:t>
            </w:r>
            <w:r>
              <w:rPr>
                <w:b/>
                <w:szCs w:val="21"/>
              </w:rPr>
              <w:t>201</w:t>
            </w:r>
            <w:r>
              <w:rPr>
                <w:rFonts w:hint="eastAsia"/>
                <w:b/>
                <w:szCs w:val="21"/>
              </w:rPr>
              <w:t>9年</w:t>
            </w:r>
            <w:r>
              <w:rPr>
                <w:rFonts w:hint="eastAsia"/>
                <w:b/>
                <w:szCs w:val="21"/>
                <w:lang w:val="en-US" w:eastAsia="zh-CN"/>
              </w:rPr>
              <w:t>7</w:t>
            </w:r>
            <w:r>
              <w:rPr>
                <w:rFonts w:hint="eastAsia"/>
                <w:b/>
                <w:szCs w:val="21"/>
              </w:rPr>
              <w:t>月～</w:t>
            </w:r>
            <w:r>
              <w:rPr>
                <w:b/>
                <w:szCs w:val="21"/>
              </w:rPr>
              <w:t>201</w:t>
            </w:r>
            <w:r>
              <w:rPr>
                <w:rFonts w:hint="eastAsia"/>
                <w:b/>
                <w:szCs w:val="21"/>
              </w:rPr>
              <w:t>9年</w:t>
            </w:r>
            <w:r>
              <w:rPr>
                <w:rFonts w:hint="eastAsia"/>
                <w:b/>
                <w:szCs w:val="21"/>
                <w:lang w:val="en-US" w:eastAsia="zh-CN"/>
              </w:rPr>
              <w:t>9</w:t>
            </w:r>
            <w:r>
              <w:rPr>
                <w:rFonts w:hint="eastAsia"/>
                <w:b/>
                <w:szCs w:val="21"/>
              </w:rPr>
              <w:t>月</w:t>
            </w:r>
            <w:r>
              <w:rPr>
                <w:rFonts w:hint="eastAsia" w:ascii="宋体" w:hAnsi="宋体"/>
                <w:b/>
                <w:szCs w:val="21"/>
              </w:rPr>
              <w:t>的劳动保障部门出具的社保证明）。</w:t>
            </w:r>
          </w:p>
          <w:p>
            <w:pPr>
              <w:widowControl/>
              <w:jc w:val="left"/>
              <w:rPr>
                <w:rFonts w:ascii="宋体" w:hAnsi="宋体"/>
                <w:b/>
                <w:szCs w:val="21"/>
              </w:rPr>
            </w:pPr>
            <w:r>
              <w:rPr>
                <w:rFonts w:ascii="宋体" w:hAnsi="宋体"/>
                <w:b/>
                <w:szCs w:val="21"/>
              </w:rPr>
              <w:t>5、</w:t>
            </w:r>
            <w:r>
              <w:rPr>
                <w:rFonts w:hint="eastAsia" w:ascii="宋体" w:hAnsi="宋体"/>
                <w:b/>
                <w:szCs w:val="21"/>
              </w:rPr>
              <w:t>关键岗位人员应持有相应的岗位资格证书，岗位资格证书注明了单位名称的，应与投标人一致。即项目负责人（项目经理）为</w:t>
            </w:r>
            <w:r>
              <w:rPr>
                <w:rFonts w:hint="eastAsia" w:ascii="宋体" w:hAnsi="宋体"/>
                <w:b/>
                <w:szCs w:val="21"/>
                <w:u w:val="single"/>
              </w:rPr>
              <w:t>建筑工程</w:t>
            </w:r>
            <w:r>
              <w:rPr>
                <w:rFonts w:hint="eastAsia" w:ascii="宋体" w:hAnsi="宋体"/>
                <w:b/>
                <w:szCs w:val="21"/>
              </w:rPr>
              <w:t>专业</w:t>
            </w:r>
            <w:r>
              <w:rPr>
                <w:rFonts w:hint="eastAsia" w:ascii="宋体" w:hAnsi="宋体"/>
                <w:b/>
                <w:szCs w:val="21"/>
                <w:u w:val="single"/>
              </w:rPr>
              <w:t>二</w:t>
            </w:r>
            <w:r>
              <w:rPr>
                <w:rFonts w:hint="eastAsia" w:ascii="宋体" w:hAnsi="宋体"/>
                <w:b/>
                <w:szCs w:val="21"/>
              </w:rPr>
              <w:t>级及以上注册建造师，具备有效的Ｂ类安全生产考核合格证书；技术负责人具有</w:t>
            </w:r>
            <w:bookmarkStart w:id="32" w:name="OLE_LINK40"/>
            <w:bookmarkStart w:id="33" w:name="OLE_LINK41"/>
            <w:r>
              <w:rPr>
                <w:rFonts w:hint="eastAsia" w:ascii="宋体" w:hAnsi="宋体"/>
                <w:b/>
                <w:szCs w:val="21"/>
                <w:u w:val="single"/>
              </w:rPr>
              <w:t>建筑</w:t>
            </w:r>
            <w:r>
              <w:rPr>
                <w:rFonts w:hint="eastAsia" w:ascii="宋体" w:hAnsi="宋体"/>
                <w:b/>
                <w:szCs w:val="21"/>
              </w:rPr>
              <w:t>工程相关</w:t>
            </w:r>
            <w:r>
              <w:rPr>
                <w:rFonts w:hint="eastAsia" w:ascii="宋体" w:hAnsi="宋体"/>
                <w:b/>
                <w:szCs w:val="21"/>
                <w:u w:val="single"/>
              </w:rPr>
              <w:t>专业</w:t>
            </w:r>
            <w:bookmarkEnd w:id="32"/>
            <w:bookmarkEnd w:id="33"/>
            <w:r>
              <w:rPr>
                <w:rFonts w:hint="eastAsia" w:ascii="宋体" w:hAnsi="宋体"/>
                <w:b/>
                <w:szCs w:val="21"/>
                <w:u w:val="single"/>
              </w:rPr>
              <w:t>中级及以上工程师</w:t>
            </w:r>
            <w:r>
              <w:rPr>
                <w:rFonts w:hint="eastAsia" w:ascii="宋体" w:hAnsi="宋体"/>
                <w:b/>
                <w:szCs w:val="21"/>
              </w:rPr>
              <w:t>职称（建筑工程相关专业指：结构、给排水、暖通、电气等专业职称）；施工员具有</w:t>
            </w:r>
            <w:r>
              <w:rPr>
                <w:rFonts w:hint="eastAsia" w:ascii="宋体" w:hAnsi="宋体"/>
                <w:b/>
                <w:szCs w:val="21"/>
                <w:u w:val="single"/>
              </w:rPr>
              <w:t>施工员</w:t>
            </w:r>
            <w:r>
              <w:rPr>
                <w:rFonts w:hint="eastAsia" w:ascii="宋体" w:hAnsi="宋体"/>
                <w:b/>
                <w:szCs w:val="21"/>
              </w:rPr>
              <w:t>岗位资格证书；安全员具有</w:t>
            </w:r>
            <w:r>
              <w:rPr>
                <w:rFonts w:hint="eastAsia" w:ascii="宋体" w:hAnsi="宋体"/>
                <w:b/>
                <w:szCs w:val="21"/>
                <w:u w:val="single"/>
              </w:rPr>
              <w:t>安全员</w:t>
            </w:r>
            <w:r>
              <w:rPr>
                <w:rFonts w:hint="eastAsia" w:ascii="宋体" w:hAnsi="宋体"/>
                <w:b/>
                <w:szCs w:val="21"/>
              </w:rPr>
              <w:t>岗位资格证书和安全考核合格证书</w:t>
            </w:r>
            <w:r>
              <w:rPr>
                <w:rFonts w:ascii="宋体" w:hAnsi="宋体"/>
                <w:b/>
                <w:szCs w:val="21"/>
              </w:rPr>
              <w:t>C证；质量员具有</w:t>
            </w:r>
            <w:r>
              <w:rPr>
                <w:rFonts w:hint="eastAsia" w:ascii="宋体" w:hAnsi="宋体"/>
                <w:b/>
                <w:szCs w:val="21"/>
                <w:u w:val="single"/>
              </w:rPr>
              <w:t>质量员</w:t>
            </w:r>
            <w:r>
              <w:rPr>
                <w:rFonts w:hint="eastAsia" w:ascii="宋体" w:hAnsi="宋体"/>
                <w:b/>
                <w:szCs w:val="21"/>
              </w:rPr>
              <w:t>岗位资格证书。</w:t>
            </w:r>
          </w:p>
          <w:p>
            <w:pPr>
              <w:rPr>
                <w:rFonts w:ascii="宋体" w:hAnsi="宋体"/>
                <w:b/>
                <w:szCs w:val="21"/>
              </w:rPr>
            </w:pPr>
            <w:r>
              <w:rPr>
                <w:rFonts w:ascii="宋体" w:hAnsi="宋体"/>
                <w:b/>
                <w:szCs w:val="21"/>
              </w:rPr>
              <w:t>6、省外企业关键岗位人员如持有外省住房和城乡建设主管部门颁发的岗位资格证书，其证书应能通过互联网查询真伪，或提供由省级住房和城乡建设主管部门出具的证书真实性证明。省外企业由企业所在地地（市）级及以上建设行政主管部门提供施工项目部关键岗位人员无在建工程证明；</w:t>
            </w:r>
          </w:p>
          <w:p>
            <w:pPr>
              <w:rPr>
                <w:rFonts w:ascii="宋体" w:hAnsi="宋体"/>
                <w:b/>
                <w:szCs w:val="21"/>
              </w:rPr>
            </w:pPr>
            <w:r>
              <w:rPr>
                <w:rFonts w:ascii="宋体" w:hAnsi="宋体"/>
                <w:b/>
                <w:szCs w:val="21"/>
              </w:rPr>
              <w:t>7、省内企业关键岗位人员在建工程情况和省外企业关键岗位人员在湖南省内在建工程情况以湖南省建筑工程监管信息平台查询为准。</w:t>
            </w:r>
          </w:p>
          <w:p>
            <w:pPr>
              <w:rPr>
                <w:rFonts w:ascii="宋体" w:hAnsi="宋体"/>
                <w:b/>
                <w:szCs w:val="21"/>
              </w:rPr>
            </w:pPr>
            <w:r>
              <w:rPr>
                <w:rFonts w:ascii="宋体" w:hAnsi="宋体"/>
                <w:b/>
                <w:szCs w:val="21"/>
              </w:rPr>
              <w:t>8、其他：</w:t>
            </w:r>
          </w:p>
          <w:p>
            <w:pPr>
              <w:rPr>
                <w:rFonts w:ascii="宋体" w:hAnsi="宋体"/>
                <w:szCs w:val="21"/>
              </w:rPr>
            </w:pP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065" w:type="dxa"/>
            <w:vAlign w:val="center"/>
          </w:tcPr>
          <w:p>
            <w:pPr>
              <w:rPr>
                <w:rFonts w:ascii="宋体" w:hAnsi="宋体"/>
                <w:szCs w:val="21"/>
              </w:rPr>
            </w:pPr>
            <w:r>
              <w:rPr>
                <w:rFonts w:hint="eastAsia" w:ascii="宋体" w:hAnsi="宋体"/>
                <w:szCs w:val="21"/>
              </w:rPr>
              <w:t>10.15.2</w:t>
            </w:r>
          </w:p>
        </w:tc>
        <w:tc>
          <w:tcPr>
            <w:tcW w:w="8108" w:type="dxa"/>
            <w:gridSpan w:val="3"/>
            <w:vAlign w:val="center"/>
          </w:tcPr>
          <w:p>
            <w:pPr>
              <w:rPr>
                <w:rFonts w:ascii="宋体" w:hAnsi="宋体"/>
                <w:bCs/>
                <w:szCs w:val="21"/>
              </w:rPr>
            </w:pPr>
            <w:r>
              <w:rPr>
                <w:rFonts w:hint="eastAsia" w:ascii="宋体" w:hAnsi="宋体"/>
                <w:bCs/>
                <w:szCs w:val="21"/>
              </w:rPr>
              <w:t>暂估价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065" w:type="dxa"/>
            <w:vAlign w:val="center"/>
          </w:tcPr>
          <w:p>
            <w:pPr>
              <w:rPr>
                <w:rFonts w:ascii="宋体" w:hAnsi="宋体"/>
                <w:szCs w:val="21"/>
              </w:rPr>
            </w:pPr>
          </w:p>
        </w:tc>
        <w:tc>
          <w:tcPr>
            <w:tcW w:w="8108" w:type="dxa"/>
            <w:gridSpan w:val="3"/>
            <w:vAlign w:val="center"/>
          </w:tcPr>
          <w:p>
            <w:pPr>
              <w:rPr>
                <w:rFonts w:ascii="宋体" w:hAnsi="宋体"/>
                <w:bCs/>
                <w:szCs w:val="21"/>
              </w:rPr>
            </w:pPr>
            <w:r>
              <w:rPr>
                <w:rFonts w:hint="eastAsia" w:ascii="宋体" w:hAnsi="宋体"/>
                <w:bCs/>
                <w:szCs w:val="21"/>
              </w:rPr>
              <w:t>以暂估价形式包括在总承包范围内的工程、货物、服务属于依法必须进行招标的项目范围且达到国家规定规模标准的，应当依法进行招标。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065" w:type="dxa"/>
            <w:vAlign w:val="center"/>
          </w:tcPr>
          <w:p>
            <w:pPr>
              <w:rPr>
                <w:rFonts w:ascii="宋体" w:hAnsi="宋体"/>
                <w:szCs w:val="21"/>
              </w:rPr>
            </w:pPr>
            <w:r>
              <w:rPr>
                <w:rFonts w:hint="eastAsia" w:ascii="宋体" w:hAnsi="宋体"/>
                <w:szCs w:val="21"/>
              </w:rPr>
              <w:t>10.15.3</w:t>
            </w:r>
          </w:p>
        </w:tc>
        <w:tc>
          <w:tcPr>
            <w:tcW w:w="8108" w:type="dxa"/>
            <w:gridSpan w:val="3"/>
            <w:vAlign w:val="center"/>
          </w:tcPr>
          <w:p>
            <w:pPr>
              <w:rPr>
                <w:rFonts w:ascii="宋体" w:hAnsi="宋体"/>
                <w:bCs/>
                <w:szCs w:val="21"/>
              </w:rPr>
            </w:pPr>
            <w:r>
              <w:rPr>
                <w:rFonts w:hint="eastAsia" w:ascii="宋体" w:hAnsi="宋体"/>
                <w:bCs/>
                <w:szCs w:val="21"/>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791" w:hRule="atLeast"/>
        </w:trPr>
        <w:tc>
          <w:tcPr>
            <w:tcW w:w="1065" w:type="dxa"/>
            <w:vAlign w:val="center"/>
          </w:tcPr>
          <w:p>
            <w:pPr>
              <w:rPr>
                <w:rFonts w:ascii="宋体" w:hAnsi="宋体"/>
                <w:szCs w:val="21"/>
              </w:rPr>
            </w:pPr>
          </w:p>
        </w:tc>
        <w:tc>
          <w:tcPr>
            <w:tcW w:w="8108" w:type="dxa"/>
            <w:gridSpan w:val="3"/>
            <w:vAlign w:val="center"/>
          </w:tcPr>
          <w:p>
            <w:pPr>
              <w:rPr>
                <w:rFonts w:ascii="宋体" w:hAnsi="宋体"/>
                <w:szCs w:val="21"/>
              </w:rPr>
            </w:pPr>
            <w:r>
              <w:rPr>
                <w:rFonts w:hint="eastAsia" w:ascii="宋体" w:hAnsi="宋体"/>
                <w:szCs w:val="21"/>
              </w:rPr>
              <w:t>（1）中标通知书发出以前，中标候选人及其拟项目负责人和项目技术负责人的情况发生变化，致使其达不到合格投标人资格条件的，取消其中标候选人资格；</w:t>
            </w:r>
          </w:p>
          <w:p>
            <w:pPr>
              <w:rPr>
                <w:rFonts w:ascii="宋体" w:hAnsi="宋体"/>
                <w:szCs w:val="21"/>
              </w:rPr>
            </w:pPr>
            <w:r>
              <w:rPr>
                <w:rFonts w:hint="eastAsia" w:ascii="宋体" w:hAnsi="宋体"/>
                <w:szCs w:val="21"/>
              </w:rPr>
              <w:t>（2）投标人在投标文件中有隐瞒事实、弄虚作假的行为，或有不按招标文件的要求如实提供有关情况、文件、证明等资料的行为，或有所提供的有关情况、文件、证明等资料与经查实的事实不符的行为，且上述行为对该投标人有利的，按照不合格投标人处理。已被列为中标候选人的，取消其中标候选人资格。已中标的，依据有关法律法规规章的规定处理；</w:t>
            </w:r>
          </w:p>
          <w:p>
            <w:pPr>
              <w:rPr>
                <w:rFonts w:ascii="宋体" w:hAnsi="宋体"/>
                <w:szCs w:val="21"/>
              </w:rPr>
            </w:pPr>
            <w:r>
              <w:rPr>
                <w:rFonts w:hint="eastAsia" w:ascii="宋体" w:hAnsi="宋体"/>
                <w:szCs w:val="21"/>
              </w:rPr>
              <w:t>（3）招标文件中所设置的内容、条款及未尽事宜，均以国家、省、市或建设行政主管部门颁发的招投标有关规定为准；</w:t>
            </w:r>
          </w:p>
          <w:p>
            <w:pPr>
              <w:rPr>
                <w:rFonts w:ascii="宋体" w:hAnsi="宋体"/>
                <w:szCs w:val="21"/>
              </w:rPr>
            </w:pPr>
            <w:r>
              <w:rPr>
                <w:rFonts w:hint="eastAsia" w:ascii="宋体" w:hAnsi="宋体"/>
                <w:szCs w:val="21"/>
              </w:rPr>
              <w:t>(4) 投标人必须依据招标工程量清单、设计图、约定的计价依据及企业自身实力合理报价，不得采用不平衡报价、漏项等恶意竞争手段投标，中标后发包人将对其投标文件进行清标，如存在该现象，发包人将有权责令中标人修正；</w:t>
            </w:r>
          </w:p>
          <w:p>
            <w:pPr>
              <w:rPr>
                <w:rFonts w:ascii="宋体" w:hAnsi="宋体"/>
                <w:szCs w:val="21"/>
              </w:rPr>
            </w:pPr>
            <w:r>
              <w:rPr>
                <w:rFonts w:hint="eastAsia" w:ascii="宋体" w:hAnsi="宋体"/>
                <w:szCs w:val="21"/>
              </w:rPr>
              <w:t>（4）投标人对招标人（包括招标代理机构）发售的招标文件内容有异议的应于2019年</w:t>
            </w:r>
            <w:r>
              <w:rPr>
                <w:rFonts w:hint="eastAsia" w:ascii="宋体" w:hAnsi="宋体"/>
                <w:szCs w:val="21"/>
                <w:lang w:val="en-US" w:eastAsia="zh-CN"/>
              </w:rPr>
              <w:t>9</w:t>
            </w:r>
            <w:r>
              <w:rPr>
                <w:rFonts w:hint="eastAsia" w:ascii="宋体" w:hAnsi="宋体"/>
                <w:szCs w:val="21"/>
              </w:rPr>
              <w:t>月</w:t>
            </w:r>
            <w:r>
              <w:rPr>
                <w:rFonts w:hint="eastAsia" w:ascii="宋体" w:hAnsi="宋体"/>
                <w:szCs w:val="21"/>
                <w:lang w:val="en-US" w:eastAsia="zh-CN"/>
              </w:rPr>
              <w:t>28</w:t>
            </w:r>
            <w:r>
              <w:rPr>
                <w:rFonts w:hint="eastAsia" w:ascii="宋体" w:hAnsi="宋体"/>
                <w:szCs w:val="21"/>
              </w:rPr>
              <w:t>日（含）17：00时（北京时间）前以不署名的形式采用 书面 方式提出（书面文件发送至代理机构QQ邮箱：</w:t>
            </w:r>
            <w:r>
              <w:rPr>
                <w:rFonts w:hint="eastAsia" w:ascii="宋体" w:hAnsi="宋体"/>
                <w:szCs w:val="21"/>
                <w:lang w:eastAsia="zh-CN"/>
              </w:rPr>
              <w:t>158921169</w:t>
            </w:r>
            <w:r>
              <w:rPr>
                <w:rFonts w:hint="eastAsia" w:ascii="宋体" w:hAnsi="宋体"/>
                <w:szCs w:val="21"/>
              </w:rPr>
              <w:t>，否则视为认可招标文件的内容和条款。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trPr>
        <w:tc>
          <w:tcPr>
            <w:tcW w:w="1065" w:type="dxa"/>
            <w:vAlign w:val="center"/>
          </w:tcPr>
          <w:p>
            <w:pPr>
              <w:snapToGrid w:val="0"/>
              <w:jc w:val="center"/>
              <w:rPr>
                <w:rFonts w:ascii="宋体" w:hAnsi="宋体"/>
                <w:szCs w:val="21"/>
              </w:rPr>
            </w:pPr>
            <w:r>
              <w:rPr>
                <w:rFonts w:hint="eastAsia" w:ascii="宋体" w:hAnsi="宋体"/>
                <w:szCs w:val="21"/>
              </w:rPr>
              <w:t>……</w:t>
            </w:r>
          </w:p>
        </w:tc>
        <w:tc>
          <w:tcPr>
            <w:tcW w:w="8108" w:type="dxa"/>
            <w:gridSpan w:val="3"/>
            <w:vAlign w:val="center"/>
          </w:tcPr>
          <w:p>
            <w:pPr>
              <w:snapToGrid w:val="0"/>
              <w:jc w:val="center"/>
              <w:rPr>
                <w:rFonts w:ascii="宋体" w:hAnsi="宋体"/>
                <w:szCs w:val="21"/>
              </w:rPr>
            </w:pPr>
            <w:r>
              <w:rPr>
                <w:rFonts w:hint="eastAsia" w:ascii="宋体" w:hAnsi="宋体"/>
                <w:szCs w:val="21"/>
              </w:rPr>
              <w:t>……</w:t>
            </w:r>
          </w:p>
        </w:tc>
      </w:tr>
    </w:tbl>
    <w:p>
      <w:pPr>
        <w:pStyle w:val="52"/>
        <w:rPr>
          <w:rFonts w:ascii="黑体" w:eastAsia="黑体"/>
          <w:sz w:val="24"/>
          <w:szCs w:val="24"/>
        </w:rPr>
      </w:pPr>
      <w:r>
        <w:rPr>
          <w:rFonts w:hint="eastAsia" w:ascii="黑体" w:eastAsia="黑体"/>
          <w:sz w:val="24"/>
          <w:szCs w:val="24"/>
        </w:rPr>
        <w:t>说明：本招标文件中复印件指复印件或扫描件。</w:t>
      </w:r>
    </w:p>
    <w:p>
      <w:pPr>
        <w:pStyle w:val="52"/>
        <w:rPr>
          <w:rFonts w:ascii="黑体" w:hAnsi="宋体" w:eastAsia="黑体"/>
        </w:rPr>
      </w:pPr>
      <w:bookmarkStart w:id="34" w:name="_Toc300677998"/>
    </w:p>
    <w:p>
      <w:pPr>
        <w:snapToGrid w:val="0"/>
        <w:jc w:val="center"/>
        <w:rPr>
          <w:rFonts w:ascii="黑体" w:hAnsi="宋体" w:eastAsia="黑体"/>
          <w:sz w:val="28"/>
          <w:szCs w:val="28"/>
        </w:rPr>
      </w:pPr>
      <w:r>
        <w:rPr>
          <w:rFonts w:hint="eastAsia" w:ascii="黑体" w:hAnsi="宋体" w:eastAsia="黑体"/>
          <w:sz w:val="28"/>
          <w:szCs w:val="28"/>
        </w:rPr>
        <w:t>投标人须知正文部分</w:t>
      </w:r>
      <w:bookmarkEnd w:id="34"/>
    </w:p>
    <w:p>
      <w:pPr>
        <w:pStyle w:val="52"/>
        <w:rPr>
          <w:rFonts w:ascii="黑体" w:hAnsi="宋体" w:eastAsia="黑体"/>
        </w:rPr>
      </w:pPr>
    </w:p>
    <w:p>
      <w:pPr>
        <w:pStyle w:val="4"/>
        <w:keepNext/>
        <w:keepLines/>
        <w:widowControl w:val="0"/>
        <w:jc w:val="left"/>
        <w:rPr>
          <w:rFonts w:ascii="黑体" w:hAnsi="宋体" w:eastAsia="黑体"/>
          <w:b w:val="0"/>
          <w:bCs w:val="0"/>
          <w:sz w:val="28"/>
          <w:szCs w:val="28"/>
        </w:rPr>
      </w:pPr>
      <w:bookmarkStart w:id="35" w:name="_Toc484015077"/>
      <w:bookmarkStart w:id="36" w:name="_Toc486318709"/>
      <w:bookmarkStart w:id="37" w:name="_Toc32468"/>
      <w:bookmarkStart w:id="38" w:name="_Toc8085"/>
      <w:bookmarkStart w:id="39" w:name="_Toc23"/>
      <w:bookmarkStart w:id="40" w:name="_Toc15287"/>
      <w:bookmarkStart w:id="41" w:name="_Toc300677999"/>
      <w:r>
        <w:rPr>
          <w:rFonts w:hint="eastAsia" w:ascii="黑体" w:hAnsi="宋体" w:eastAsia="黑体"/>
          <w:b w:val="0"/>
          <w:bCs w:val="0"/>
          <w:sz w:val="28"/>
          <w:szCs w:val="28"/>
        </w:rPr>
        <w:t>1.总则</w:t>
      </w:r>
      <w:bookmarkEnd w:id="35"/>
      <w:bookmarkEnd w:id="36"/>
      <w:bookmarkEnd w:id="37"/>
      <w:bookmarkEnd w:id="38"/>
      <w:bookmarkEnd w:id="39"/>
      <w:bookmarkEnd w:id="40"/>
      <w:bookmarkEnd w:id="41"/>
    </w:p>
    <w:p>
      <w:pPr>
        <w:pStyle w:val="6"/>
        <w:rPr>
          <w:rFonts w:ascii="黑体" w:hAnsi="黑体" w:eastAsia="黑体"/>
          <w:b w:val="0"/>
          <w:bCs w:val="0"/>
          <w:sz w:val="24"/>
        </w:rPr>
      </w:pPr>
      <w:bookmarkStart w:id="42" w:name="_Toc300678000"/>
      <w:r>
        <w:rPr>
          <w:rFonts w:hint="eastAsia" w:ascii="黑体" w:hAnsi="黑体" w:eastAsia="黑体"/>
          <w:b w:val="0"/>
          <w:bCs w:val="0"/>
          <w:sz w:val="24"/>
        </w:rPr>
        <w:t>1.1 项目概况</w:t>
      </w:r>
      <w:bookmarkEnd w:id="42"/>
    </w:p>
    <w:p>
      <w:pPr>
        <w:pStyle w:val="52"/>
        <w:spacing w:line="360" w:lineRule="auto"/>
        <w:ind w:firstLine="420" w:firstLineChars="200"/>
        <w:rPr>
          <w:rFonts w:ascii="宋体" w:hAnsi="宋体"/>
        </w:rPr>
      </w:pPr>
      <w:r>
        <w:rPr>
          <w:rFonts w:hint="eastAsia" w:ascii="宋体" w:hAnsi="宋体"/>
        </w:rPr>
        <w:t>1.1.1  根据《 中华人民共和国招标投标法》、</w:t>
      </w:r>
      <w:r>
        <w:rPr>
          <w:rFonts w:hint="eastAsia"/>
          <w:sz w:val="22"/>
          <w:szCs w:val="22"/>
        </w:rPr>
        <w:t>《中华人民共和国招标投标法实施条例》</w:t>
      </w:r>
      <w:r>
        <w:rPr>
          <w:rFonts w:hint="eastAsia" w:ascii="宋体" w:hAnsi="宋体"/>
        </w:rPr>
        <w:t xml:space="preserve"> 等有关法律、法规和规章的规定，本招标项目已具备招标条件，现对本标段施工进行招标。</w:t>
      </w:r>
    </w:p>
    <w:p>
      <w:pPr>
        <w:pStyle w:val="52"/>
        <w:spacing w:line="360" w:lineRule="auto"/>
        <w:ind w:firstLine="420" w:firstLineChars="200"/>
        <w:rPr>
          <w:rFonts w:ascii="宋体" w:hAnsi="宋体"/>
        </w:rPr>
      </w:pPr>
      <w:r>
        <w:rPr>
          <w:rFonts w:hint="eastAsia" w:ascii="宋体" w:hAnsi="宋体"/>
        </w:rPr>
        <w:t>1.1.2  本招标项目招标人：见投标人须知前附表。</w:t>
      </w:r>
    </w:p>
    <w:p>
      <w:pPr>
        <w:pStyle w:val="52"/>
        <w:spacing w:line="360" w:lineRule="auto"/>
        <w:ind w:firstLine="420" w:firstLineChars="200"/>
        <w:rPr>
          <w:rFonts w:ascii="宋体" w:hAnsi="宋体"/>
        </w:rPr>
      </w:pPr>
      <w:r>
        <w:rPr>
          <w:rFonts w:hint="eastAsia" w:ascii="宋体" w:hAnsi="宋体"/>
        </w:rPr>
        <w:t>1.1.3  本标段招标代理机构：见投标人须知前附表。</w:t>
      </w:r>
    </w:p>
    <w:p>
      <w:pPr>
        <w:pStyle w:val="52"/>
        <w:spacing w:line="360" w:lineRule="auto"/>
        <w:ind w:firstLine="420" w:firstLineChars="200"/>
        <w:rPr>
          <w:rFonts w:ascii="宋体" w:hAnsi="宋体"/>
        </w:rPr>
      </w:pPr>
      <w:r>
        <w:rPr>
          <w:rFonts w:hint="eastAsia" w:ascii="宋体" w:hAnsi="宋体"/>
        </w:rPr>
        <w:t>1.1.4  本招标项目名称：见投标人须知前附表。</w:t>
      </w:r>
    </w:p>
    <w:p>
      <w:pPr>
        <w:pStyle w:val="52"/>
        <w:spacing w:line="360" w:lineRule="auto"/>
        <w:ind w:firstLine="420" w:firstLineChars="200"/>
        <w:rPr>
          <w:rFonts w:ascii="宋体" w:hAnsi="宋体"/>
        </w:rPr>
      </w:pPr>
      <w:r>
        <w:rPr>
          <w:rFonts w:hint="eastAsia" w:ascii="宋体" w:hAnsi="宋体"/>
        </w:rPr>
        <w:t>1.1.5  本标段建设地点：见投标人须知前附表。</w:t>
      </w:r>
    </w:p>
    <w:p>
      <w:pPr>
        <w:pStyle w:val="6"/>
        <w:rPr>
          <w:rFonts w:ascii="黑体" w:hAnsi="黑体" w:eastAsia="黑体"/>
          <w:b w:val="0"/>
          <w:bCs w:val="0"/>
          <w:sz w:val="24"/>
        </w:rPr>
      </w:pPr>
      <w:bookmarkStart w:id="43" w:name="_Toc300678001"/>
      <w:r>
        <w:rPr>
          <w:rFonts w:hint="eastAsia" w:ascii="黑体" w:hAnsi="黑体" w:eastAsia="黑体"/>
          <w:b w:val="0"/>
          <w:bCs w:val="0"/>
          <w:sz w:val="24"/>
        </w:rPr>
        <w:t>1.2 资金来源和落实情况</w:t>
      </w:r>
      <w:bookmarkEnd w:id="43"/>
    </w:p>
    <w:p>
      <w:pPr>
        <w:pStyle w:val="52"/>
        <w:spacing w:line="360" w:lineRule="auto"/>
        <w:ind w:firstLine="420" w:firstLineChars="200"/>
        <w:rPr>
          <w:rFonts w:ascii="宋体" w:hAnsi="宋体"/>
        </w:rPr>
      </w:pPr>
      <w:r>
        <w:rPr>
          <w:rFonts w:hint="eastAsia" w:ascii="宋体" w:hAnsi="宋体"/>
        </w:rPr>
        <w:t>1.2.1  本招标项目的资金来源：见投标人须知前附表。</w:t>
      </w:r>
    </w:p>
    <w:p>
      <w:pPr>
        <w:pStyle w:val="52"/>
        <w:spacing w:line="360" w:lineRule="auto"/>
        <w:ind w:firstLine="420" w:firstLineChars="200"/>
        <w:rPr>
          <w:rFonts w:ascii="宋体" w:hAnsi="宋体"/>
        </w:rPr>
      </w:pPr>
      <w:r>
        <w:rPr>
          <w:rFonts w:hint="eastAsia" w:ascii="宋体" w:hAnsi="宋体"/>
        </w:rPr>
        <w:t>1.2.2  本招标项目的出资比例：见投标人须知前附表。</w:t>
      </w:r>
    </w:p>
    <w:p>
      <w:pPr>
        <w:pStyle w:val="52"/>
        <w:spacing w:line="360" w:lineRule="auto"/>
        <w:ind w:firstLine="420" w:firstLineChars="200"/>
        <w:rPr>
          <w:rFonts w:ascii="宋体" w:hAnsi="宋体"/>
        </w:rPr>
      </w:pPr>
      <w:r>
        <w:rPr>
          <w:rFonts w:hint="eastAsia" w:ascii="宋体" w:hAnsi="宋体"/>
        </w:rPr>
        <w:t>1.2.3  本招标项目的资金落实情况：见投标人须知前附表。</w:t>
      </w:r>
    </w:p>
    <w:p>
      <w:pPr>
        <w:pStyle w:val="6"/>
        <w:rPr>
          <w:rFonts w:ascii="黑体" w:hAnsi="黑体" w:eastAsia="黑体"/>
          <w:b w:val="0"/>
          <w:bCs w:val="0"/>
          <w:sz w:val="24"/>
        </w:rPr>
      </w:pPr>
      <w:bookmarkStart w:id="44" w:name="_Toc300678002"/>
      <w:r>
        <w:rPr>
          <w:rFonts w:hint="eastAsia" w:ascii="黑体" w:hAnsi="黑体" w:eastAsia="黑体"/>
          <w:b w:val="0"/>
          <w:bCs w:val="0"/>
          <w:sz w:val="24"/>
        </w:rPr>
        <w:t>1.3 招标范围、计划工期和质量要求</w:t>
      </w:r>
      <w:bookmarkEnd w:id="44"/>
    </w:p>
    <w:p>
      <w:pPr>
        <w:pStyle w:val="52"/>
        <w:spacing w:line="360" w:lineRule="auto"/>
        <w:ind w:firstLine="420" w:firstLineChars="200"/>
        <w:rPr>
          <w:rFonts w:ascii="宋体" w:hAnsi="宋体"/>
        </w:rPr>
      </w:pPr>
      <w:r>
        <w:rPr>
          <w:rFonts w:hint="eastAsia" w:ascii="宋体" w:hAnsi="宋体"/>
        </w:rPr>
        <w:t>1.3.1  本次招标范围：见投标人须知前附表。</w:t>
      </w:r>
    </w:p>
    <w:p>
      <w:pPr>
        <w:pStyle w:val="52"/>
        <w:spacing w:line="360" w:lineRule="auto"/>
        <w:ind w:firstLine="420" w:firstLineChars="200"/>
        <w:rPr>
          <w:rFonts w:ascii="宋体" w:hAnsi="宋体"/>
        </w:rPr>
      </w:pPr>
      <w:r>
        <w:rPr>
          <w:rFonts w:hint="eastAsia" w:ascii="宋体" w:hAnsi="宋体"/>
        </w:rPr>
        <w:t>1.3.2  本标段的计划工期：见投标人须知前附表。</w:t>
      </w:r>
    </w:p>
    <w:p>
      <w:pPr>
        <w:pStyle w:val="52"/>
        <w:spacing w:line="360" w:lineRule="auto"/>
        <w:ind w:firstLine="420" w:firstLineChars="200"/>
        <w:rPr>
          <w:rFonts w:ascii="宋体" w:hAnsi="宋体"/>
        </w:rPr>
      </w:pPr>
      <w:r>
        <w:rPr>
          <w:rFonts w:hint="eastAsia" w:ascii="宋体" w:hAnsi="宋体"/>
        </w:rPr>
        <w:t>1.3.3  本标段的质量要求：见投标人须知前附表。</w:t>
      </w:r>
    </w:p>
    <w:p>
      <w:pPr>
        <w:pStyle w:val="6"/>
        <w:rPr>
          <w:rFonts w:ascii="黑体" w:hAnsi="黑体" w:eastAsia="黑体"/>
          <w:b w:val="0"/>
          <w:bCs w:val="0"/>
          <w:sz w:val="24"/>
        </w:rPr>
      </w:pPr>
      <w:bookmarkStart w:id="45" w:name="_Toc300678003"/>
      <w:r>
        <w:rPr>
          <w:rFonts w:hint="eastAsia" w:ascii="黑体" w:hAnsi="黑体" w:eastAsia="黑体"/>
          <w:b w:val="0"/>
          <w:bCs w:val="0"/>
          <w:sz w:val="24"/>
        </w:rPr>
        <w:t>1.4 投标人资格要求（适用于开标后资格审查和邀请招标的）</w:t>
      </w:r>
      <w:bookmarkEnd w:id="45"/>
    </w:p>
    <w:p>
      <w:pPr>
        <w:pStyle w:val="52"/>
        <w:spacing w:line="360" w:lineRule="auto"/>
        <w:ind w:firstLine="420" w:firstLineChars="200"/>
        <w:rPr>
          <w:rFonts w:ascii="宋体" w:hAnsi="宋体"/>
        </w:rPr>
      </w:pPr>
      <w:r>
        <w:rPr>
          <w:rFonts w:hint="eastAsia" w:ascii="宋体" w:hAnsi="宋体"/>
        </w:rPr>
        <w:t>1.4.1  投标人应具备承担本标段施工的资质条件、能力和信誉。</w:t>
      </w:r>
    </w:p>
    <w:p>
      <w:pPr>
        <w:pStyle w:val="52"/>
        <w:spacing w:line="360" w:lineRule="auto"/>
        <w:ind w:firstLine="420" w:firstLineChars="200"/>
        <w:rPr>
          <w:rFonts w:ascii="宋体" w:hAnsi="宋体"/>
        </w:rPr>
      </w:pPr>
      <w:r>
        <w:rPr>
          <w:rFonts w:hint="eastAsia" w:ascii="宋体" w:hAnsi="宋体"/>
        </w:rPr>
        <w:t>（l）资质条件：见投标人须知前附表；</w:t>
      </w:r>
    </w:p>
    <w:p>
      <w:pPr>
        <w:pStyle w:val="52"/>
        <w:spacing w:line="360" w:lineRule="auto"/>
        <w:ind w:firstLine="420" w:firstLineChars="200"/>
        <w:rPr>
          <w:rFonts w:ascii="宋体" w:hAnsi="宋体"/>
        </w:rPr>
      </w:pPr>
      <w:r>
        <w:rPr>
          <w:rFonts w:hint="eastAsia" w:ascii="宋体" w:hAnsi="宋体"/>
        </w:rPr>
        <w:t>（2）财务要求：见投标人须知前附表；</w:t>
      </w:r>
    </w:p>
    <w:p>
      <w:pPr>
        <w:pStyle w:val="52"/>
        <w:spacing w:line="360" w:lineRule="auto"/>
        <w:ind w:firstLine="420" w:firstLineChars="200"/>
        <w:rPr>
          <w:rFonts w:ascii="宋体" w:hAnsi="宋体"/>
        </w:rPr>
      </w:pPr>
      <w:r>
        <w:rPr>
          <w:rFonts w:hint="eastAsia" w:ascii="宋体" w:hAnsi="宋体"/>
        </w:rPr>
        <w:t>（3）业绩要求：见投标人须知前附表；</w:t>
      </w:r>
    </w:p>
    <w:p>
      <w:pPr>
        <w:pStyle w:val="52"/>
        <w:spacing w:line="360" w:lineRule="auto"/>
        <w:ind w:firstLine="420" w:firstLineChars="200"/>
        <w:rPr>
          <w:rFonts w:ascii="宋体" w:hAnsi="宋体"/>
        </w:rPr>
      </w:pPr>
      <w:r>
        <w:rPr>
          <w:rFonts w:hint="eastAsia" w:ascii="宋体" w:hAnsi="宋体"/>
        </w:rPr>
        <w:t>（4）信誉要求：见投标人须知前附表；</w:t>
      </w:r>
    </w:p>
    <w:p>
      <w:pPr>
        <w:pStyle w:val="52"/>
        <w:spacing w:line="360" w:lineRule="auto"/>
        <w:ind w:firstLine="420" w:firstLineChars="200"/>
        <w:rPr>
          <w:rFonts w:ascii="宋体" w:hAnsi="宋体"/>
        </w:rPr>
      </w:pPr>
      <w:r>
        <w:rPr>
          <w:rFonts w:hint="eastAsia" w:ascii="宋体" w:hAnsi="宋体"/>
        </w:rPr>
        <w:t>（5）项目负责人资格：见投标人须知前附表；</w:t>
      </w:r>
    </w:p>
    <w:p>
      <w:pPr>
        <w:pStyle w:val="52"/>
        <w:spacing w:line="360" w:lineRule="auto"/>
        <w:ind w:firstLine="420" w:firstLineChars="200"/>
        <w:rPr>
          <w:rFonts w:ascii="宋体" w:hAnsi="宋体"/>
        </w:rPr>
      </w:pPr>
      <w:r>
        <w:rPr>
          <w:rFonts w:hint="eastAsia" w:ascii="宋体" w:hAnsi="宋体"/>
        </w:rPr>
        <w:t>（6）其他要求：见投标人须知前附表。</w:t>
      </w:r>
    </w:p>
    <w:p>
      <w:pPr>
        <w:pStyle w:val="52"/>
        <w:spacing w:line="360" w:lineRule="auto"/>
        <w:ind w:firstLine="420" w:firstLineChars="200"/>
        <w:rPr>
          <w:rFonts w:ascii="宋体" w:hAnsi="宋体"/>
        </w:rPr>
      </w:pPr>
      <w:r>
        <w:rPr>
          <w:rFonts w:hint="eastAsia" w:ascii="宋体" w:hAnsi="宋体"/>
        </w:rPr>
        <w:t>1.4.2  投标人须知前附表规定接受联合体投标的，除应符合本章第1.4.1项和投标人须知前附表的要求外，还应遵守以下规定：</w:t>
      </w:r>
    </w:p>
    <w:p>
      <w:pPr>
        <w:pStyle w:val="52"/>
        <w:spacing w:line="360" w:lineRule="auto"/>
        <w:ind w:firstLine="422" w:firstLineChars="200"/>
        <w:rPr>
          <w:rFonts w:ascii="宋体" w:hAnsi="宋体"/>
          <w:b/>
        </w:rPr>
      </w:pPr>
      <w:r>
        <w:rPr>
          <w:rFonts w:hint="eastAsia" w:ascii="宋体" w:hAnsi="宋体"/>
          <w:b/>
        </w:rPr>
        <w:t>（1）联合体各方应按招标文件提供的格式签订联合体协议书，明确联合体牵头人和各方权利义务；</w:t>
      </w:r>
    </w:p>
    <w:p>
      <w:pPr>
        <w:pStyle w:val="52"/>
        <w:spacing w:line="360" w:lineRule="auto"/>
        <w:ind w:firstLine="422" w:firstLineChars="200"/>
        <w:rPr>
          <w:rFonts w:ascii="宋体" w:hAnsi="宋体"/>
          <w:b/>
        </w:rPr>
      </w:pPr>
      <w:r>
        <w:rPr>
          <w:rFonts w:hint="eastAsia" w:ascii="宋体" w:hAnsi="宋体"/>
          <w:b/>
        </w:rPr>
        <w:t>（2）由同一专业的单位组成的联合体，按照资质等级较低的单位确定资质等级；</w:t>
      </w:r>
    </w:p>
    <w:p>
      <w:pPr>
        <w:pStyle w:val="52"/>
        <w:spacing w:line="360" w:lineRule="auto"/>
        <w:ind w:firstLine="422" w:firstLineChars="200"/>
        <w:rPr>
          <w:rFonts w:ascii="宋体" w:hAnsi="宋体"/>
          <w:b/>
        </w:rPr>
      </w:pPr>
      <w:r>
        <w:rPr>
          <w:rFonts w:hint="eastAsia" w:ascii="宋体" w:hAnsi="宋体"/>
          <w:b/>
        </w:rPr>
        <w:t>（3）联合体各方不得再以自己名义单独或参加其他联合体在同一标段中投标。</w:t>
      </w:r>
    </w:p>
    <w:p>
      <w:pPr>
        <w:pStyle w:val="52"/>
        <w:spacing w:line="360" w:lineRule="auto"/>
        <w:ind w:firstLine="422" w:firstLineChars="200"/>
        <w:rPr>
          <w:rFonts w:ascii="宋体" w:hAnsi="宋体"/>
          <w:b/>
        </w:rPr>
      </w:pPr>
      <w:r>
        <w:rPr>
          <w:rFonts w:hint="eastAsia" w:ascii="宋体" w:hAnsi="宋体"/>
          <w:b/>
        </w:rPr>
        <w:t>1.4.3 投标人不得存在下列情形之一：</w:t>
      </w:r>
    </w:p>
    <w:p>
      <w:pPr>
        <w:pStyle w:val="52"/>
        <w:spacing w:line="360" w:lineRule="auto"/>
        <w:ind w:firstLine="422" w:firstLineChars="200"/>
        <w:rPr>
          <w:rFonts w:ascii="宋体" w:hAnsi="宋体"/>
          <w:b/>
        </w:rPr>
      </w:pPr>
      <w:r>
        <w:rPr>
          <w:rFonts w:hint="eastAsia" w:ascii="宋体" w:hAnsi="宋体"/>
          <w:b/>
        </w:rPr>
        <w:t>（l）为招标人不具有独立法人资格的附属机构（单位）；</w:t>
      </w:r>
    </w:p>
    <w:p>
      <w:pPr>
        <w:pStyle w:val="52"/>
        <w:spacing w:line="360" w:lineRule="auto"/>
        <w:ind w:firstLine="422" w:firstLineChars="200"/>
        <w:rPr>
          <w:rFonts w:ascii="宋体" w:hAnsi="宋体"/>
          <w:b/>
        </w:rPr>
      </w:pPr>
      <w:r>
        <w:rPr>
          <w:rFonts w:hint="eastAsia" w:ascii="宋体" w:hAnsi="宋体"/>
          <w:b/>
        </w:rPr>
        <w:t>（2）为本标段前期准备提供设计或咨询服务的，但设计施工总承包的除外；</w:t>
      </w:r>
    </w:p>
    <w:p>
      <w:pPr>
        <w:pStyle w:val="52"/>
        <w:spacing w:line="360" w:lineRule="auto"/>
        <w:ind w:firstLine="422" w:firstLineChars="200"/>
        <w:rPr>
          <w:rFonts w:ascii="宋体" w:hAnsi="宋体"/>
          <w:b/>
        </w:rPr>
      </w:pPr>
      <w:r>
        <w:rPr>
          <w:rFonts w:hint="eastAsia" w:ascii="宋体" w:hAnsi="宋体"/>
          <w:b/>
        </w:rPr>
        <w:t>（3）为本标段的监理人；</w:t>
      </w:r>
    </w:p>
    <w:p>
      <w:pPr>
        <w:pStyle w:val="52"/>
        <w:spacing w:line="360" w:lineRule="auto"/>
        <w:ind w:firstLine="422" w:firstLineChars="200"/>
        <w:rPr>
          <w:rFonts w:ascii="宋体" w:hAnsi="宋体"/>
          <w:b/>
        </w:rPr>
      </w:pPr>
      <w:r>
        <w:rPr>
          <w:rFonts w:hint="eastAsia" w:ascii="宋体" w:hAnsi="宋体"/>
          <w:b/>
        </w:rPr>
        <w:t>（4）为本标段的代建人；</w:t>
      </w:r>
    </w:p>
    <w:p>
      <w:pPr>
        <w:pStyle w:val="52"/>
        <w:spacing w:line="360" w:lineRule="auto"/>
        <w:ind w:firstLine="422" w:firstLineChars="200"/>
        <w:rPr>
          <w:rFonts w:ascii="宋体" w:hAnsi="宋体"/>
          <w:b/>
        </w:rPr>
      </w:pPr>
      <w:r>
        <w:rPr>
          <w:rFonts w:hint="eastAsia" w:ascii="宋体" w:hAnsi="宋体"/>
          <w:b/>
        </w:rPr>
        <w:t>（5）为本标段提供招标代理服务的；</w:t>
      </w:r>
    </w:p>
    <w:p>
      <w:pPr>
        <w:pStyle w:val="52"/>
        <w:spacing w:line="360" w:lineRule="auto"/>
        <w:ind w:firstLine="422" w:firstLineChars="200"/>
        <w:rPr>
          <w:rFonts w:ascii="宋体" w:hAnsi="宋体"/>
          <w:b/>
        </w:rPr>
      </w:pPr>
      <w:r>
        <w:rPr>
          <w:rFonts w:hint="eastAsia" w:ascii="宋体" w:hAnsi="宋体"/>
          <w:b/>
        </w:rPr>
        <w:t>（6）与本标段的监理人或代建人或招标代理机构同为一个法定代表人的；</w:t>
      </w:r>
    </w:p>
    <w:p>
      <w:pPr>
        <w:pStyle w:val="52"/>
        <w:spacing w:line="360" w:lineRule="auto"/>
        <w:ind w:firstLine="422" w:firstLineChars="200"/>
        <w:rPr>
          <w:rFonts w:ascii="宋体" w:hAnsi="宋体"/>
          <w:b/>
        </w:rPr>
      </w:pPr>
      <w:r>
        <w:rPr>
          <w:rFonts w:hint="eastAsia" w:ascii="宋体" w:hAnsi="宋体"/>
          <w:b/>
        </w:rPr>
        <w:t>（7）与本标段的监理人或代建人或招标代理机构相互控股或参股的；</w:t>
      </w:r>
    </w:p>
    <w:p>
      <w:pPr>
        <w:pStyle w:val="52"/>
        <w:spacing w:line="360" w:lineRule="auto"/>
        <w:ind w:firstLine="422" w:firstLineChars="200"/>
        <w:rPr>
          <w:rFonts w:ascii="宋体" w:hAnsi="宋体"/>
          <w:b/>
        </w:rPr>
      </w:pPr>
      <w:r>
        <w:rPr>
          <w:rFonts w:hint="eastAsia" w:ascii="宋体" w:hAnsi="宋体"/>
          <w:b/>
        </w:rPr>
        <w:t>（8）与本标段的监理人或代建人或招标代理机构相互任职或工作的；</w:t>
      </w:r>
    </w:p>
    <w:p>
      <w:pPr>
        <w:pStyle w:val="52"/>
        <w:spacing w:line="360" w:lineRule="auto"/>
        <w:ind w:firstLine="422" w:firstLineChars="200"/>
        <w:rPr>
          <w:rFonts w:ascii="宋体" w:hAnsi="宋体"/>
          <w:b/>
        </w:rPr>
      </w:pPr>
      <w:r>
        <w:rPr>
          <w:rFonts w:hint="eastAsia" w:ascii="宋体" w:hAnsi="宋体"/>
          <w:b/>
        </w:rPr>
        <w:t>（9）被责令停业的；</w:t>
      </w:r>
    </w:p>
    <w:p>
      <w:pPr>
        <w:pStyle w:val="52"/>
        <w:spacing w:line="360" w:lineRule="auto"/>
        <w:ind w:firstLine="422" w:firstLineChars="200"/>
        <w:rPr>
          <w:rFonts w:ascii="宋体" w:hAnsi="宋体"/>
          <w:b/>
        </w:rPr>
      </w:pPr>
      <w:r>
        <w:rPr>
          <w:rFonts w:hint="eastAsia" w:ascii="宋体" w:hAnsi="宋体"/>
          <w:b/>
        </w:rPr>
        <w:t>（10）被暂停或取消投标资格的；</w:t>
      </w:r>
    </w:p>
    <w:p>
      <w:pPr>
        <w:pStyle w:val="52"/>
        <w:spacing w:line="360" w:lineRule="auto"/>
        <w:ind w:firstLine="422" w:firstLineChars="200"/>
        <w:rPr>
          <w:rFonts w:ascii="宋体" w:hAnsi="宋体"/>
          <w:b/>
        </w:rPr>
      </w:pPr>
      <w:r>
        <w:rPr>
          <w:rFonts w:hint="eastAsia" w:ascii="宋体" w:hAnsi="宋体"/>
          <w:b/>
        </w:rPr>
        <w:t>（11）财产被接管或冻结的；</w:t>
      </w:r>
    </w:p>
    <w:p>
      <w:pPr>
        <w:pStyle w:val="52"/>
        <w:spacing w:line="360" w:lineRule="auto"/>
        <w:ind w:firstLine="422" w:firstLineChars="200"/>
        <w:rPr>
          <w:rFonts w:ascii="宋体" w:hAnsi="宋体"/>
          <w:b/>
        </w:rPr>
      </w:pPr>
      <w:r>
        <w:rPr>
          <w:rFonts w:hint="eastAsia" w:ascii="宋体" w:hAnsi="宋体"/>
          <w:b/>
        </w:rPr>
        <w:t>（1</w:t>
      </w:r>
      <w:r>
        <w:rPr>
          <w:rFonts w:ascii="宋体" w:hAnsi="宋体"/>
          <w:b/>
        </w:rPr>
        <w:t>2</w:t>
      </w:r>
      <w:r>
        <w:rPr>
          <w:rFonts w:hint="eastAsia" w:ascii="宋体" w:hAnsi="宋体"/>
          <w:b/>
        </w:rPr>
        <w:t>）在最近三年内有骗取中标或严重违约等情形，并受到行政处罚的；</w:t>
      </w:r>
    </w:p>
    <w:p>
      <w:pPr>
        <w:spacing w:line="360" w:lineRule="auto"/>
        <w:ind w:firstLine="422" w:firstLineChars="200"/>
        <w:rPr>
          <w:rFonts w:ascii="宋体" w:hAnsi="宋体"/>
          <w:b/>
        </w:rPr>
      </w:pPr>
      <w:r>
        <w:rPr>
          <w:rFonts w:hint="eastAsia" w:ascii="宋体" w:hAnsi="宋体"/>
          <w:b/>
        </w:rPr>
        <w:t>（13）</w:t>
      </w:r>
      <w:r>
        <w:rPr>
          <w:rFonts w:ascii="宋体" w:hAnsi="宋体"/>
          <w:b/>
        </w:rPr>
        <w:t>企业有被有权机关吊销营业执照、吊销资质、责令停业、暂扣安全生产许可证、暂停或取消投标资格、以及财产被接管或冻结；拟任项目负责人有处于被有权机关吊销注册执业资格、停止执业、收回</w:t>
      </w:r>
      <w:r>
        <w:rPr>
          <w:rFonts w:hint="eastAsia" w:ascii="宋体" w:hAnsi="宋体"/>
          <w:b/>
        </w:rPr>
        <w:t>项目负责人</w:t>
      </w:r>
      <w:r>
        <w:rPr>
          <w:rFonts w:ascii="宋体" w:hAnsi="宋体"/>
          <w:b/>
        </w:rPr>
        <w:t xml:space="preserve">安全生产考核合格证、取消投标资格； </w:t>
      </w:r>
    </w:p>
    <w:p>
      <w:pPr>
        <w:spacing w:line="360" w:lineRule="auto"/>
        <w:ind w:firstLine="422" w:firstLineChars="200"/>
        <w:rPr>
          <w:rFonts w:ascii="宋体" w:hAnsi="宋体"/>
          <w:b/>
          <w:bCs/>
        </w:rPr>
      </w:pPr>
      <w:r>
        <w:rPr>
          <w:rFonts w:hint="eastAsia" w:ascii="宋体" w:hAnsi="宋体"/>
          <w:b/>
          <w:szCs w:val="21"/>
        </w:rPr>
        <w:t>（14）</w:t>
      </w:r>
      <w:r>
        <w:rPr>
          <w:rFonts w:ascii="宋体" w:hAnsi="宋体"/>
          <w:b/>
          <w:bCs/>
        </w:rPr>
        <w:t>属于与招标人存在利害关系可能影响招标公正性的法人、其他组织或者个人；属于单位负责人为同一人或者存在控股、管理关系的不同单位</w:t>
      </w:r>
      <w:r>
        <w:rPr>
          <w:rFonts w:hint="eastAsia" w:ascii="宋体" w:hAnsi="宋体"/>
          <w:b/>
          <w:bCs/>
        </w:rPr>
        <w:t>。</w:t>
      </w:r>
    </w:p>
    <w:p>
      <w:pPr>
        <w:spacing w:line="360" w:lineRule="auto"/>
        <w:ind w:firstLine="422" w:firstLineChars="200"/>
        <w:rPr>
          <w:rFonts w:ascii="宋体" w:hAnsi="宋体"/>
          <w:b/>
        </w:rPr>
      </w:pPr>
      <w:r>
        <w:rPr>
          <w:rFonts w:hint="eastAsia" w:ascii="宋体" w:hAnsi="宋体"/>
          <w:b/>
          <w:bCs/>
        </w:rPr>
        <w:t>（</w:t>
      </w:r>
      <w:r>
        <w:rPr>
          <w:rFonts w:ascii="宋体" w:hAnsi="宋体"/>
          <w:b/>
          <w:bCs/>
        </w:rPr>
        <w:t>15</w:t>
      </w:r>
      <w:r>
        <w:rPr>
          <w:rFonts w:hint="eastAsia" w:ascii="宋体" w:hAnsi="宋体"/>
          <w:b/>
          <w:bCs/>
        </w:rPr>
        <w:t>）违反法律、法规和招标文件规定的其他条件。</w:t>
      </w:r>
    </w:p>
    <w:p>
      <w:pPr>
        <w:pStyle w:val="6"/>
        <w:rPr>
          <w:rFonts w:ascii="黑体" w:hAnsi="黑体" w:eastAsia="黑体"/>
          <w:b w:val="0"/>
          <w:bCs w:val="0"/>
          <w:sz w:val="24"/>
        </w:rPr>
      </w:pPr>
      <w:bookmarkStart w:id="46" w:name="_Toc300678005"/>
      <w:r>
        <w:rPr>
          <w:rFonts w:hint="eastAsia" w:ascii="黑体" w:hAnsi="黑体" w:eastAsia="黑体"/>
          <w:b w:val="0"/>
          <w:bCs w:val="0"/>
          <w:sz w:val="24"/>
        </w:rPr>
        <w:t>1.5 费用承担</w:t>
      </w:r>
      <w:bookmarkEnd w:id="46"/>
    </w:p>
    <w:p>
      <w:pPr>
        <w:pStyle w:val="52"/>
        <w:spacing w:line="360" w:lineRule="auto"/>
        <w:ind w:firstLine="420" w:firstLineChars="200"/>
        <w:rPr>
          <w:rFonts w:ascii="宋体" w:hAnsi="宋体"/>
        </w:rPr>
      </w:pPr>
      <w:r>
        <w:rPr>
          <w:rFonts w:hint="eastAsia" w:ascii="宋体" w:hAnsi="宋体"/>
        </w:rPr>
        <w:t>投标人准备和参加投标活动发生的费用自理。</w:t>
      </w:r>
    </w:p>
    <w:p>
      <w:pPr>
        <w:pStyle w:val="6"/>
        <w:rPr>
          <w:rFonts w:ascii="黑体" w:hAnsi="黑体" w:eastAsia="黑体"/>
          <w:b w:val="0"/>
          <w:bCs w:val="0"/>
          <w:sz w:val="24"/>
        </w:rPr>
      </w:pPr>
      <w:bookmarkStart w:id="47" w:name="_Toc300678006"/>
      <w:r>
        <w:rPr>
          <w:rFonts w:hint="eastAsia" w:ascii="黑体" w:hAnsi="黑体" w:eastAsia="黑体"/>
          <w:b w:val="0"/>
          <w:bCs w:val="0"/>
          <w:sz w:val="24"/>
        </w:rPr>
        <w:t>1.6 保密</w:t>
      </w:r>
      <w:bookmarkEnd w:id="47"/>
    </w:p>
    <w:p>
      <w:pPr>
        <w:pStyle w:val="52"/>
        <w:spacing w:line="360" w:lineRule="auto"/>
        <w:ind w:firstLine="420" w:firstLineChars="200"/>
        <w:rPr>
          <w:rFonts w:ascii="宋体" w:hAnsi="宋体"/>
        </w:rPr>
      </w:pPr>
      <w:r>
        <w:rPr>
          <w:rFonts w:hint="eastAsia" w:ascii="宋体" w:hAnsi="宋体"/>
        </w:rPr>
        <w:t>参与招标投标活动的各方应对招标文件和投标文件中的商业和技术等秘密保密，违者应对由此造成的后果承担法律责任。</w:t>
      </w:r>
    </w:p>
    <w:p>
      <w:pPr>
        <w:pStyle w:val="6"/>
        <w:rPr>
          <w:rFonts w:ascii="黑体" w:hAnsi="黑体" w:eastAsia="黑体"/>
          <w:b w:val="0"/>
          <w:bCs w:val="0"/>
          <w:sz w:val="24"/>
        </w:rPr>
      </w:pPr>
      <w:bookmarkStart w:id="48" w:name="_Toc300678007"/>
      <w:r>
        <w:rPr>
          <w:rFonts w:hint="eastAsia" w:ascii="黑体" w:hAnsi="黑体" w:eastAsia="黑体"/>
          <w:b w:val="0"/>
          <w:bCs w:val="0"/>
          <w:sz w:val="24"/>
        </w:rPr>
        <w:t>1.7 语言文字</w:t>
      </w:r>
      <w:bookmarkEnd w:id="48"/>
    </w:p>
    <w:p>
      <w:pPr>
        <w:pStyle w:val="52"/>
        <w:spacing w:line="360" w:lineRule="auto"/>
        <w:ind w:firstLine="420" w:firstLineChars="200"/>
        <w:rPr>
          <w:rFonts w:ascii="宋体" w:hAnsi="宋体"/>
        </w:rPr>
      </w:pPr>
      <w:r>
        <w:rPr>
          <w:rFonts w:hint="eastAsia" w:ascii="宋体" w:hAnsi="宋体"/>
        </w:rPr>
        <w:t>除专用术语外，与招标投标有关的语言均使用中文。必要时专用术语应附有中文注释。</w:t>
      </w:r>
    </w:p>
    <w:p>
      <w:pPr>
        <w:pStyle w:val="6"/>
        <w:rPr>
          <w:rFonts w:ascii="黑体" w:hAnsi="黑体" w:eastAsia="黑体"/>
          <w:b w:val="0"/>
          <w:bCs w:val="0"/>
          <w:sz w:val="24"/>
        </w:rPr>
      </w:pPr>
      <w:bookmarkStart w:id="49" w:name="_Toc300678008"/>
      <w:r>
        <w:rPr>
          <w:rFonts w:hint="eastAsia" w:ascii="黑体" w:hAnsi="黑体" w:eastAsia="黑体"/>
          <w:b w:val="0"/>
          <w:bCs w:val="0"/>
          <w:sz w:val="24"/>
        </w:rPr>
        <w:t>1.8 计量单位</w:t>
      </w:r>
      <w:bookmarkEnd w:id="49"/>
    </w:p>
    <w:p>
      <w:pPr>
        <w:pStyle w:val="52"/>
        <w:spacing w:line="360" w:lineRule="auto"/>
        <w:ind w:firstLine="420" w:firstLineChars="200"/>
        <w:rPr>
          <w:rFonts w:ascii="宋体" w:hAnsi="宋体"/>
        </w:rPr>
      </w:pPr>
      <w:r>
        <w:rPr>
          <w:rFonts w:hint="eastAsia" w:ascii="宋体" w:hAnsi="宋体"/>
        </w:rPr>
        <w:t>所有计量均采用中华人民共和国法定计量单位。</w:t>
      </w:r>
    </w:p>
    <w:p>
      <w:pPr>
        <w:pStyle w:val="6"/>
        <w:rPr>
          <w:rFonts w:ascii="黑体" w:hAnsi="黑体" w:eastAsia="黑体"/>
          <w:b w:val="0"/>
          <w:bCs w:val="0"/>
          <w:sz w:val="24"/>
        </w:rPr>
      </w:pPr>
      <w:bookmarkStart w:id="50" w:name="_Toc300678009"/>
      <w:r>
        <w:rPr>
          <w:rFonts w:hint="eastAsia" w:ascii="黑体" w:hAnsi="黑体" w:eastAsia="黑体"/>
          <w:b w:val="0"/>
          <w:bCs w:val="0"/>
          <w:sz w:val="24"/>
        </w:rPr>
        <w:t>1.9 踏勘现场</w:t>
      </w:r>
      <w:bookmarkEnd w:id="50"/>
    </w:p>
    <w:p>
      <w:pPr>
        <w:pStyle w:val="52"/>
        <w:spacing w:line="360" w:lineRule="auto"/>
        <w:ind w:firstLine="420" w:firstLineChars="200"/>
        <w:rPr>
          <w:rFonts w:ascii="宋体" w:hAnsi="宋体"/>
        </w:rPr>
      </w:pPr>
      <w:r>
        <w:rPr>
          <w:rFonts w:hint="eastAsia" w:ascii="宋体" w:hAnsi="宋体"/>
        </w:rPr>
        <w:t>1.9.1  投标人须知前附表规定组织踏勘现场的，招标人按投标人须知前附表规定的时间、地点组织投标人踏勘项目现场。</w:t>
      </w:r>
    </w:p>
    <w:p>
      <w:pPr>
        <w:pStyle w:val="52"/>
        <w:spacing w:line="360" w:lineRule="auto"/>
        <w:ind w:firstLine="420" w:firstLineChars="200"/>
        <w:rPr>
          <w:rFonts w:ascii="宋体" w:hAnsi="宋体"/>
        </w:rPr>
      </w:pPr>
      <w:r>
        <w:rPr>
          <w:rFonts w:hint="eastAsia" w:ascii="宋体" w:hAnsi="宋体"/>
        </w:rPr>
        <w:t>1.9.2  投标人踏勘现场发生的费用自理。</w:t>
      </w:r>
    </w:p>
    <w:p>
      <w:pPr>
        <w:pStyle w:val="52"/>
        <w:spacing w:line="360" w:lineRule="auto"/>
        <w:ind w:firstLine="420" w:firstLineChars="200"/>
        <w:rPr>
          <w:rFonts w:ascii="宋体" w:hAnsi="宋体"/>
        </w:rPr>
      </w:pPr>
      <w:r>
        <w:rPr>
          <w:rFonts w:hint="eastAsia" w:ascii="宋体" w:hAnsi="宋体"/>
        </w:rPr>
        <w:t>1.9.3  除招标人的原因外，投标人自行负责在踏勘现场中所发生的人员伤亡和财产损失。</w:t>
      </w:r>
    </w:p>
    <w:p>
      <w:pPr>
        <w:pStyle w:val="52"/>
        <w:spacing w:line="360" w:lineRule="auto"/>
        <w:ind w:firstLine="420" w:firstLineChars="200"/>
        <w:rPr>
          <w:rFonts w:ascii="宋体" w:hAnsi="宋体"/>
        </w:rPr>
      </w:pPr>
      <w:r>
        <w:rPr>
          <w:rFonts w:hint="eastAsia" w:ascii="宋体" w:hAnsi="宋体"/>
        </w:rPr>
        <w:t>1.9.4  招标人在踏勘现场中介绍的工程场地和相关的周边环境情况，供投标人在编制投标文件时参考，招标人不对投标人据此作出的判断和决策负责。</w:t>
      </w:r>
    </w:p>
    <w:p>
      <w:pPr>
        <w:pStyle w:val="6"/>
        <w:rPr>
          <w:rFonts w:ascii="黑体" w:hAnsi="黑体" w:eastAsia="黑体"/>
          <w:b w:val="0"/>
          <w:bCs w:val="0"/>
          <w:sz w:val="24"/>
        </w:rPr>
      </w:pPr>
      <w:bookmarkStart w:id="51" w:name="_Toc300678010"/>
      <w:r>
        <w:rPr>
          <w:rFonts w:hint="eastAsia" w:ascii="黑体" w:hAnsi="黑体" w:eastAsia="黑体"/>
          <w:b w:val="0"/>
          <w:bCs w:val="0"/>
          <w:sz w:val="24"/>
        </w:rPr>
        <w:t>1.10 投标预备会</w:t>
      </w:r>
      <w:bookmarkEnd w:id="51"/>
    </w:p>
    <w:p>
      <w:pPr>
        <w:pStyle w:val="52"/>
        <w:spacing w:line="360" w:lineRule="auto"/>
        <w:ind w:firstLine="420" w:firstLineChars="200"/>
        <w:rPr>
          <w:rFonts w:ascii="宋体" w:hAnsi="宋体"/>
        </w:rPr>
      </w:pPr>
      <w:r>
        <w:rPr>
          <w:rFonts w:hint="eastAsia" w:ascii="宋体" w:hAnsi="宋体"/>
        </w:rPr>
        <w:t>1.10.1  投标人须知前附表规定召开投标预备会的，招标人按投标人须知前附表规定的时间和地点召开投标预备会，澄清投标人提出的问题。</w:t>
      </w:r>
    </w:p>
    <w:p>
      <w:pPr>
        <w:pStyle w:val="52"/>
        <w:spacing w:line="360" w:lineRule="auto"/>
        <w:ind w:firstLine="420" w:firstLineChars="200"/>
        <w:rPr>
          <w:rFonts w:ascii="宋体" w:hAnsi="宋体"/>
        </w:rPr>
      </w:pPr>
      <w:r>
        <w:rPr>
          <w:rFonts w:hint="eastAsia" w:ascii="宋体" w:hAnsi="宋体"/>
        </w:rPr>
        <w:t>1.10.2  投标人应在投标人须知前附表规定的时间前，以书面形式将提出的问题送达招标人，以便招标人在会议期间澄清。</w:t>
      </w:r>
    </w:p>
    <w:p>
      <w:pPr>
        <w:pStyle w:val="52"/>
        <w:spacing w:line="360" w:lineRule="auto"/>
        <w:ind w:firstLine="420" w:firstLineChars="200"/>
        <w:rPr>
          <w:rFonts w:ascii="宋体" w:hAnsi="宋体"/>
        </w:rPr>
      </w:pPr>
      <w:r>
        <w:rPr>
          <w:rFonts w:hint="eastAsia" w:ascii="宋体" w:hAnsi="宋体"/>
        </w:rPr>
        <w:t>1.10.3  投标预备会后，招标人在投标人须知前附表规定的时间内，将对投标人所提问颗的澄清，按投标人须知前附表规定的方式通知所有购买招标文件的投标人。该澄清内容为招标文件的组成部分。</w:t>
      </w:r>
    </w:p>
    <w:p>
      <w:pPr>
        <w:pStyle w:val="6"/>
        <w:rPr>
          <w:rFonts w:ascii="黑体" w:hAnsi="黑体" w:eastAsia="黑体"/>
          <w:b w:val="0"/>
          <w:bCs w:val="0"/>
          <w:sz w:val="24"/>
        </w:rPr>
      </w:pPr>
      <w:bookmarkStart w:id="52" w:name="_Toc300678011"/>
      <w:r>
        <w:rPr>
          <w:rFonts w:hint="eastAsia" w:ascii="黑体" w:hAnsi="黑体" w:eastAsia="黑体"/>
          <w:b w:val="0"/>
          <w:bCs w:val="0"/>
          <w:sz w:val="24"/>
        </w:rPr>
        <w:t>1.11 分包</w:t>
      </w:r>
      <w:bookmarkEnd w:id="52"/>
    </w:p>
    <w:p>
      <w:pPr>
        <w:pStyle w:val="52"/>
        <w:spacing w:line="360" w:lineRule="auto"/>
        <w:ind w:firstLine="420" w:firstLineChars="200"/>
        <w:rPr>
          <w:rFonts w:ascii="宋体" w:hAnsi="宋体"/>
        </w:rPr>
      </w:pPr>
      <w:r>
        <w:rPr>
          <w:rFonts w:hint="eastAsia" w:ascii="宋体" w:hAnsi="宋体"/>
        </w:rPr>
        <w:t>投标人拟在中标后将中标项目的部分非主体、非关键性工作进行分包的，应符合投标人须知前附表规定的分包内容、分包金额和接受分包的第三人资质要求等限制性条件。</w:t>
      </w:r>
    </w:p>
    <w:p>
      <w:pPr>
        <w:pStyle w:val="6"/>
        <w:rPr>
          <w:rFonts w:ascii="黑体" w:hAnsi="黑体" w:eastAsia="黑体"/>
          <w:b w:val="0"/>
          <w:bCs w:val="0"/>
          <w:sz w:val="24"/>
        </w:rPr>
      </w:pPr>
      <w:bookmarkStart w:id="53" w:name="_Toc300678012"/>
      <w:r>
        <w:rPr>
          <w:rFonts w:hint="eastAsia" w:ascii="黑体" w:hAnsi="黑体" w:eastAsia="黑体"/>
          <w:b w:val="0"/>
          <w:bCs w:val="0"/>
          <w:sz w:val="24"/>
        </w:rPr>
        <w:t>1.12 偏离</w:t>
      </w:r>
      <w:bookmarkEnd w:id="53"/>
    </w:p>
    <w:p>
      <w:pPr>
        <w:pStyle w:val="52"/>
        <w:spacing w:line="360" w:lineRule="auto"/>
        <w:ind w:firstLine="420" w:firstLineChars="200"/>
        <w:rPr>
          <w:rFonts w:ascii="宋体" w:hAnsi="宋体"/>
        </w:rPr>
      </w:pPr>
      <w:r>
        <w:rPr>
          <w:rFonts w:hint="eastAsia" w:ascii="宋体" w:hAnsi="宋体"/>
        </w:rPr>
        <w:t>投标人须知前附表允许投标文件偏离招标文件某些要求的，偏离应当符合招标文件规定的偏离范围和幅度。</w:t>
      </w:r>
    </w:p>
    <w:p>
      <w:pPr>
        <w:pStyle w:val="52"/>
        <w:spacing w:line="360" w:lineRule="auto"/>
        <w:ind w:firstLine="420" w:firstLineChars="200"/>
        <w:rPr>
          <w:rFonts w:ascii="宋体" w:hAnsi="宋体"/>
        </w:rPr>
      </w:pPr>
    </w:p>
    <w:p>
      <w:pPr>
        <w:pStyle w:val="4"/>
        <w:keepNext/>
        <w:keepLines/>
        <w:widowControl w:val="0"/>
        <w:jc w:val="left"/>
        <w:rPr>
          <w:rFonts w:ascii="黑体" w:hAnsi="宋体" w:eastAsia="黑体"/>
          <w:b w:val="0"/>
          <w:bCs w:val="0"/>
          <w:sz w:val="28"/>
          <w:szCs w:val="28"/>
        </w:rPr>
      </w:pPr>
      <w:bookmarkStart w:id="54" w:name="_Toc484015078"/>
      <w:bookmarkStart w:id="55" w:name="_Toc30179"/>
      <w:bookmarkStart w:id="56" w:name="_Toc648"/>
      <w:bookmarkStart w:id="57" w:name="_Toc11696"/>
      <w:bookmarkStart w:id="58" w:name="_Toc486318710"/>
      <w:bookmarkStart w:id="59" w:name="_Toc300678013"/>
      <w:bookmarkStart w:id="60" w:name="_Toc3785"/>
      <w:r>
        <w:rPr>
          <w:rFonts w:hint="eastAsia" w:ascii="黑体" w:hAnsi="宋体" w:eastAsia="黑体"/>
          <w:b w:val="0"/>
          <w:bCs w:val="0"/>
          <w:sz w:val="28"/>
          <w:szCs w:val="28"/>
        </w:rPr>
        <w:t>2.招标文件</w:t>
      </w:r>
      <w:bookmarkEnd w:id="54"/>
      <w:bookmarkEnd w:id="55"/>
      <w:bookmarkEnd w:id="56"/>
      <w:bookmarkEnd w:id="57"/>
      <w:bookmarkEnd w:id="58"/>
      <w:bookmarkEnd w:id="59"/>
      <w:bookmarkEnd w:id="60"/>
    </w:p>
    <w:p>
      <w:pPr>
        <w:pStyle w:val="6"/>
        <w:rPr>
          <w:rFonts w:ascii="黑体" w:hAnsi="黑体" w:eastAsia="黑体"/>
          <w:b w:val="0"/>
          <w:bCs w:val="0"/>
          <w:sz w:val="24"/>
        </w:rPr>
      </w:pPr>
      <w:bookmarkStart w:id="61" w:name="_Toc300678014"/>
      <w:r>
        <w:rPr>
          <w:rFonts w:hint="eastAsia" w:ascii="黑体" w:hAnsi="黑体" w:eastAsia="黑体"/>
          <w:b w:val="0"/>
          <w:bCs w:val="0"/>
          <w:sz w:val="24"/>
        </w:rPr>
        <w:t>2.1 招标文件的组成</w:t>
      </w:r>
      <w:bookmarkEnd w:id="61"/>
    </w:p>
    <w:p>
      <w:pPr>
        <w:pStyle w:val="52"/>
        <w:spacing w:line="360" w:lineRule="auto"/>
        <w:ind w:firstLine="420" w:firstLineChars="200"/>
        <w:rPr>
          <w:rFonts w:ascii="宋体" w:hAnsi="宋体"/>
        </w:rPr>
      </w:pPr>
      <w:r>
        <w:rPr>
          <w:rFonts w:hint="eastAsia" w:ascii="宋体" w:hAnsi="宋体"/>
        </w:rPr>
        <w:t>本招标文件包括：</w:t>
      </w:r>
    </w:p>
    <w:p>
      <w:pPr>
        <w:pStyle w:val="52"/>
        <w:spacing w:line="360" w:lineRule="auto"/>
        <w:ind w:firstLine="420" w:firstLineChars="200"/>
        <w:rPr>
          <w:rFonts w:ascii="宋体" w:hAnsi="宋体"/>
        </w:rPr>
      </w:pPr>
      <w:r>
        <w:rPr>
          <w:rFonts w:hint="eastAsia" w:ascii="宋体" w:hAnsi="宋体"/>
        </w:rPr>
        <w:t xml:space="preserve">（1）招标公告（或投标邀请书）； </w:t>
      </w:r>
    </w:p>
    <w:p>
      <w:pPr>
        <w:pStyle w:val="52"/>
        <w:spacing w:line="360" w:lineRule="auto"/>
        <w:ind w:firstLine="420" w:firstLineChars="200"/>
        <w:rPr>
          <w:rFonts w:ascii="宋体" w:hAnsi="宋体"/>
        </w:rPr>
      </w:pPr>
      <w:r>
        <w:rPr>
          <w:rFonts w:hint="eastAsia" w:ascii="宋体" w:hAnsi="宋体"/>
        </w:rPr>
        <w:t>（2）投标人须知；</w:t>
      </w:r>
    </w:p>
    <w:p>
      <w:pPr>
        <w:pStyle w:val="52"/>
        <w:spacing w:line="360" w:lineRule="auto"/>
        <w:ind w:firstLine="420" w:firstLineChars="200"/>
        <w:rPr>
          <w:rFonts w:ascii="宋体" w:hAnsi="宋体"/>
        </w:rPr>
      </w:pPr>
      <w:r>
        <w:rPr>
          <w:rFonts w:hint="eastAsia" w:ascii="宋体" w:hAnsi="宋体"/>
        </w:rPr>
        <w:t>（3）评标办法；</w:t>
      </w:r>
    </w:p>
    <w:p>
      <w:pPr>
        <w:pStyle w:val="52"/>
        <w:spacing w:line="360" w:lineRule="auto"/>
        <w:ind w:firstLine="420" w:firstLineChars="200"/>
        <w:rPr>
          <w:rFonts w:ascii="宋体" w:hAnsi="宋体"/>
        </w:rPr>
      </w:pPr>
      <w:r>
        <w:rPr>
          <w:rFonts w:hint="eastAsia" w:ascii="宋体" w:hAnsi="宋体"/>
        </w:rPr>
        <w:t>（4）合同条款及格式；</w:t>
      </w:r>
    </w:p>
    <w:p>
      <w:pPr>
        <w:pStyle w:val="52"/>
        <w:spacing w:line="360" w:lineRule="auto"/>
        <w:ind w:firstLine="420" w:firstLineChars="200"/>
        <w:rPr>
          <w:rFonts w:ascii="宋体" w:hAnsi="宋体"/>
        </w:rPr>
      </w:pPr>
      <w:r>
        <w:rPr>
          <w:rFonts w:hint="eastAsia" w:ascii="宋体" w:hAnsi="宋体"/>
        </w:rPr>
        <w:t>（5）工程量清单；</w:t>
      </w:r>
    </w:p>
    <w:p>
      <w:pPr>
        <w:pStyle w:val="52"/>
        <w:spacing w:line="360" w:lineRule="auto"/>
        <w:ind w:firstLine="420" w:firstLineChars="200"/>
        <w:rPr>
          <w:rFonts w:ascii="宋体" w:hAnsi="宋体"/>
        </w:rPr>
      </w:pPr>
      <w:r>
        <w:rPr>
          <w:rFonts w:hint="eastAsia" w:ascii="宋体" w:hAnsi="宋体"/>
        </w:rPr>
        <w:t>（6）图纸；</w:t>
      </w:r>
    </w:p>
    <w:p>
      <w:pPr>
        <w:pStyle w:val="52"/>
        <w:spacing w:line="360" w:lineRule="auto"/>
        <w:ind w:firstLine="420" w:firstLineChars="200"/>
        <w:rPr>
          <w:rFonts w:ascii="宋体" w:hAnsi="宋体"/>
        </w:rPr>
      </w:pPr>
      <w:r>
        <w:rPr>
          <w:rFonts w:hint="eastAsia" w:ascii="宋体" w:hAnsi="宋体"/>
        </w:rPr>
        <w:t>（7）技术标准和要求；</w:t>
      </w:r>
    </w:p>
    <w:p>
      <w:pPr>
        <w:pStyle w:val="52"/>
        <w:spacing w:line="360" w:lineRule="auto"/>
        <w:ind w:firstLine="420" w:firstLineChars="200"/>
        <w:rPr>
          <w:rFonts w:ascii="宋体" w:hAnsi="宋体"/>
        </w:rPr>
      </w:pPr>
      <w:r>
        <w:rPr>
          <w:rFonts w:hint="eastAsia" w:ascii="宋体" w:hAnsi="宋体"/>
        </w:rPr>
        <w:t>（8）投标文件格式；</w:t>
      </w:r>
    </w:p>
    <w:p>
      <w:pPr>
        <w:pStyle w:val="52"/>
        <w:widowControl w:val="0"/>
        <w:spacing w:line="360" w:lineRule="auto"/>
        <w:ind w:firstLine="420" w:firstLineChars="200"/>
        <w:rPr>
          <w:rFonts w:ascii="宋体" w:hAnsi="宋体"/>
        </w:rPr>
      </w:pPr>
      <w:r>
        <w:rPr>
          <w:rFonts w:hint="eastAsia" w:ascii="宋体" w:hAnsi="宋体"/>
        </w:rPr>
        <w:t>（9）投标人须知前附表规定的其他材料。</w:t>
      </w:r>
    </w:p>
    <w:p>
      <w:pPr>
        <w:pStyle w:val="52"/>
        <w:widowControl w:val="0"/>
        <w:spacing w:line="360" w:lineRule="auto"/>
        <w:ind w:firstLine="420" w:firstLineChars="200"/>
        <w:rPr>
          <w:rFonts w:ascii="宋体" w:hAnsi="宋体"/>
        </w:rPr>
      </w:pPr>
      <w:r>
        <w:rPr>
          <w:rFonts w:hint="eastAsia" w:ascii="宋体" w:hAnsi="宋体"/>
        </w:rPr>
        <w:t>根据本章第1.10 款、第2.2 款和第2.3 款对招标文件所作的澄清、修改，构成招标文件的组成部分。</w:t>
      </w:r>
    </w:p>
    <w:p>
      <w:pPr>
        <w:pStyle w:val="6"/>
        <w:ind w:firstLine="480" w:firstLineChars="200"/>
        <w:rPr>
          <w:rFonts w:ascii="黑体" w:hAnsi="黑体" w:eastAsia="黑体"/>
          <w:b w:val="0"/>
          <w:bCs w:val="0"/>
          <w:sz w:val="24"/>
        </w:rPr>
      </w:pPr>
      <w:bookmarkStart w:id="62" w:name="_Toc300678015"/>
      <w:r>
        <w:rPr>
          <w:rFonts w:hint="eastAsia" w:ascii="黑体" w:hAnsi="黑体" w:eastAsia="黑体"/>
          <w:b w:val="0"/>
          <w:bCs w:val="0"/>
          <w:sz w:val="24"/>
        </w:rPr>
        <w:t>2.2 招标文件的澄清</w:t>
      </w:r>
      <w:bookmarkEnd w:id="62"/>
    </w:p>
    <w:p>
      <w:pPr>
        <w:pStyle w:val="52"/>
        <w:widowControl w:val="0"/>
        <w:spacing w:line="360" w:lineRule="auto"/>
        <w:ind w:firstLine="420" w:firstLineChars="200"/>
        <w:rPr>
          <w:rFonts w:ascii="宋体" w:hAnsi="宋体"/>
        </w:rPr>
      </w:pPr>
      <w:r>
        <w:rPr>
          <w:rFonts w:hint="eastAsia" w:ascii="宋体" w:hAnsi="宋体"/>
        </w:rPr>
        <w:t>2.2.1  投标人应仔细阅读和检查招标文件的全部内容。如发现缺页或附件不全，应及时向招标人提出，以便补齐。如有疑问，应在投标人须知前附表规定的时间前和规定的方式，要求招标人对招标文件予以澄清。</w:t>
      </w:r>
    </w:p>
    <w:p>
      <w:pPr>
        <w:pStyle w:val="52"/>
        <w:widowControl w:val="0"/>
        <w:spacing w:line="360" w:lineRule="auto"/>
        <w:ind w:firstLine="420" w:firstLineChars="200"/>
      </w:pPr>
      <w:r>
        <w:rPr>
          <w:rFonts w:hint="eastAsia" w:ascii="宋体" w:hAnsi="宋体"/>
        </w:rPr>
        <w:t>2.2.2  招标文件的澄清内容可能影响投标文件编制的，招标人应当在投标人须知前附表规定的投标截止时间至少15日前，在</w:t>
      </w:r>
      <w:r>
        <w:rPr>
          <w:rFonts w:hint="eastAsia"/>
        </w:rPr>
        <w:t>投标人须知前附表规定的</w:t>
      </w:r>
      <w:r>
        <w:rPr>
          <w:rFonts w:hint="eastAsia" w:ascii="宋体" w:hAnsi="宋体"/>
        </w:rPr>
        <w:t>媒介予以</w:t>
      </w:r>
      <w:r>
        <w:rPr>
          <w:rFonts w:hint="eastAsia"/>
        </w:rPr>
        <w:t>发布，但不指明澄清问题的来源；</w:t>
      </w:r>
      <w:r>
        <w:rPr>
          <w:rFonts w:hint="eastAsia"/>
          <w:szCs w:val="20"/>
        </w:rPr>
        <w:t>不足</w:t>
      </w:r>
      <w:r>
        <w:rPr>
          <w:szCs w:val="20"/>
        </w:rPr>
        <w:t>15</w:t>
      </w:r>
      <w:r>
        <w:rPr>
          <w:rFonts w:hint="eastAsia"/>
          <w:szCs w:val="20"/>
        </w:rPr>
        <w:t>日</w:t>
      </w:r>
      <w:r>
        <w:rPr>
          <w:rFonts w:hint="eastAsia"/>
        </w:rPr>
        <w:t>，相应</w:t>
      </w:r>
      <w:r>
        <w:rPr>
          <w:rFonts w:hint="eastAsia"/>
          <w:szCs w:val="20"/>
        </w:rPr>
        <w:t>顺延</w:t>
      </w:r>
      <w:r>
        <w:rPr>
          <w:rFonts w:hint="eastAsia"/>
        </w:rPr>
        <w:t>投标截止时间。</w:t>
      </w:r>
    </w:p>
    <w:p>
      <w:pPr>
        <w:pStyle w:val="52"/>
        <w:widowControl w:val="0"/>
        <w:spacing w:line="360" w:lineRule="auto"/>
        <w:ind w:firstLine="420" w:firstLineChars="200"/>
        <w:rPr>
          <w:rFonts w:ascii="宋体" w:hAnsi="宋体"/>
        </w:rPr>
      </w:pPr>
      <w:r>
        <w:rPr>
          <w:rFonts w:hint="eastAsia"/>
        </w:rPr>
        <w:t>2.2.3投标人</w:t>
      </w:r>
      <w:r>
        <w:rPr>
          <w:rFonts w:hint="eastAsia"/>
          <w:szCs w:val="20"/>
        </w:rPr>
        <w:t>应</w:t>
      </w:r>
      <w:r>
        <w:rPr>
          <w:rFonts w:hint="eastAsia"/>
        </w:rPr>
        <w:t>在投标人须知前附表规定的媒介上自行查阅，招标代理机构不</w:t>
      </w:r>
      <w:r>
        <w:rPr>
          <w:rFonts w:hint="eastAsia"/>
          <w:szCs w:val="20"/>
        </w:rPr>
        <w:t>再</w:t>
      </w:r>
      <w:r>
        <w:rPr>
          <w:rFonts w:hint="eastAsia"/>
        </w:rPr>
        <w:t>另行通知且不需投标人确认。</w:t>
      </w:r>
    </w:p>
    <w:p>
      <w:pPr>
        <w:pStyle w:val="52"/>
        <w:widowControl w:val="0"/>
        <w:spacing w:line="360" w:lineRule="auto"/>
        <w:ind w:firstLine="482" w:firstLineChars="200"/>
        <w:rPr>
          <w:rFonts w:ascii="黑体" w:hAnsi="黑体" w:eastAsia="黑体"/>
          <w:b/>
          <w:bCs/>
          <w:sz w:val="24"/>
        </w:rPr>
      </w:pPr>
      <w:bookmarkStart w:id="63" w:name="_Toc300678016"/>
      <w:r>
        <w:rPr>
          <w:rFonts w:hint="eastAsia" w:ascii="黑体" w:hAnsi="黑体" w:eastAsia="黑体"/>
          <w:b/>
          <w:bCs/>
          <w:sz w:val="24"/>
        </w:rPr>
        <w:t>2.3 招标文件的修改</w:t>
      </w:r>
      <w:bookmarkEnd w:id="63"/>
    </w:p>
    <w:p>
      <w:pPr>
        <w:pStyle w:val="52"/>
        <w:widowControl w:val="0"/>
        <w:spacing w:line="360" w:lineRule="auto"/>
        <w:ind w:firstLine="420" w:firstLineChars="200"/>
      </w:pPr>
      <w:r>
        <w:rPr>
          <w:rFonts w:hint="eastAsia" w:ascii="宋体" w:hAnsi="宋体"/>
        </w:rPr>
        <w:t>2.3.1招标人可以修改招标文件，修改的内容可能影响投标文件编制的，招标人应当在投标截止时间至少15日前，在</w:t>
      </w:r>
      <w:r>
        <w:rPr>
          <w:rFonts w:hint="eastAsia"/>
        </w:rPr>
        <w:t>投标人须知前附表规定的</w:t>
      </w:r>
      <w:r>
        <w:rPr>
          <w:rFonts w:hint="eastAsia" w:ascii="宋体" w:hAnsi="宋体"/>
        </w:rPr>
        <w:t>媒介予以</w:t>
      </w:r>
      <w:r>
        <w:rPr>
          <w:rFonts w:hint="eastAsia"/>
        </w:rPr>
        <w:t>发布；</w:t>
      </w:r>
      <w:r>
        <w:rPr>
          <w:rFonts w:hint="eastAsia"/>
          <w:szCs w:val="20"/>
        </w:rPr>
        <w:t>不足</w:t>
      </w:r>
      <w:r>
        <w:rPr>
          <w:szCs w:val="20"/>
        </w:rPr>
        <w:t>15</w:t>
      </w:r>
      <w:r>
        <w:rPr>
          <w:rFonts w:hint="eastAsia"/>
          <w:szCs w:val="20"/>
        </w:rPr>
        <w:t>日，</w:t>
      </w:r>
      <w:r>
        <w:rPr>
          <w:rFonts w:hint="eastAsia"/>
        </w:rPr>
        <w:t>相应</w:t>
      </w:r>
      <w:r>
        <w:rPr>
          <w:rFonts w:hint="eastAsia"/>
          <w:szCs w:val="20"/>
        </w:rPr>
        <w:t>顺延</w:t>
      </w:r>
      <w:r>
        <w:rPr>
          <w:rFonts w:hint="eastAsia"/>
        </w:rPr>
        <w:t>投标截止时间。</w:t>
      </w:r>
    </w:p>
    <w:p>
      <w:pPr>
        <w:pStyle w:val="52"/>
        <w:widowControl w:val="0"/>
        <w:spacing w:line="360" w:lineRule="auto"/>
        <w:ind w:firstLine="420" w:firstLineChars="200"/>
        <w:rPr>
          <w:rFonts w:ascii="宋体" w:hAnsi="宋体"/>
        </w:rPr>
      </w:pPr>
      <w:r>
        <w:rPr>
          <w:rFonts w:hint="eastAsia"/>
        </w:rPr>
        <w:t>2.3.2投标人应在投标人须知前附表规定的媒介上自行查阅，招标代理机构不再另行通知且不需投标人确认。</w:t>
      </w:r>
    </w:p>
    <w:p>
      <w:pPr>
        <w:pStyle w:val="4"/>
        <w:keepLines/>
        <w:widowControl w:val="0"/>
        <w:ind w:firstLine="560" w:firstLineChars="200"/>
        <w:jc w:val="left"/>
        <w:rPr>
          <w:rFonts w:ascii="黑体" w:hAnsi="宋体" w:eastAsia="黑体"/>
          <w:b w:val="0"/>
          <w:bCs w:val="0"/>
          <w:sz w:val="28"/>
          <w:szCs w:val="28"/>
        </w:rPr>
      </w:pPr>
      <w:bookmarkStart w:id="64" w:name="_Toc30704"/>
      <w:bookmarkStart w:id="65" w:name="_Toc20846"/>
      <w:bookmarkStart w:id="66" w:name="_Toc11191"/>
      <w:bookmarkStart w:id="67" w:name="_Toc300678017"/>
      <w:bookmarkStart w:id="68" w:name="_Toc486318711"/>
      <w:bookmarkStart w:id="69" w:name="_Toc484015079"/>
      <w:bookmarkStart w:id="70" w:name="_Toc23485"/>
      <w:r>
        <w:rPr>
          <w:rFonts w:hint="eastAsia" w:ascii="黑体" w:hAnsi="宋体" w:eastAsia="黑体"/>
          <w:b w:val="0"/>
          <w:bCs w:val="0"/>
          <w:sz w:val="28"/>
          <w:szCs w:val="28"/>
        </w:rPr>
        <w:t>3.投标文件</w:t>
      </w:r>
      <w:bookmarkEnd w:id="64"/>
      <w:bookmarkEnd w:id="65"/>
      <w:bookmarkEnd w:id="66"/>
      <w:bookmarkEnd w:id="67"/>
      <w:bookmarkEnd w:id="68"/>
      <w:bookmarkEnd w:id="69"/>
      <w:bookmarkEnd w:id="70"/>
    </w:p>
    <w:p>
      <w:pPr>
        <w:pStyle w:val="6"/>
        <w:ind w:firstLine="480" w:firstLineChars="200"/>
        <w:rPr>
          <w:rFonts w:ascii="黑体" w:hAnsi="黑体" w:eastAsia="黑体"/>
          <w:b w:val="0"/>
          <w:bCs w:val="0"/>
          <w:sz w:val="24"/>
        </w:rPr>
      </w:pPr>
      <w:bookmarkStart w:id="71" w:name="_Toc300678018"/>
      <w:r>
        <w:rPr>
          <w:rFonts w:hint="eastAsia" w:ascii="黑体" w:hAnsi="黑体" w:eastAsia="黑体"/>
          <w:b w:val="0"/>
          <w:bCs w:val="0"/>
          <w:sz w:val="24"/>
        </w:rPr>
        <w:t>3.1 投标文件的组成</w:t>
      </w:r>
      <w:bookmarkEnd w:id="71"/>
    </w:p>
    <w:p>
      <w:pPr>
        <w:pStyle w:val="52"/>
        <w:widowControl w:val="0"/>
        <w:spacing w:line="360" w:lineRule="auto"/>
        <w:ind w:firstLine="420" w:firstLineChars="200"/>
        <w:rPr>
          <w:rFonts w:ascii="宋体" w:hAnsi="宋体"/>
        </w:rPr>
      </w:pPr>
      <w:r>
        <w:rPr>
          <w:rFonts w:hint="eastAsia" w:ascii="宋体" w:hAnsi="宋体"/>
        </w:rPr>
        <w:t xml:space="preserve">3.1.1  </w:t>
      </w:r>
      <w:r>
        <w:rPr>
          <w:rFonts w:hint="eastAsia"/>
        </w:rPr>
        <w:t>投标文件由投标函部分、商务部分、技术部分三部分内容组成，</w:t>
      </w:r>
      <w:r>
        <w:rPr>
          <w:rFonts w:hint="eastAsia" w:ascii="宋体" w:hAnsi="宋体"/>
        </w:rPr>
        <w:t>应包括下列内容：</w:t>
      </w:r>
    </w:p>
    <w:p>
      <w:pPr>
        <w:pStyle w:val="52"/>
        <w:widowControl w:val="0"/>
        <w:spacing w:line="360" w:lineRule="auto"/>
        <w:ind w:firstLine="422" w:firstLineChars="200"/>
        <w:rPr>
          <w:rFonts w:ascii="宋体" w:hAnsi="宋体"/>
          <w:b/>
        </w:rPr>
      </w:pPr>
      <w:r>
        <w:rPr>
          <w:rFonts w:hint="eastAsia" w:ascii="宋体" w:hAnsi="宋体"/>
          <w:b/>
        </w:rPr>
        <w:t>（一）投标函部分：</w:t>
      </w:r>
    </w:p>
    <w:p>
      <w:pPr>
        <w:spacing w:line="360" w:lineRule="auto"/>
        <w:ind w:firstLine="420" w:firstLineChars="200"/>
        <w:rPr>
          <w:rFonts w:ascii="宋体" w:hAnsi="宋体"/>
        </w:rPr>
      </w:pPr>
      <w:r>
        <w:rPr>
          <w:rFonts w:hint="eastAsia" w:ascii="宋体" w:hAnsi="宋体"/>
        </w:rPr>
        <w:t>（1）投标函及投标函附录；</w:t>
      </w:r>
    </w:p>
    <w:p>
      <w:pPr>
        <w:spacing w:line="360" w:lineRule="auto"/>
        <w:ind w:firstLine="420" w:firstLineChars="200"/>
        <w:rPr>
          <w:rFonts w:ascii="宋体" w:hAnsi="宋体"/>
        </w:rPr>
      </w:pPr>
      <w:r>
        <w:rPr>
          <w:rFonts w:hint="eastAsia" w:ascii="宋体" w:hAnsi="宋体"/>
        </w:rPr>
        <w:t>（2）法定代表人身份证明或附有法定代表人身份证明的授权委托书；</w:t>
      </w:r>
    </w:p>
    <w:p>
      <w:pPr>
        <w:spacing w:line="360" w:lineRule="auto"/>
        <w:ind w:firstLine="420" w:firstLineChars="200"/>
        <w:rPr>
          <w:rFonts w:ascii="宋体" w:hAnsi="宋体"/>
        </w:rPr>
      </w:pPr>
      <w:r>
        <w:rPr>
          <w:rFonts w:hint="eastAsia" w:ascii="宋体" w:hAnsi="宋体"/>
        </w:rPr>
        <w:t>（3）联合体投标协议；</w:t>
      </w:r>
    </w:p>
    <w:p>
      <w:pPr>
        <w:spacing w:line="360" w:lineRule="auto"/>
        <w:ind w:firstLine="420" w:firstLineChars="200"/>
        <w:rPr>
          <w:rFonts w:ascii="宋体" w:hAnsi="宋体"/>
        </w:rPr>
      </w:pPr>
      <w:r>
        <w:rPr>
          <w:rFonts w:hint="eastAsia" w:ascii="宋体" w:hAnsi="宋体"/>
        </w:rPr>
        <w:t>（4）投标保证金；</w:t>
      </w:r>
    </w:p>
    <w:p>
      <w:pPr>
        <w:spacing w:line="360" w:lineRule="auto"/>
        <w:ind w:firstLine="420" w:firstLineChars="200"/>
        <w:rPr>
          <w:rFonts w:ascii="宋体" w:hAnsi="宋体"/>
        </w:rPr>
      </w:pPr>
      <w:r>
        <w:rPr>
          <w:rFonts w:hint="eastAsia" w:ascii="宋体" w:hAnsi="宋体"/>
        </w:rPr>
        <w:t>（5）项目管理机构；</w:t>
      </w:r>
    </w:p>
    <w:p>
      <w:pPr>
        <w:spacing w:line="360" w:lineRule="auto"/>
        <w:ind w:firstLine="420" w:firstLineChars="200"/>
        <w:rPr>
          <w:rFonts w:ascii="宋体" w:hAnsi="宋体"/>
        </w:rPr>
      </w:pPr>
      <w:r>
        <w:rPr>
          <w:rFonts w:hint="eastAsia" w:ascii="宋体" w:hAnsi="宋体"/>
        </w:rPr>
        <w:t>（6）拟分包项目情况表；</w:t>
      </w:r>
    </w:p>
    <w:p>
      <w:pPr>
        <w:spacing w:line="360" w:lineRule="auto"/>
        <w:ind w:firstLine="420" w:firstLineChars="200"/>
        <w:rPr>
          <w:rFonts w:ascii="宋体" w:hAnsi="宋体"/>
        </w:rPr>
      </w:pPr>
      <w:r>
        <w:rPr>
          <w:rFonts w:hint="eastAsia" w:ascii="宋体" w:hAnsi="宋体"/>
        </w:rPr>
        <w:t>（7）资格审查资料；</w:t>
      </w:r>
    </w:p>
    <w:p>
      <w:pPr>
        <w:spacing w:line="360" w:lineRule="auto"/>
        <w:ind w:firstLine="420" w:firstLineChars="200"/>
        <w:rPr>
          <w:rFonts w:ascii="宋体" w:hAnsi="宋体"/>
        </w:rPr>
      </w:pPr>
      <w:r>
        <w:rPr>
          <w:rFonts w:hint="eastAsia" w:ascii="宋体" w:hAnsi="宋体"/>
        </w:rPr>
        <w:t>（8）其他资料；</w:t>
      </w:r>
    </w:p>
    <w:p>
      <w:pPr>
        <w:spacing w:line="360" w:lineRule="auto"/>
        <w:ind w:firstLine="420" w:firstLineChars="200"/>
        <w:rPr>
          <w:rFonts w:ascii="宋体" w:hAnsi="宋体"/>
        </w:rPr>
      </w:pPr>
      <w:r>
        <w:rPr>
          <w:rFonts w:hint="eastAsia" w:ascii="宋体" w:hAnsi="宋体"/>
        </w:rPr>
        <w:t>（9）承诺书。</w:t>
      </w:r>
    </w:p>
    <w:p>
      <w:pPr>
        <w:spacing w:line="360" w:lineRule="auto"/>
        <w:ind w:firstLine="420" w:firstLineChars="200"/>
        <w:rPr>
          <w:rFonts w:ascii="宋体" w:hAnsi="宋体"/>
        </w:rPr>
      </w:pPr>
      <w:r>
        <w:rPr>
          <w:rFonts w:hint="eastAsia" w:ascii="宋体" w:hAnsi="宋体"/>
        </w:rPr>
        <w:t>具体内容详见招标文件第八章投标文件的格式。</w:t>
      </w:r>
    </w:p>
    <w:p>
      <w:pPr>
        <w:pStyle w:val="52"/>
        <w:widowControl w:val="0"/>
        <w:spacing w:line="360" w:lineRule="auto"/>
        <w:ind w:firstLine="422" w:firstLineChars="200"/>
        <w:rPr>
          <w:rFonts w:ascii="宋体" w:hAnsi="宋体"/>
          <w:b/>
        </w:rPr>
      </w:pPr>
      <w:r>
        <w:rPr>
          <w:rFonts w:hint="eastAsia" w:ascii="宋体" w:hAnsi="宋体"/>
          <w:b/>
        </w:rPr>
        <w:t>（二）商务部分：</w:t>
      </w:r>
    </w:p>
    <w:p>
      <w:pPr>
        <w:spacing w:line="360" w:lineRule="auto"/>
        <w:ind w:firstLine="420" w:firstLineChars="200"/>
        <w:rPr>
          <w:rFonts w:ascii="宋体" w:hAnsi="宋体"/>
          <w:kern w:val="0"/>
          <w:szCs w:val="21"/>
        </w:rPr>
      </w:pPr>
      <w:r>
        <w:rPr>
          <w:rFonts w:hint="eastAsia" w:ascii="宋体" w:hAnsi="宋体"/>
          <w:kern w:val="0"/>
          <w:szCs w:val="21"/>
        </w:rPr>
        <w:t>其内容为已标价工程量清单，</w:t>
      </w:r>
      <w:r>
        <w:rPr>
          <w:rFonts w:hint="eastAsia" w:ascii="宋体" w:hAnsi="宋体"/>
        </w:rPr>
        <w:t>具体内容详见招标文件第八章投标文件的格式。</w:t>
      </w:r>
    </w:p>
    <w:p>
      <w:pPr>
        <w:spacing w:line="360" w:lineRule="auto"/>
        <w:ind w:firstLine="422" w:firstLineChars="200"/>
        <w:rPr>
          <w:rFonts w:ascii="宋体" w:hAnsi="宋体"/>
          <w:b/>
          <w:kern w:val="0"/>
          <w:szCs w:val="21"/>
        </w:rPr>
      </w:pPr>
      <w:r>
        <w:rPr>
          <w:rFonts w:hint="eastAsia" w:ascii="宋体" w:hAnsi="宋体"/>
          <w:b/>
          <w:kern w:val="0"/>
          <w:szCs w:val="21"/>
        </w:rPr>
        <w:t>（三）技术部分：</w:t>
      </w:r>
    </w:p>
    <w:p>
      <w:pPr>
        <w:spacing w:line="360" w:lineRule="auto"/>
        <w:ind w:firstLine="420" w:firstLineChars="200"/>
        <w:rPr>
          <w:rFonts w:ascii="宋体" w:hAnsi="宋体"/>
          <w:kern w:val="0"/>
          <w:szCs w:val="21"/>
        </w:rPr>
      </w:pPr>
      <w:r>
        <w:rPr>
          <w:rFonts w:hint="eastAsia" w:ascii="宋体" w:hAnsi="宋体"/>
        </w:rPr>
        <w:t>具体内容详见招标文件第八章投标文件的格式。</w:t>
      </w:r>
    </w:p>
    <w:p>
      <w:pPr>
        <w:pStyle w:val="52"/>
        <w:widowControl w:val="0"/>
        <w:spacing w:line="360" w:lineRule="auto"/>
        <w:ind w:firstLine="420" w:firstLineChars="200"/>
        <w:rPr>
          <w:rFonts w:ascii="宋体" w:hAnsi="宋体"/>
        </w:rPr>
      </w:pPr>
      <w:r>
        <w:rPr>
          <w:rFonts w:hint="eastAsia" w:ascii="宋体" w:hAnsi="宋体"/>
        </w:rPr>
        <w:t>3.1.2  投标人须知前附表规定不接受联合体投标的，或投标人没有组成联合体的，投标文件不包括本章第3.1.1 （3）所指的联合体协议书。</w:t>
      </w:r>
    </w:p>
    <w:p>
      <w:pPr>
        <w:pStyle w:val="52"/>
        <w:widowControl w:val="0"/>
        <w:spacing w:line="360" w:lineRule="auto"/>
        <w:ind w:firstLine="420" w:firstLineChars="200"/>
        <w:rPr>
          <w:rFonts w:ascii="宋体" w:hAnsi="宋体"/>
        </w:rPr>
      </w:pPr>
      <w:r>
        <w:rPr>
          <w:rFonts w:hint="eastAsia" w:ascii="宋体" w:hAnsi="宋体"/>
        </w:rPr>
        <w:t>3.1.3  投标文件的具体内容详见招标文件第八章投标文件的格式。</w:t>
      </w:r>
    </w:p>
    <w:p>
      <w:pPr>
        <w:pStyle w:val="6"/>
        <w:ind w:firstLine="480" w:firstLineChars="200"/>
        <w:rPr>
          <w:rFonts w:ascii="黑体" w:hAnsi="黑体" w:eastAsia="黑体"/>
          <w:b w:val="0"/>
          <w:bCs w:val="0"/>
          <w:sz w:val="24"/>
        </w:rPr>
      </w:pPr>
      <w:bookmarkStart w:id="72" w:name="_Toc300678019"/>
      <w:r>
        <w:rPr>
          <w:rFonts w:hint="eastAsia" w:ascii="黑体" w:hAnsi="黑体" w:eastAsia="黑体"/>
          <w:b w:val="0"/>
          <w:bCs w:val="0"/>
          <w:sz w:val="24"/>
        </w:rPr>
        <w:t>3.2 投标报价</w:t>
      </w:r>
      <w:bookmarkEnd w:id="72"/>
    </w:p>
    <w:p>
      <w:pPr>
        <w:pStyle w:val="52"/>
        <w:widowControl w:val="0"/>
        <w:spacing w:line="360" w:lineRule="auto"/>
        <w:ind w:firstLine="420" w:firstLineChars="200"/>
        <w:rPr>
          <w:rFonts w:ascii="宋体" w:hAnsi="宋体"/>
        </w:rPr>
      </w:pPr>
      <w:r>
        <w:rPr>
          <w:rFonts w:hint="eastAsia" w:ascii="宋体" w:hAnsi="宋体"/>
        </w:rPr>
        <w:t>3.2.1  投标人应按第五章“工程量清单”的要求填写相应表格。</w:t>
      </w:r>
    </w:p>
    <w:p>
      <w:pPr>
        <w:pStyle w:val="52"/>
        <w:widowControl w:val="0"/>
        <w:spacing w:line="360" w:lineRule="auto"/>
        <w:ind w:firstLine="420" w:firstLineChars="200"/>
        <w:rPr>
          <w:rFonts w:ascii="宋体" w:hAnsi="宋体"/>
        </w:rPr>
      </w:pPr>
      <w:r>
        <w:rPr>
          <w:rFonts w:hint="eastAsia" w:ascii="宋体" w:hAnsi="宋体"/>
        </w:rPr>
        <w:t>3.2.2  投标人在投标截止时间前修改投标函中的投标总报价，应同时修改其按第五章“工程量清单”要求填写的相应表格中的报价。此修改须符合本章第4.3 款的有关要求。</w:t>
      </w:r>
    </w:p>
    <w:p>
      <w:pPr>
        <w:pStyle w:val="6"/>
        <w:ind w:firstLine="480" w:firstLineChars="200"/>
        <w:rPr>
          <w:rFonts w:ascii="黑体" w:hAnsi="黑体" w:eastAsia="黑体"/>
          <w:b w:val="0"/>
          <w:bCs w:val="0"/>
          <w:sz w:val="24"/>
        </w:rPr>
      </w:pPr>
      <w:bookmarkStart w:id="73" w:name="_Toc300678020"/>
      <w:r>
        <w:rPr>
          <w:rFonts w:hint="eastAsia" w:ascii="黑体" w:hAnsi="黑体" w:eastAsia="黑体"/>
          <w:b w:val="0"/>
          <w:bCs w:val="0"/>
          <w:sz w:val="24"/>
        </w:rPr>
        <w:t>3.3 投标有效期</w:t>
      </w:r>
      <w:bookmarkEnd w:id="73"/>
    </w:p>
    <w:p>
      <w:pPr>
        <w:pStyle w:val="52"/>
        <w:widowControl w:val="0"/>
        <w:spacing w:line="360" w:lineRule="auto"/>
        <w:ind w:firstLine="420" w:firstLineChars="200"/>
        <w:rPr>
          <w:rFonts w:ascii="宋体" w:hAnsi="宋体"/>
        </w:rPr>
      </w:pPr>
      <w:r>
        <w:rPr>
          <w:rFonts w:hint="eastAsia" w:ascii="宋体" w:hAnsi="宋体"/>
        </w:rPr>
        <w:t>3.3.1  在投标人须知前附表规定的投标有效期内，投标人不得要求撤销或修改其投标文件。</w:t>
      </w:r>
    </w:p>
    <w:p>
      <w:pPr>
        <w:pStyle w:val="52"/>
        <w:widowControl w:val="0"/>
        <w:spacing w:line="360" w:lineRule="auto"/>
        <w:ind w:firstLine="420" w:firstLineChars="200"/>
        <w:rPr>
          <w:rFonts w:ascii="宋体" w:hAnsi="宋体"/>
        </w:rPr>
      </w:pPr>
      <w:r>
        <w:rPr>
          <w:rFonts w:hint="eastAsia" w:ascii="宋体" w:hAnsi="宋体"/>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6"/>
        <w:ind w:firstLine="480" w:firstLineChars="200"/>
        <w:rPr>
          <w:rFonts w:ascii="黑体" w:hAnsi="黑体" w:eastAsia="黑体"/>
          <w:b w:val="0"/>
          <w:bCs w:val="0"/>
          <w:sz w:val="24"/>
        </w:rPr>
      </w:pPr>
      <w:bookmarkStart w:id="74" w:name="_Toc300678021"/>
      <w:r>
        <w:rPr>
          <w:rFonts w:hint="eastAsia" w:ascii="黑体" w:hAnsi="黑体" w:eastAsia="黑体"/>
          <w:b w:val="0"/>
          <w:bCs w:val="0"/>
          <w:sz w:val="24"/>
        </w:rPr>
        <w:t>3.4 投标保证金</w:t>
      </w:r>
      <w:bookmarkEnd w:id="74"/>
    </w:p>
    <w:p>
      <w:pPr>
        <w:pStyle w:val="52"/>
        <w:widowControl w:val="0"/>
        <w:spacing w:line="360" w:lineRule="auto"/>
        <w:ind w:firstLine="420" w:firstLineChars="200"/>
        <w:rPr>
          <w:rFonts w:ascii="宋体" w:hAnsi="宋体"/>
        </w:rPr>
      </w:pPr>
      <w:r>
        <w:rPr>
          <w:rFonts w:hint="eastAsia" w:ascii="宋体" w:hAnsi="宋体"/>
        </w:rPr>
        <w:t>3.4.1  投标人在递交投标文件的同时，应按投标人须知前附表规定的金额、担保形式和第八章“投标文件格式”规定的投标保证金格式递交投标保证金，并作为其投标文件的组成部分。联合体投标的，其投标保证金由牵头人递交，并应符合投标人须知前附表的规定。</w:t>
      </w:r>
    </w:p>
    <w:p>
      <w:pPr>
        <w:pStyle w:val="52"/>
        <w:widowControl w:val="0"/>
        <w:spacing w:line="360" w:lineRule="auto"/>
        <w:ind w:firstLine="420" w:firstLineChars="200"/>
        <w:rPr>
          <w:rFonts w:ascii="宋体" w:hAnsi="宋体"/>
        </w:rPr>
      </w:pPr>
      <w:r>
        <w:rPr>
          <w:rFonts w:hint="eastAsia" w:ascii="宋体" w:hAnsi="宋体"/>
        </w:rPr>
        <w:t>3.4.2  投标人不按本章第3.4.1 项要求提交投标保证金的，其投标文件作废标处理。</w:t>
      </w:r>
    </w:p>
    <w:p>
      <w:pPr>
        <w:pStyle w:val="52"/>
        <w:widowControl w:val="0"/>
        <w:spacing w:line="360" w:lineRule="auto"/>
        <w:ind w:firstLine="420" w:firstLineChars="200"/>
        <w:rPr>
          <w:rFonts w:ascii="宋体" w:hAnsi="宋体"/>
        </w:rPr>
      </w:pPr>
      <w:r>
        <w:rPr>
          <w:rFonts w:hint="eastAsia" w:ascii="宋体" w:hAnsi="宋体"/>
        </w:rPr>
        <w:t>3.4.3  未中标投标人的投标保证金于中标通知书发出之日起5个工作日内退还。</w:t>
      </w:r>
    </w:p>
    <w:p>
      <w:pPr>
        <w:pStyle w:val="52"/>
        <w:widowControl w:val="0"/>
        <w:spacing w:line="360" w:lineRule="auto"/>
        <w:ind w:firstLine="420" w:firstLineChars="200"/>
        <w:rPr>
          <w:rFonts w:ascii="宋体" w:hAnsi="宋体"/>
        </w:rPr>
      </w:pPr>
      <w:r>
        <w:rPr>
          <w:rFonts w:hint="eastAsia" w:ascii="宋体" w:hAnsi="宋体"/>
        </w:rPr>
        <w:t>3.4.4  中标人的投标保证金在招标人与中标人签订合同后5 个工作日内退还。</w:t>
      </w:r>
    </w:p>
    <w:p>
      <w:pPr>
        <w:pStyle w:val="52"/>
        <w:widowControl w:val="0"/>
        <w:spacing w:line="360" w:lineRule="auto"/>
        <w:ind w:firstLine="420" w:firstLineChars="200"/>
        <w:rPr>
          <w:rFonts w:ascii="宋体" w:hAnsi="宋体"/>
        </w:rPr>
      </w:pPr>
      <w:r>
        <w:rPr>
          <w:rFonts w:hint="eastAsia" w:ascii="宋体" w:hAnsi="宋体"/>
        </w:rPr>
        <w:t>3.4.5  有下列情形之一的，投标保证金将不予退还：</w:t>
      </w:r>
    </w:p>
    <w:p>
      <w:pPr>
        <w:pStyle w:val="52"/>
        <w:widowControl w:val="0"/>
        <w:spacing w:line="360" w:lineRule="auto"/>
        <w:ind w:firstLine="420" w:firstLineChars="200"/>
        <w:rPr>
          <w:rFonts w:ascii="宋体" w:hAnsi="宋体"/>
        </w:rPr>
      </w:pPr>
      <w:r>
        <w:rPr>
          <w:rFonts w:hint="eastAsia" w:ascii="宋体" w:hAnsi="宋体"/>
        </w:rPr>
        <w:t>（1）投标人在规定的投标有效期内撤销或修改其投标文件；</w:t>
      </w:r>
    </w:p>
    <w:p>
      <w:pPr>
        <w:pStyle w:val="52"/>
        <w:widowControl w:val="0"/>
        <w:spacing w:line="360" w:lineRule="auto"/>
        <w:ind w:firstLine="420" w:firstLineChars="200"/>
        <w:rPr>
          <w:rFonts w:ascii="宋体" w:hAnsi="宋体"/>
        </w:rPr>
      </w:pPr>
      <w:r>
        <w:rPr>
          <w:rFonts w:hint="eastAsia" w:ascii="宋体" w:hAnsi="宋体"/>
        </w:rPr>
        <w:t>（2）中标人在收到中标通知书后，无正当理由拒签合同协议书或未按招标文件规定提交履约担保。</w:t>
      </w:r>
    </w:p>
    <w:p>
      <w:pPr>
        <w:pStyle w:val="6"/>
        <w:ind w:firstLine="480" w:firstLineChars="200"/>
        <w:rPr>
          <w:rFonts w:ascii="黑体" w:hAnsi="黑体" w:eastAsia="黑体"/>
          <w:b w:val="0"/>
          <w:bCs w:val="0"/>
          <w:sz w:val="24"/>
        </w:rPr>
      </w:pPr>
      <w:bookmarkStart w:id="75" w:name="_Toc300678022"/>
      <w:r>
        <w:rPr>
          <w:rFonts w:hint="eastAsia" w:ascii="黑体" w:hAnsi="黑体" w:eastAsia="黑体"/>
          <w:b w:val="0"/>
          <w:bCs w:val="0"/>
          <w:sz w:val="24"/>
        </w:rPr>
        <w:t>3.5 资格审查资料（适用于开标后资格审查和邀请招标）</w:t>
      </w:r>
      <w:bookmarkEnd w:id="75"/>
    </w:p>
    <w:p>
      <w:pPr>
        <w:pStyle w:val="52"/>
        <w:widowControl w:val="0"/>
        <w:spacing w:line="360" w:lineRule="auto"/>
        <w:ind w:firstLine="420" w:firstLineChars="200"/>
        <w:rPr>
          <w:rFonts w:ascii="宋体" w:hAnsi="宋体"/>
          <w:u w:val="single"/>
        </w:rPr>
      </w:pPr>
      <w:r>
        <w:rPr>
          <w:rFonts w:hint="eastAsia" w:ascii="宋体" w:hAnsi="宋体"/>
        </w:rPr>
        <w:t>3.5.1  “投标人基本情况表”应附投标人营业执照副本、资质证书副本和安全生产许可证副本等材料的复印件。</w:t>
      </w:r>
      <w:r>
        <w:rPr>
          <w:rFonts w:hint="eastAsia"/>
          <w:szCs w:val="24"/>
          <w:u w:val="single"/>
        </w:rPr>
        <w:t>湖南省外企业按照湘建建【2015】190号文件要求办理省外入湘企业基本情况登记（以“湖南省住房和城乡建设网”查询为准），须附查询结果或附入湘施工登记证（处于有效期内）复印件；</w:t>
      </w:r>
    </w:p>
    <w:p>
      <w:pPr>
        <w:pStyle w:val="52"/>
        <w:widowControl w:val="0"/>
        <w:spacing w:line="360" w:lineRule="auto"/>
        <w:ind w:firstLine="420" w:firstLineChars="200"/>
        <w:rPr>
          <w:rFonts w:ascii="宋体" w:hAnsi="宋体"/>
        </w:rPr>
      </w:pPr>
      <w:r>
        <w:rPr>
          <w:rFonts w:hint="eastAsia" w:ascii="宋体" w:hAnsi="宋体"/>
        </w:rPr>
        <w:t>3.5.2  “近年财务状况表”应附经会计事务所认定的财务会计报表，包括资产负债表、损益表和审计报告的复印件，具体年份要求见投标人须知前附表。</w:t>
      </w:r>
    </w:p>
    <w:p>
      <w:pPr>
        <w:pStyle w:val="52"/>
        <w:widowControl w:val="0"/>
        <w:spacing w:line="360" w:lineRule="auto"/>
        <w:ind w:firstLine="420" w:firstLineChars="200"/>
        <w:rPr>
          <w:rFonts w:ascii="宋体" w:hAnsi="宋体"/>
        </w:rPr>
      </w:pPr>
      <w:r>
        <w:rPr>
          <w:rFonts w:hint="eastAsia" w:ascii="宋体" w:hAnsi="宋体"/>
        </w:rPr>
        <w:t>3.5.3  “近年完成的类似项目情况表”招标工程应同时附中标通知书、合同协议书和和竣工验收备案登记表的复印件；非招标工程应同时附合同协议书和和竣工验收备案登记表的复印件，具体年份要求见投标人须知前附表。</w:t>
      </w:r>
    </w:p>
    <w:p>
      <w:pPr>
        <w:pStyle w:val="52"/>
        <w:widowControl w:val="0"/>
        <w:spacing w:line="360" w:lineRule="auto"/>
        <w:ind w:firstLine="420" w:firstLineChars="200"/>
        <w:rPr>
          <w:rFonts w:ascii="宋体" w:hAnsi="宋体"/>
        </w:rPr>
      </w:pPr>
      <w:r>
        <w:rPr>
          <w:rFonts w:hint="eastAsia" w:ascii="宋体" w:hAnsi="宋体"/>
        </w:rPr>
        <w:t>3.5.4  “正在施工和新承接的项目情况表”应附中标通知书或合同协议书复印件。</w:t>
      </w:r>
    </w:p>
    <w:p>
      <w:pPr>
        <w:pStyle w:val="52"/>
        <w:widowControl w:val="0"/>
        <w:spacing w:line="360" w:lineRule="auto"/>
        <w:ind w:firstLine="420" w:firstLineChars="200"/>
        <w:rPr>
          <w:rFonts w:ascii="宋体" w:hAnsi="宋体"/>
        </w:rPr>
      </w:pPr>
      <w:r>
        <w:rPr>
          <w:rFonts w:hint="eastAsia" w:ascii="宋体" w:hAnsi="宋体"/>
        </w:rPr>
        <w:t>3.5.5  “近年发生的诉讼及仲裁情况”应说明相关情况，并附法院或仲裁机构作出的判决、裁决等有关法律文书复印件，具体年份要求见投标人须知前附表。</w:t>
      </w:r>
    </w:p>
    <w:p>
      <w:pPr>
        <w:pStyle w:val="52"/>
        <w:widowControl w:val="0"/>
        <w:spacing w:line="360" w:lineRule="auto"/>
        <w:ind w:firstLine="420" w:firstLineChars="200"/>
        <w:rPr>
          <w:rFonts w:ascii="宋体" w:hAnsi="宋体"/>
        </w:rPr>
      </w:pPr>
      <w:r>
        <w:rPr>
          <w:rFonts w:hint="eastAsia" w:ascii="宋体" w:hAnsi="宋体"/>
        </w:rPr>
        <w:t>3.5.6  投标人须知前附表规定接受联合体投标的，本章第3.5.1 项至第3.5.5 项规定的表格和资料应包括联合体各方相关情况。</w:t>
      </w:r>
    </w:p>
    <w:p>
      <w:pPr>
        <w:pStyle w:val="6"/>
        <w:ind w:firstLine="480" w:firstLineChars="200"/>
        <w:rPr>
          <w:rFonts w:ascii="黑体" w:hAnsi="黑体" w:eastAsia="黑体"/>
          <w:b w:val="0"/>
          <w:bCs w:val="0"/>
          <w:sz w:val="24"/>
        </w:rPr>
      </w:pPr>
      <w:bookmarkStart w:id="76" w:name="_Toc300678025"/>
      <w:r>
        <w:rPr>
          <w:rFonts w:hint="eastAsia" w:ascii="黑体" w:hAnsi="黑体" w:eastAsia="黑体"/>
          <w:b w:val="0"/>
          <w:bCs w:val="0"/>
          <w:sz w:val="24"/>
        </w:rPr>
        <w:t>3.6 投标文件的编制</w:t>
      </w:r>
      <w:bookmarkEnd w:id="76"/>
    </w:p>
    <w:p>
      <w:pPr>
        <w:pStyle w:val="52"/>
        <w:widowControl w:val="0"/>
        <w:spacing w:line="360" w:lineRule="auto"/>
        <w:ind w:firstLine="420" w:firstLineChars="200"/>
        <w:rPr>
          <w:rFonts w:ascii="宋体" w:hAnsi="宋体"/>
        </w:rPr>
      </w:pPr>
      <w:r>
        <w:rPr>
          <w:rFonts w:hint="eastAsia" w:ascii="宋体" w:hAnsi="宋体"/>
        </w:rPr>
        <w:t>3.6.1  投标文件应按第八章“投标文件格式”进行编写，如有必要，可以增加附页，作为投标文件的组成部分。其中，投标函附录在满足招标文件实质性要求的基础上，可以提出比招标文件要求更有利于招标人的承诺。</w:t>
      </w:r>
    </w:p>
    <w:p>
      <w:pPr>
        <w:pStyle w:val="52"/>
        <w:widowControl w:val="0"/>
        <w:spacing w:line="360" w:lineRule="auto"/>
        <w:ind w:firstLine="420" w:firstLineChars="200"/>
        <w:rPr>
          <w:rFonts w:ascii="宋体" w:hAnsi="宋体"/>
        </w:rPr>
      </w:pPr>
      <w:r>
        <w:rPr>
          <w:rFonts w:hint="eastAsia" w:ascii="宋体" w:hAnsi="宋体"/>
        </w:rPr>
        <w:t>3.6.2  投标文件应当对招标文件有关工期、投标有效期、质量要求、技术标准和要求、招标范围等内容作出实质性响应。</w:t>
      </w:r>
    </w:p>
    <w:p>
      <w:pPr>
        <w:pStyle w:val="52"/>
        <w:widowControl w:val="0"/>
        <w:spacing w:line="360" w:lineRule="auto"/>
        <w:ind w:firstLine="420" w:firstLineChars="200"/>
        <w:rPr>
          <w:rFonts w:ascii="宋体" w:hAnsi="宋体"/>
        </w:rPr>
      </w:pPr>
      <w:r>
        <w:rPr>
          <w:rFonts w:hint="eastAsia" w:ascii="宋体" w:hAnsi="宋体"/>
        </w:rPr>
        <w:t>3.6.3  投标文件应用不褪色的材料书写或打印，并由投标人的法定代表人或其委托代理人签字或盖章并加盖单位章。委托代理人签字或盖章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Style w:val="52"/>
        <w:widowControl w:val="0"/>
        <w:spacing w:line="360" w:lineRule="auto"/>
        <w:ind w:firstLine="420" w:firstLineChars="200"/>
        <w:rPr>
          <w:rFonts w:ascii="宋体" w:hAnsi="宋体"/>
        </w:rPr>
      </w:pPr>
      <w:r>
        <w:rPr>
          <w:rFonts w:hint="eastAsia" w:ascii="宋体" w:hAnsi="宋体"/>
        </w:rPr>
        <w:t>3.6.4  投标文件正本一份，副本份数见投标人须知前附表。正本和副本的封面上应清楚地标记“正本”或“副本”的字样。当副本和正本不一致时，以正本为准。</w:t>
      </w:r>
    </w:p>
    <w:p>
      <w:pPr>
        <w:pStyle w:val="52"/>
        <w:widowControl w:val="0"/>
        <w:spacing w:line="360" w:lineRule="auto"/>
        <w:ind w:firstLine="420" w:firstLineChars="200"/>
        <w:rPr>
          <w:rFonts w:ascii="宋体" w:hAnsi="宋体"/>
        </w:rPr>
      </w:pPr>
      <w:r>
        <w:rPr>
          <w:rFonts w:hint="eastAsia" w:ascii="宋体" w:hAnsi="宋体"/>
        </w:rPr>
        <w:t>3.6.5  投标文件的正本与副本应分别装订成册，并编制目录，具体装订要求见投标人须知前附表规定。</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77" w:name="_Toc23859"/>
      <w:bookmarkStart w:id="78" w:name="_Toc486318712"/>
      <w:bookmarkStart w:id="79" w:name="_Toc1498"/>
      <w:bookmarkStart w:id="80" w:name="_Toc16127"/>
      <w:bookmarkStart w:id="81" w:name="_Toc484015080"/>
      <w:bookmarkStart w:id="82" w:name="_Toc2010"/>
      <w:bookmarkStart w:id="83" w:name="_Toc300678026"/>
      <w:r>
        <w:rPr>
          <w:rFonts w:hint="eastAsia" w:ascii="黑体" w:hAnsi="宋体" w:eastAsia="黑体"/>
          <w:b w:val="0"/>
          <w:bCs w:val="0"/>
          <w:sz w:val="28"/>
          <w:szCs w:val="28"/>
        </w:rPr>
        <w:t>4.投标</w:t>
      </w:r>
      <w:bookmarkEnd w:id="77"/>
      <w:bookmarkEnd w:id="78"/>
      <w:bookmarkEnd w:id="79"/>
      <w:bookmarkEnd w:id="80"/>
      <w:bookmarkEnd w:id="81"/>
      <w:bookmarkEnd w:id="82"/>
      <w:bookmarkEnd w:id="83"/>
    </w:p>
    <w:p>
      <w:pPr>
        <w:pStyle w:val="6"/>
        <w:ind w:firstLine="480" w:firstLineChars="200"/>
        <w:rPr>
          <w:rFonts w:ascii="黑体" w:hAnsi="黑体" w:eastAsia="黑体"/>
          <w:b w:val="0"/>
          <w:bCs w:val="0"/>
          <w:sz w:val="24"/>
        </w:rPr>
      </w:pPr>
      <w:bookmarkStart w:id="84" w:name="_Toc300678027"/>
      <w:r>
        <w:rPr>
          <w:rFonts w:hint="eastAsia" w:ascii="黑体" w:hAnsi="黑体" w:eastAsia="黑体"/>
          <w:b w:val="0"/>
          <w:bCs w:val="0"/>
          <w:sz w:val="24"/>
        </w:rPr>
        <w:t>4.1 投标文件的密封和标记</w:t>
      </w:r>
      <w:bookmarkEnd w:id="84"/>
    </w:p>
    <w:p>
      <w:pPr>
        <w:pStyle w:val="52"/>
        <w:widowControl w:val="0"/>
        <w:spacing w:line="360" w:lineRule="auto"/>
        <w:ind w:firstLine="420" w:firstLineChars="200"/>
        <w:rPr>
          <w:rFonts w:ascii="宋体" w:hAnsi="宋体"/>
        </w:rPr>
      </w:pPr>
      <w:r>
        <w:rPr>
          <w:rFonts w:ascii="宋体" w:hAnsi="宋体"/>
        </w:rPr>
        <w:t>4.1.1</w:t>
      </w:r>
      <w:r>
        <w:rPr>
          <w:rFonts w:hint="eastAsia" w:ascii="宋体" w:hAnsi="宋体"/>
        </w:rPr>
        <w:t>投标文件的密封：</w:t>
      </w:r>
      <w:r>
        <w:rPr>
          <w:rFonts w:hint="eastAsia"/>
        </w:rPr>
        <w:t>投标文件</w:t>
      </w:r>
      <w:r>
        <w:rPr>
          <w:rFonts w:hint="eastAsia" w:ascii="宋体" w:hAnsi="宋体"/>
        </w:rPr>
        <w:t>分三包包装（投标函部分正本副本一包，商务标部分正本副本一包，技术标部分一包）</w:t>
      </w:r>
      <w:r>
        <w:rPr>
          <w:rFonts w:hint="eastAsia"/>
        </w:rPr>
        <w:t>，</w:t>
      </w:r>
      <w:r>
        <w:rPr>
          <w:rFonts w:hint="eastAsia" w:ascii="宋体" w:hAnsi="宋体"/>
        </w:rPr>
        <w:t>加贴封条，并在封套的封口处加盖投标人单位章。</w:t>
      </w:r>
    </w:p>
    <w:p>
      <w:pPr>
        <w:pStyle w:val="52"/>
        <w:widowControl w:val="0"/>
        <w:spacing w:line="360" w:lineRule="auto"/>
        <w:ind w:firstLine="420" w:firstLineChars="200"/>
        <w:rPr>
          <w:rFonts w:ascii="宋体" w:hAnsi="宋体"/>
        </w:rPr>
      </w:pPr>
      <w:r>
        <w:rPr>
          <w:rFonts w:ascii="宋体" w:hAnsi="宋体"/>
        </w:rPr>
        <w:t xml:space="preserve">4.1.2 </w:t>
      </w:r>
      <w:r>
        <w:rPr>
          <w:rFonts w:hint="eastAsia" w:ascii="宋体" w:hAnsi="宋体"/>
        </w:rPr>
        <w:t>投标文件的标记：投标文件的封套上应写明的其他内容见投标人须知前附表。</w:t>
      </w:r>
    </w:p>
    <w:p>
      <w:pPr>
        <w:pStyle w:val="52"/>
        <w:widowControl w:val="0"/>
        <w:spacing w:line="360" w:lineRule="auto"/>
        <w:ind w:firstLine="420" w:firstLineChars="200"/>
        <w:rPr>
          <w:rFonts w:ascii="宋体" w:hAnsi="宋体"/>
        </w:rPr>
      </w:pPr>
      <w:r>
        <w:rPr>
          <w:rFonts w:hint="eastAsia" w:ascii="宋体" w:hAnsi="宋体"/>
        </w:rPr>
        <w:t>4.1.3  未按本章第4.1.1 项要求密封的投标文件，招标人将拒收。未按本章第4.1.2 项要求加写标记的投标文件，招标人将不承担投标文件提前开封的责任。</w:t>
      </w:r>
    </w:p>
    <w:p>
      <w:pPr>
        <w:pStyle w:val="52"/>
        <w:widowControl w:val="0"/>
        <w:spacing w:line="360" w:lineRule="auto"/>
        <w:ind w:firstLine="420" w:firstLineChars="200"/>
        <w:rPr>
          <w:rFonts w:ascii="宋体" w:hAnsi="宋体"/>
        </w:rPr>
      </w:pPr>
    </w:p>
    <w:p>
      <w:pPr>
        <w:pStyle w:val="6"/>
        <w:ind w:firstLine="480" w:firstLineChars="200"/>
        <w:rPr>
          <w:rFonts w:ascii="黑体" w:hAnsi="黑体" w:eastAsia="黑体"/>
          <w:b w:val="0"/>
          <w:bCs w:val="0"/>
          <w:sz w:val="24"/>
        </w:rPr>
      </w:pPr>
      <w:bookmarkStart w:id="85" w:name="_Toc300678028"/>
      <w:r>
        <w:rPr>
          <w:rFonts w:hint="eastAsia" w:ascii="黑体" w:hAnsi="黑体" w:eastAsia="黑体"/>
          <w:b w:val="0"/>
          <w:bCs w:val="0"/>
          <w:sz w:val="24"/>
        </w:rPr>
        <w:t>4.2 投标文件的递交</w:t>
      </w:r>
      <w:bookmarkEnd w:id="85"/>
    </w:p>
    <w:p>
      <w:pPr>
        <w:pStyle w:val="52"/>
        <w:widowControl w:val="0"/>
        <w:spacing w:line="360" w:lineRule="auto"/>
        <w:ind w:firstLine="420" w:firstLineChars="200"/>
        <w:rPr>
          <w:rFonts w:ascii="宋体" w:hAnsi="宋体"/>
        </w:rPr>
      </w:pPr>
      <w:r>
        <w:rPr>
          <w:rFonts w:hint="eastAsia" w:ascii="宋体" w:hAnsi="宋体"/>
        </w:rPr>
        <w:t>4.2.1  投标人应在本章第2.2.2 项规定的投标截止时间前递交投标文件。</w:t>
      </w:r>
    </w:p>
    <w:p>
      <w:pPr>
        <w:pStyle w:val="52"/>
        <w:widowControl w:val="0"/>
        <w:spacing w:line="360" w:lineRule="auto"/>
        <w:ind w:firstLine="420" w:firstLineChars="200"/>
        <w:rPr>
          <w:rFonts w:ascii="宋体" w:hAnsi="宋体"/>
        </w:rPr>
      </w:pPr>
      <w:r>
        <w:rPr>
          <w:rFonts w:hint="eastAsia" w:ascii="宋体" w:hAnsi="宋体"/>
        </w:rPr>
        <w:t>4.2.2  投标人递交投标文件的地点：见投标人须知前附表。</w:t>
      </w:r>
    </w:p>
    <w:p>
      <w:pPr>
        <w:pStyle w:val="52"/>
        <w:widowControl w:val="0"/>
        <w:spacing w:line="360" w:lineRule="auto"/>
        <w:ind w:firstLine="420" w:firstLineChars="200"/>
        <w:rPr>
          <w:rFonts w:ascii="宋体" w:hAnsi="宋体"/>
        </w:rPr>
      </w:pPr>
      <w:r>
        <w:rPr>
          <w:rFonts w:hint="eastAsia" w:ascii="宋体" w:hAnsi="宋体"/>
        </w:rPr>
        <w:t>4.2.3  除投标人须知前附表另有规定外，投标人所递交的投标文件不予退还。</w:t>
      </w:r>
    </w:p>
    <w:p>
      <w:pPr>
        <w:pStyle w:val="52"/>
        <w:widowControl w:val="0"/>
        <w:spacing w:line="360" w:lineRule="auto"/>
        <w:ind w:firstLine="420" w:firstLineChars="200"/>
        <w:rPr>
          <w:rFonts w:ascii="宋体" w:hAnsi="宋体"/>
        </w:rPr>
      </w:pPr>
      <w:r>
        <w:rPr>
          <w:rFonts w:hint="eastAsia" w:ascii="宋体" w:hAnsi="宋体"/>
        </w:rPr>
        <w:t>4.2.4  逾期送达的或者未送达指定地点的投标文件，或未按本招标公告规定获取招标文件的，招标人将拒收。</w:t>
      </w:r>
    </w:p>
    <w:p>
      <w:pPr>
        <w:pStyle w:val="6"/>
        <w:ind w:firstLine="480" w:firstLineChars="200"/>
        <w:rPr>
          <w:rFonts w:ascii="黑体" w:hAnsi="黑体" w:eastAsia="黑体"/>
          <w:b w:val="0"/>
          <w:bCs w:val="0"/>
          <w:sz w:val="24"/>
        </w:rPr>
      </w:pPr>
      <w:r>
        <w:rPr>
          <w:rFonts w:hint="eastAsia" w:ascii="黑体" w:hAnsi="黑体" w:eastAsia="黑体"/>
          <w:b w:val="0"/>
          <w:bCs w:val="0"/>
          <w:sz w:val="24"/>
        </w:rPr>
        <w:t>4.3 投标文件的修改与撤回</w:t>
      </w:r>
    </w:p>
    <w:p>
      <w:pPr>
        <w:pStyle w:val="52"/>
        <w:widowControl w:val="0"/>
        <w:spacing w:line="360" w:lineRule="auto"/>
        <w:ind w:firstLine="420" w:firstLineChars="200"/>
        <w:rPr>
          <w:rFonts w:ascii="宋体" w:hAnsi="宋体"/>
        </w:rPr>
      </w:pPr>
      <w:r>
        <w:rPr>
          <w:rFonts w:hint="eastAsia" w:ascii="宋体" w:hAnsi="宋体"/>
        </w:rPr>
        <w:t>4.3.1  在本章第2.2.2 项规定的投标截止时间前，投标人可以修改或撤回已递交的投标文件，但应以书面形式通知招标人。</w:t>
      </w:r>
    </w:p>
    <w:p>
      <w:pPr>
        <w:pStyle w:val="52"/>
        <w:widowControl w:val="0"/>
        <w:spacing w:line="360" w:lineRule="auto"/>
        <w:ind w:firstLine="420" w:firstLineChars="200"/>
        <w:rPr>
          <w:rFonts w:ascii="宋体" w:hAnsi="宋体"/>
        </w:rPr>
      </w:pPr>
      <w:r>
        <w:rPr>
          <w:rFonts w:hint="eastAsia" w:ascii="宋体" w:hAnsi="宋体"/>
        </w:rPr>
        <w:t>4.3.2  投标人修改或撤回已递交投标文件的书面通知应按照本章第3.6.3 项的要求签字或盖章。招标人收到书面通知后，向投标人出具签收凭证。</w:t>
      </w:r>
    </w:p>
    <w:p>
      <w:pPr>
        <w:pStyle w:val="52"/>
        <w:widowControl w:val="0"/>
        <w:spacing w:line="360" w:lineRule="auto"/>
        <w:ind w:firstLine="420" w:firstLineChars="200"/>
        <w:rPr>
          <w:rFonts w:ascii="宋体" w:hAnsi="宋体"/>
        </w:rPr>
      </w:pPr>
      <w:r>
        <w:rPr>
          <w:rFonts w:hint="eastAsia" w:ascii="宋体" w:hAnsi="宋体"/>
        </w:rPr>
        <w:t>4.3.3  修改的内容为投标文件的组成部分。修改的投标文件应按照本章第3 条、第4 条规定进行编制、密封、标记和递交，并标明“修改”字样。</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86" w:name="_Toc484015081"/>
      <w:bookmarkStart w:id="87" w:name="_Toc28224"/>
      <w:bookmarkStart w:id="88" w:name="_Toc11293"/>
      <w:bookmarkStart w:id="89" w:name="_Toc382"/>
      <w:bookmarkStart w:id="90" w:name="_Toc29194"/>
      <w:bookmarkStart w:id="91" w:name="_Toc486318713"/>
      <w:bookmarkStart w:id="92" w:name="_Toc300678029"/>
      <w:r>
        <w:rPr>
          <w:rFonts w:hint="eastAsia" w:ascii="黑体" w:hAnsi="宋体" w:eastAsia="黑体"/>
          <w:b w:val="0"/>
          <w:bCs w:val="0"/>
          <w:sz w:val="28"/>
          <w:szCs w:val="28"/>
        </w:rPr>
        <w:t>5.开标</w:t>
      </w:r>
      <w:bookmarkEnd w:id="86"/>
      <w:bookmarkEnd w:id="87"/>
      <w:bookmarkEnd w:id="88"/>
      <w:bookmarkEnd w:id="89"/>
      <w:bookmarkEnd w:id="90"/>
      <w:bookmarkEnd w:id="91"/>
      <w:bookmarkEnd w:id="92"/>
    </w:p>
    <w:p>
      <w:pPr>
        <w:pStyle w:val="6"/>
        <w:ind w:firstLine="480" w:firstLineChars="200"/>
        <w:rPr>
          <w:rFonts w:ascii="黑体" w:hAnsi="黑体" w:eastAsia="黑体"/>
          <w:b w:val="0"/>
          <w:bCs w:val="0"/>
          <w:sz w:val="24"/>
        </w:rPr>
      </w:pPr>
      <w:bookmarkStart w:id="93" w:name="_Toc300678030"/>
      <w:r>
        <w:rPr>
          <w:rFonts w:hint="eastAsia" w:ascii="黑体" w:hAnsi="黑体" w:eastAsia="黑体"/>
          <w:b w:val="0"/>
          <w:bCs w:val="0"/>
          <w:sz w:val="24"/>
        </w:rPr>
        <w:t>5.1 开标时间和地点</w:t>
      </w:r>
      <w:bookmarkEnd w:id="93"/>
    </w:p>
    <w:p>
      <w:pPr>
        <w:pStyle w:val="52"/>
        <w:widowControl w:val="0"/>
        <w:spacing w:line="360" w:lineRule="auto"/>
        <w:ind w:firstLine="420" w:firstLineChars="200"/>
        <w:rPr>
          <w:rFonts w:ascii="宋体" w:hAnsi="宋体"/>
        </w:rPr>
      </w:pPr>
      <w:r>
        <w:rPr>
          <w:rFonts w:hint="eastAsia" w:ascii="宋体" w:hAnsi="宋体"/>
        </w:rPr>
        <w:t>招标人在本章第2.2.2 项规定的投标截止时间（开标时间）和投标人须知前附表规定的地点公开开标，并邀请所有投标人的拟任项目负责人准时参加。</w:t>
      </w:r>
    </w:p>
    <w:p>
      <w:pPr>
        <w:pStyle w:val="6"/>
        <w:ind w:firstLine="480" w:firstLineChars="200"/>
        <w:rPr>
          <w:rFonts w:ascii="黑体" w:hAnsi="黑体" w:eastAsia="黑体"/>
          <w:b w:val="0"/>
          <w:bCs w:val="0"/>
          <w:sz w:val="24"/>
        </w:rPr>
      </w:pPr>
      <w:bookmarkStart w:id="94" w:name="_Toc300678031"/>
      <w:r>
        <w:rPr>
          <w:rFonts w:hint="eastAsia" w:ascii="黑体" w:hAnsi="黑体" w:eastAsia="黑体"/>
          <w:b w:val="0"/>
          <w:bCs w:val="0"/>
          <w:sz w:val="24"/>
        </w:rPr>
        <w:t>5.2 开标程序</w:t>
      </w:r>
      <w:bookmarkEnd w:id="94"/>
    </w:p>
    <w:p>
      <w:pPr>
        <w:pStyle w:val="52"/>
        <w:widowControl w:val="0"/>
        <w:spacing w:line="360" w:lineRule="auto"/>
        <w:ind w:firstLine="420" w:firstLineChars="200"/>
        <w:rPr>
          <w:rFonts w:ascii="宋体" w:hAnsi="宋体"/>
        </w:rPr>
      </w:pPr>
      <w:r>
        <w:rPr>
          <w:rFonts w:hint="eastAsia" w:ascii="宋体" w:hAnsi="宋体"/>
        </w:rPr>
        <w:t>主持人按下列程序进行开标：</w:t>
      </w:r>
    </w:p>
    <w:p>
      <w:pPr>
        <w:pStyle w:val="52"/>
        <w:widowControl w:val="0"/>
        <w:spacing w:line="360" w:lineRule="auto"/>
        <w:ind w:firstLine="420" w:firstLineChars="200"/>
        <w:rPr>
          <w:rFonts w:ascii="宋体" w:hAnsi="宋体"/>
        </w:rPr>
      </w:pPr>
      <w:r>
        <w:rPr>
          <w:rFonts w:hint="eastAsia" w:ascii="宋体" w:hAnsi="宋体"/>
        </w:rPr>
        <w:t>（l）宣布开标纪律；</w:t>
      </w:r>
    </w:p>
    <w:p>
      <w:pPr>
        <w:pStyle w:val="52"/>
        <w:widowControl w:val="0"/>
        <w:spacing w:line="360" w:lineRule="auto"/>
        <w:ind w:firstLine="420" w:firstLineChars="200"/>
        <w:rPr>
          <w:rFonts w:ascii="宋体" w:hAnsi="宋体"/>
        </w:rPr>
      </w:pPr>
      <w:r>
        <w:rPr>
          <w:rFonts w:hint="eastAsia" w:ascii="宋体" w:hAnsi="宋体"/>
        </w:rPr>
        <w:t>（2）公布在投标截止时间前递交投标文件的投标人名称，并点名确认投标人是否派人到场（适用开标后资格审查或邀请招标）；</w:t>
      </w:r>
    </w:p>
    <w:p>
      <w:pPr>
        <w:pStyle w:val="52"/>
        <w:widowControl w:val="0"/>
        <w:spacing w:line="360" w:lineRule="auto"/>
        <w:ind w:firstLine="420" w:firstLineChars="200"/>
        <w:rPr>
          <w:rFonts w:ascii="宋体" w:hAnsi="宋体"/>
        </w:rPr>
      </w:pPr>
      <w:r>
        <w:rPr>
          <w:rFonts w:hint="eastAsia" w:ascii="宋体" w:hAnsi="宋体"/>
        </w:rPr>
        <w:t>（2）公布入围投标人名称，并点名确认投标人是否派人到场（适用开标前资格审查）；</w:t>
      </w:r>
    </w:p>
    <w:p>
      <w:pPr>
        <w:pStyle w:val="52"/>
        <w:widowControl w:val="0"/>
        <w:spacing w:line="360" w:lineRule="auto"/>
        <w:ind w:firstLine="420" w:firstLineChars="200"/>
        <w:rPr>
          <w:rFonts w:ascii="宋体" w:hAnsi="宋体"/>
        </w:rPr>
      </w:pPr>
      <w:r>
        <w:rPr>
          <w:rFonts w:hint="eastAsia" w:ascii="宋体" w:hAnsi="宋体"/>
        </w:rPr>
        <w:t>（3）宣布开标人、唱标人、记录人、监督人等有关人员姓名；</w:t>
      </w:r>
    </w:p>
    <w:p>
      <w:pPr>
        <w:pStyle w:val="52"/>
        <w:widowControl w:val="0"/>
        <w:spacing w:line="360" w:lineRule="auto"/>
        <w:ind w:firstLine="420" w:firstLineChars="200"/>
        <w:rPr>
          <w:rFonts w:ascii="宋体" w:hAnsi="宋体"/>
        </w:rPr>
      </w:pPr>
      <w:r>
        <w:rPr>
          <w:rFonts w:hint="eastAsia" w:ascii="宋体" w:hAnsi="宋体"/>
        </w:rPr>
        <w:t>（4）按照投标人须知前附表规定检查投标文件的密封情况；</w:t>
      </w:r>
    </w:p>
    <w:p>
      <w:pPr>
        <w:pStyle w:val="52"/>
        <w:widowControl w:val="0"/>
        <w:spacing w:line="360" w:lineRule="auto"/>
        <w:ind w:firstLine="420" w:firstLineChars="200"/>
        <w:rPr>
          <w:rFonts w:ascii="宋体" w:hAnsi="宋体"/>
        </w:rPr>
      </w:pPr>
      <w:r>
        <w:rPr>
          <w:rFonts w:hint="eastAsia" w:ascii="宋体" w:hAnsi="宋体"/>
        </w:rPr>
        <w:t>（5）技术标为暗标时，由交易中心工作人员进行洗标，由招标人纪检监察代表进行编号；（如有的话）</w:t>
      </w:r>
    </w:p>
    <w:p>
      <w:pPr>
        <w:pStyle w:val="52"/>
        <w:widowControl w:val="0"/>
        <w:spacing w:line="360" w:lineRule="auto"/>
        <w:ind w:firstLine="420" w:firstLineChars="200"/>
        <w:rPr>
          <w:rFonts w:ascii="宋体" w:hAnsi="宋体"/>
        </w:rPr>
      </w:pPr>
      <w:r>
        <w:rPr>
          <w:rFonts w:hint="eastAsia" w:ascii="宋体" w:hAnsi="宋体"/>
        </w:rPr>
        <w:t>（5）由招标人在开标现场随机抽取投标报价基准价计算下浮点数；（如有的话）</w:t>
      </w:r>
    </w:p>
    <w:p>
      <w:pPr>
        <w:pStyle w:val="52"/>
        <w:widowControl w:val="0"/>
        <w:spacing w:line="360" w:lineRule="auto"/>
        <w:ind w:firstLine="420" w:firstLineChars="200"/>
        <w:rPr>
          <w:rFonts w:ascii="宋体" w:hAnsi="宋体"/>
        </w:rPr>
      </w:pPr>
      <w:r>
        <w:rPr>
          <w:rFonts w:hint="eastAsia" w:ascii="宋体" w:hAnsi="宋体"/>
        </w:rPr>
        <w:t>（5）公布标底；（如有的话）</w:t>
      </w:r>
    </w:p>
    <w:p>
      <w:pPr>
        <w:pStyle w:val="52"/>
        <w:widowControl w:val="0"/>
        <w:spacing w:line="360" w:lineRule="auto"/>
        <w:ind w:firstLine="420" w:firstLineChars="200"/>
        <w:rPr>
          <w:rFonts w:ascii="宋体" w:hAnsi="宋体"/>
        </w:rPr>
      </w:pPr>
      <w:r>
        <w:rPr>
          <w:rFonts w:hint="eastAsia" w:ascii="宋体" w:hAnsi="宋体"/>
        </w:rPr>
        <w:t>（6）按照投标人须知前附表的规定确定并宣布投标文件开标顺序；</w:t>
      </w:r>
    </w:p>
    <w:p>
      <w:pPr>
        <w:pStyle w:val="52"/>
        <w:widowControl w:val="0"/>
        <w:spacing w:line="360" w:lineRule="auto"/>
        <w:ind w:firstLine="420" w:firstLineChars="200"/>
        <w:rPr>
          <w:rFonts w:ascii="宋体" w:hAnsi="宋体"/>
        </w:rPr>
      </w:pPr>
      <w:r>
        <w:rPr>
          <w:rFonts w:hint="eastAsia" w:ascii="宋体" w:hAnsi="宋体"/>
        </w:rPr>
        <w:t>（7）按照宣布的开标顺序当众开标，公布投标人名称、标段名称、投标保证金的递交情况、投标报价、质量目标、工期及其他内容，并记录在案；</w:t>
      </w:r>
    </w:p>
    <w:p>
      <w:pPr>
        <w:pStyle w:val="52"/>
        <w:widowControl w:val="0"/>
        <w:spacing w:line="360" w:lineRule="auto"/>
        <w:ind w:firstLine="420" w:firstLineChars="200"/>
        <w:rPr>
          <w:rFonts w:ascii="宋体" w:hAnsi="宋体"/>
        </w:rPr>
      </w:pPr>
      <w:r>
        <w:rPr>
          <w:rFonts w:hint="eastAsia" w:ascii="宋体" w:hAnsi="宋体"/>
        </w:rPr>
        <w:t>（8）投标人代表、招标人代表、监督人、记录人等有关人员在开标记录上签字确认；</w:t>
      </w:r>
    </w:p>
    <w:p>
      <w:pPr>
        <w:pStyle w:val="52"/>
        <w:widowControl w:val="0"/>
        <w:spacing w:line="360" w:lineRule="auto"/>
        <w:ind w:firstLine="420" w:firstLineChars="200"/>
        <w:rPr>
          <w:rFonts w:ascii="宋体" w:hAnsi="宋体"/>
        </w:rPr>
      </w:pPr>
      <w:r>
        <w:rPr>
          <w:rFonts w:hint="eastAsia" w:ascii="宋体" w:hAnsi="宋体"/>
        </w:rPr>
        <w:t>（9）开标结束。</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95" w:name="_Toc300678032"/>
      <w:bookmarkStart w:id="96" w:name="_Toc484015082"/>
      <w:bookmarkStart w:id="97" w:name="_Toc1289"/>
      <w:bookmarkStart w:id="98" w:name="_Toc25328"/>
      <w:bookmarkStart w:id="99" w:name="_Toc6066"/>
      <w:bookmarkStart w:id="100" w:name="_Toc486318714"/>
      <w:bookmarkStart w:id="101" w:name="_Toc25781"/>
      <w:r>
        <w:rPr>
          <w:rFonts w:hint="eastAsia" w:ascii="黑体" w:hAnsi="宋体" w:eastAsia="黑体"/>
          <w:b w:val="0"/>
          <w:bCs w:val="0"/>
          <w:sz w:val="28"/>
          <w:szCs w:val="28"/>
        </w:rPr>
        <w:t>6.评标</w:t>
      </w:r>
      <w:bookmarkEnd w:id="95"/>
      <w:bookmarkEnd w:id="96"/>
      <w:bookmarkEnd w:id="97"/>
      <w:bookmarkEnd w:id="98"/>
      <w:bookmarkEnd w:id="99"/>
      <w:bookmarkEnd w:id="100"/>
      <w:bookmarkEnd w:id="101"/>
    </w:p>
    <w:p>
      <w:pPr>
        <w:pStyle w:val="6"/>
        <w:ind w:firstLine="480" w:firstLineChars="200"/>
        <w:rPr>
          <w:rFonts w:ascii="黑体" w:hAnsi="黑体" w:eastAsia="黑体"/>
          <w:b w:val="0"/>
          <w:bCs w:val="0"/>
          <w:sz w:val="24"/>
        </w:rPr>
      </w:pPr>
      <w:bookmarkStart w:id="102" w:name="_Toc300678033"/>
      <w:r>
        <w:rPr>
          <w:rFonts w:hint="eastAsia" w:ascii="黑体" w:hAnsi="黑体" w:eastAsia="黑体"/>
          <w:b w:val="0"/>
          <w:bCs w:val="0"/>
          <w:sz w:val="24"/>
        </w:rPr>
        <w:t>6.1 评标委员会</w:t>
      </w:r>
      <w:bookmarkEnd w:id="102"/>
    </w:p>
    <w:p>
      <w:pPr>
        <w:pStyle w:val="52"/>
        <w:widowControl w:val="0"/>
        <w:spacing w:line="360" w:lineRule="auto"/>
        <w:ind w:firstLine="420" w:firstLineChars="200"/>
        <w:rPr>
          <w:rFonts w:ascii="宋体" w:hAnsi="宋体"/>
        </w:rPr>
      </w:pPr>
      <w:r>
        <w:rPr>
          <w:rFonts w:hint="eastAsia" w:ascii="宋体" w:hAnsi="宋体"/>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Style w:val="52"/>
        <w:widowControl w:val="0"/>
        <w:spacing w:line="360" w:lineRule="auto"/>
        <w:ind w:firstLine="420" w:firstLineChars="200"/>
        <w:rPr>
          <w:rFonts w:ascii="宋体" w:hAnsi="宋体"/>
        </w:rPr>
      </w:pPr>
      <w:r>
        <w:rPr>
          <w:rFonts w:hint="eastAsia" w:ascii="宋体" w:hAnsi="宋体"/>
        </w:rPr>
        <w:t>6.1.2  评标委员会成员有下列情形之一的，应当回避：</w:t>
      </w:r>
    </w:p>
    <w:p>
      <w:pPr>
        <w:pStyle w:val="52"/>
        <w:widowControl w:val="0"/>
        <w:spacing w:line="360" w:lineRule="auto"/>
        <w:ind w:firstLine="420" w:firstLineChars="200"/>
        <w:rPr>
          <w:rFonts w:ascii="宋体" w:hAnsi="宋体"/>
        </w:rPr>
      </w:pPr>
      <w:r>
        <w:rPr>
          <w:rFonts w:hint="eastAsia" w:ascii="宋体" w:hAnsi="宋体"/>
        </w:rPr>
        <w:t>（1）投标人或投标人的主要负责人（或拟任项目负责人）的近亲属；从政府评标专家库随机抽取的评标专家属招标人或其上级主管部门或其下属单位的人员；</w:t>
      </w:r>
    </w:p>
    <w:p>
      <w:pPr>
        <w:pStyle w:val="52"/>
        <w:widowControl w:val="0"/>
        <w:spacing w:line="360" w:lineRule="auto"/>
        <w:ind w:firstLine="420" w:firstLineChars="200"/>
        <w:rPr>
          <w:rFonts w:ascii="宋体" w:hAnsi="宋体"/>
        </w:rPr>
      </w:pPr>
      <w:r>
        <w:rPr>
          <w:rFonts w:hint="eastAsia" w:ascii="宋体" w:hAnsi="宋体"/>
        </w:rPr>
        <w:t>（2）相关招标投标行政监督部门或其监管机构的人员；在本招标项目投标人编制投标文件过程中有过参与、指导、咨询等行为的人员；</w:t>
      </w:r>
    </w:p>
    <w:p>
      <w:pPr>
        <w:pStyle w:val="52"/>
        <w:widowControl w:val="0"/>
        <w:spacing w:line="360" w:lineRule="auto"/>
        <w:ind w:firstLine="420" w:firstLineChars="200"/>
        <w:rPr>
          <w:rFonts w:ascii="宋体" w:hAnsi="宋体"/>
        </w:rPr>
      </w:pPr>
      <w:r>
        <w:rPr>
          <w:rFonts w:hint="eastAsia" w:ascii="宋体" w:hAnsi="宋体"/>
        </w:rPr>
        <w:t>（3）与投标人有经济利益关系，可能影响对投标公正评审的；</w:t>
      </w:r>
    </w:p>
    <w:p>
      <w:pPr>
        <w:pStyle w:val="52"/>
        <w:widowControl w:val="0"/>
        <w:spacing w:line="360" w:lineRule="auto"/>
        <w:ind w:firstLine="420" w:firstLineChars="200"/>
        <w:rPr>
          <w:rFonts w:ascii="宋体" w:hAnsi="宋体"/>
        </w:rPr>
      </w:pPr>
      <w:r>
        <w:rPr>
          <w:rFonts w:hint="eastAsia" w:ascii="宋体" w:hAnsi="宋体"/>
        </w:rPr>
        <w:t>（4）曾因在招标、评标以及其他与招标投标有关活动中从事违法行为而受过行政处罚或刑事处罚的。</w:t>
      </w:r>
    </w:p>
    <w:p>
      <w:pPr>
        <w:pStyle w:val="6"/>
        <w:ind w:firstLine="480" w:firstLineChars="200"/>
        <w:rPr>
          <w:rFonts w:ascii="黑体" w:hAnsi="黑体" w:eastAsia="黑体"/>
          <w:b w:val="0"/>
          <w:bCs w:val="0"/>
          <w:sz w:val="24"/>
        </w:rPr>
      </w:pPr>
      <w:bookmarkStart w:id="103" w:name="_Toc300678034"/>
      <w:r>
        <w:rPr>
          <w:rFonts w:hint="eastAsia" w:ascii="黑体" w:hAnsi="黑体" w:eastAsia="黑体"/>
          <w:b w:val="0"/>
          <w:bCs w:val="0"/>
          <w:sz w:val="24"/>
        </w:rPr>
        <w:t>6.2 评标原则</w:t>
      </w:r>
      <w:bookmarkEnd w:id="103"/>
    </w:p>
    <w:p>
      <w:pPr>
        <w:pStyle w:val="52"/>
        <w:widowControl w:val="0"/>
        <w:spacing w:line="360" w:lineRule="auto"/>
        <w:ind w:firstLine="420" w:firstLineChars="200"/>
        <w:rPr>
          <w:rFonts w:ascii="宋体" w:hAnsi="宋体"/>
        </w:rPr>
      </w:pPr>
      <w:r>
        <w:rPr>
          <w:rFonts w:hint="eastAsia" w:ascii="宋体" w:hAnsi="宋体"/>
        </w:rPr>
        <w:t>评标活动遵循公平、公正、科学和择优的原则。</w:t>
      </w:r>
    </w:p>
    <w:p>
      <w:pPr>
        <w:pStyle w:val="6"/>
        <w:ind w:firstLine="480" w:firstLineChars="200"/>
        <w:rPr>
          <w:rFonts w:ascii="黑体" w:hAnsi="黑体" w:eastAsia="黑体"/>
          <w:b w:val="0"/>
          <w:bCs w:val="0"/>
          <w:sz w:val="24"/>
        </w:rPr>
      </w:pPr>
      <w:bookmarkStart w:id="104" w:name="_Toc300678035"/>
      <w:r>
        <w:rPr>
          <w:rFonts w:hint="eastAsia" w:ascii="黑体" w:hAnsi="黑体" w:eastAsia="黑体"/>
          <w:b w:val="0"/>
          <w:bCs w:val="0"/>
          <w:sz w:val="24"/>
        </w:rPr>
        <w:t>6.3 评标</w:t>
      </w:r>
      <w:bookmarkEnd w:id="104"/>
    </w:p>
    <w:p>
      <w:pPr>
        <w:pStyle w:val="52"/>
        <w:widowControl w:val="0"/>
        <w:spacing w:line="360" w:lineRule="auto"/>
        <w:ind w:firstLine="420" w:firstLineChars="200"/>
        <w:rPr>
          <w:rFonts w:ascii="宋体" w:hAnsi="宋体"/>
        </w:rPr>
      </w:pPr>
      <w:r>
        <w:rPr>
          <w:rFonts w:hint="eastAsia" w:ascii="宋体" w:hAnsi="宋体"/>
        </w:rPr>
        <w:t>评标委员会按照第三章“评标办法”规定的方法、评审因素、标准和程序对投标文件进行评审。第三章“评标办法”没有规定的方法、评审因素和标准，不作为评标依据。</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105" w:name="_Toc5877"/>
      <w:bookmarkStart w:id="106" w:name="_Toc30767"/>
      <w:bookmarkStart w:id="107" w:name="_Toc486318715"/>
      <w:bookmarkStart w:id="108" w:name="_Toc1074"/>
      <w:bookmarkStart w:id="109" w:name="_Toc484015083"/>
      <w:bookmarkStart w:id="110" w:name="_Toc300678036"/>
      <w:bookmarkStart w:id="111" w:name="_Toc1009"/>
      <w:r>
        <w:rPr>
          <w:rFonts w:hint="eastAsia" w:ascii="黑体" w:hAnsi="宋体" w:eastAsia="黑体"/>
          <w:b w:val="0"/>
          <w:bCs w:val="0"/>
          <w:sz w:val="28"/>
          <w:szCs w:val="28"/>
        </w:rPr>
        <w:t>7.合同授予</w:t>
      </w:r>
      <w:bookmarkEnd w:id="105"/>
      <w:bookmarkEnd w:id="106"/>
      <w:bookmarkEnd w:id="107"/>
      <w:bookmarkEnd w:id="108"/>
      <w:bookmarkEnd w:id="109"/>
      <w:bookmarkEnd w:id="110"/>
      <w:bookmarkEnd w:id="111"/>
    </w:p>
    <w:p>
      <w:pPr>
        <w:pStyle w:val="6"/>
        <w:ind w:firstLine="480" w:firstLineChars="200"/>
        <w:rPr>
          <w:rFonts w:ascii="黑体" w:hAnsi="黑体" w:eastAsia="黑体"/>
          <w:b w:val="0"/>
          <w:bCs w:val="0"/>
          <w:sz w:val="24"/>
        </w:rPr>
      </w:pPr>
      <w:bookmarkStart w:id="112" w:name="_Toc300678037"/>
      <w:r>
        <w:rPr>
          <w:rFonts w:hint="eastAsia" w:ascii="黑体" w:hAnsi="黑体" w:eastAsia="黑体"/>
          <w:b w:val="0"/>
          <w:bCs w:val="0"/>
          <w:sz w:val="24"/>
        </w:rPr>
        <w:t>7.1 定标方式</w:t>
      </w:r>
      <w:bookmarkEnd w:id="112"/>
    </w:p>
    <w:p>
      <w:pPr>
        <w:spacing w:line="360" w:lineRule="auto"/>
        <w:ind w:firstLine="420" w:firstLineChars="200"/>
        <w:rPr>
          <w:rFonts w:ascii="宋体" w:hAnsi="宋体"/>
        </w:rPr>
      </w:pPr>
      <w:r>
        <w:rPr>
          <w:rFonts w:hint="eastAsia" w:ascii="宋体" w:hAnsi="宋体"/>
        </w:rPr>
        <w:t>除投标人须知前附表规定评标委员会直接确定中标人外，招标人依据评标委员会推荐的中标候选人确定中标人，评标委员会推荐中标候选人的人数见投标人须知前附表。</w:t>
      </w:r>
    </w:p>
    <w:p>
      <w:pPr>
        <w:pStyle w:val="6"/>
        <w:ind w:firstLine="480" w:firstLineChars="200"/>
        <w:rPr>
          <w:rFonts w:ascii="黑体" w:hAnsi="黑体" w:eastAsia="黑体"/>
          <w:b w:val="0"/>
          <w:bCs w:val="0"/>
          <w:sz w:val="24"/>
        </w:rPr>
      </w:pPr>
      <w:bookmarkStart w:id="113" w:name="_Toc300678038"/>
      <w:r>
        <w:rPr>
          <w:rFonts w:hint="eastAsia" w:ascii="黑体" w:hAnsi="黑体" w:eastAsia="黑体"/>
          <w:b w:val="0"/>
          <w:bCs w:val="0"/>
          <w:sz w:val="24"/>
        </w:rPr>
        <w:t>7.2 中标通知</w:t>
      </w:r>
      <w:bookmarkEnd w:id="113"/>
    </w:p>
    <w:p>
      <w:pPr>
        <w:pStyle w:val="52"/>
        <w:widowControl w:val="0"/>
        <w:spacing w:line="360" w:lineRule="auto"/>
        <w:ind w:firstLine="420" w:firstLineChars="200"/>
        <w:rPr>
          <w:rFonts w:ascii="宋体" w:hAnsi="宋体"/>
        </w:rPr>
      </w:pPr>
      <w:r>
        <w:rPr>
          <w:rFonts w:hint="eastAsia" w:ascii="宋体" w:hAnsi="宋体"/>
        </w:rPr>
        <w:t>在本章第3.3 款规定的投标有效期内，招标人以书面形式向中标人发出中标通知书，同时将中标结果通知未中标的投标人。</w:t>
      </w:r>
    </w:p>
    <w:p>
      <w:pPr>
        <w:pStyle w:val="6"/>
        <w:ind w:firstLine="480" w:firstLineChars="200"/>
        <w:rPr>
          <w:rFonts w:ascii="黑体" w:hAnsi="黑体" w:eastAsia="黑体"/>
          <w:b w:val="0"/>
          <w:bCs w:val="0"/>
          <w:sz w:val="24"/>
        </w:rPr>
      </w:pPr>
      <w:bookmarkStart w:id="114" w:name="_Toc300678039"/>
      <w:r>
        <w:rPr>
          <w:rFonts w:hint="eastAsia" w:ascii="黑体" w:hAnsi="黑体" w:eastAsia="黑体"/>
          <w:b w:val="0"/>
          <w:bCs w:val="0"/>
          <w:sz w:val="24"/>
        </w:rPr>
        <w:t>7.3 履约担保</w:t>
      </w:r>
      <w:bookmarkEnd w:id="114"/>
    </w:p>
    <w:p>
      <w:pPr>
        <w:pStyle w:val="52"/>
        <w:widowControl w:val="0"/>
        <w:spacing w:line="360" w:lineRule="auto"/>
        <w:ind w:firstLine="420" w:firstLineChars="200"/>
        <w:rPr>
          <w:rFonts w:ascii="宋体" w:hAnsi="宋体"/>
        </w:rPr>
      </w:pPr>
      <w:r>
        <w:rPr>
          <w:rFonts w:hint="eastAsia" w:ascii="宋体" w:hAnsi="宋体"/>
        </w:rPr>
        <w:t>7.3.1  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pPr>
        <w:pStyle w:val="52"/>
        <w:widowControl w:val="0"/>
        <w:spacing w:line="360" w:lineRule="auto"/>
        <w:ind w:firstLine="420" w:firstLineChars="200"/>
        <w:rPr>
          <w:rFonts w:ascii="宋体" w:hAnsi="宋体"/>
        </w:rPr>
      </w:pPr>
      <w:r>
        <w:rPr>
          <w:rFonts w:hint="eastAsia" w:ascii="宋体" w:hAnsi="宋体"/>
        </w:rPr>
        <w:t>7.3.2  中标人不能按本章第7.3.1 项要求提交履约担保的，视为放弃中标，其投标保证金不予退还，给招标人造成的损失超过投标保证金数额的，中标人还应当对超过部分予以赔偿。</w:t>
      </w:r>
    </w:p>
    <w:p>
      <w:pPr>
        <w:pStyle w:val="6"/>
        <w:ind w:firstLine="480" w:firstLineChars="200"/>
        <w:rPr>
          <w:rFonts w:ascii="黑体" w:hAnsi="黑体" w:eastAsia="黑体"/>
          <w:b w:val="0"/>
          <w:bCs w:val="0"/>
          <w:sz w:val="24"/>
        </w:rPr>
      </w:pPr>
      <w:bookmarkStart w:id="115" w:name="_Toc300678040"/>
      <w:r>
        <w:rPr>
          <w:rFonts w:hint="eastAsia" w:ascii="黑体" w:hAnsi="黑体" w:eastAsia="黑体"/>
          <w:b w:val="0"/>
          <w:bCs w:val="0"/>
          <w:sz w:val="24"/>
        </w:rPr>
        <w:t>7.4 签订合同</w:t>
      </w:r>
      <w:bookmarkEnd w:id="115"/>
    </w:p>
    <w:p>
      <w:pPr>
        <w:pStyle w:val="52"/>
        <w:widowControl w:val="0"/>
        <w:spacing w:line="360" w:lineRule="auto"/>
        <w:ind w:firstLine="420" w:firstLineChars="200"/>
        <w:rPr>
          <w:rFonts w:ascii="宋体" w:hAnsi="宋体"/>
        </w:rPr>
      </w:pPr>
      <w:r>
        <w:rPr>
          <w:rFonts w:hint="eastAsia" w:ascii="宋体" w:hAnsi="宋体"/>
        </w:rPr>
        <w:t>7.4.1  招标人和中标人应当自中标通知书发出之日起30 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Style w:val="52"/>
        <w:widowControl w:val="0"/>
        <w:spacing w:line="360" w:lineRule="auto"/>
        <w:ind w:firstLine="420" w:firstLineChars="200"/>
        <w:rPr>
          <w:rFonts w:ascii="宋体" w:hAnsi="宋体"/>
        </w:rPr>
      </w:pPr>
      <w:r>
        <w:rPr>
          <w:rFonts w:hint="eastAsia" w:ascii="宋体" w:hAnsi="宋体"/>
        </w:rPr>
        <w:t>7.4.2  发出中标通知书后，招标人无正当理由拒签合同的，招标人向中标人退还投标保证金；给中标人造成损失的，还应当赔偿损失。</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116" w:name="_Toc484015084"/>
      <w:bookmarkStart w:id="117" w:name="_Toc6110"/>
      <w:bookmarkStart w:id="118" w:name="_Toc6864"/>
      <w:bookmarkStart w:id="119" w:name="_Toc300678041"/>
      <w:bookmarkStart w:id="120" w:name="_Toc4486"/>
      <w:bookmarkStart w:id="121" w:name="_Toc486318716"/>
      <w:bookmarkStart w:id="122" w:name="_Toc13900"/>
      <w:r>
        <w:rPr>
          <w:rFonts w:hint="eastAsia" w:ascii="黑体" w:hAnsi="宋体" w:eastAsia="黑体"/>
          <w:b w:val="0"/>
          <w:bCs w:val="0"/>
          <w:sz w:val="28"/>
          <w:szCs w:val="28"/>
        </w:rPr>
        <w:t>8.重新招标和不再招标</w:t>
      </w:r>
      <w:bookmarkEnd w:id="116"/>
      <w:bookmarkEnd w:id="117"/>
      <w:bookmarkEnd w:id="118"/>
      <w:bookmarkEnd w:id="119"/>
      <w:bookmarkEnd w:id="120"/>
      <w:bookmarkEnd w:id="121"/>
      <w:bookmarkEnd w:id="122"/>
    </w:p>
    <w:p>
      <w:pPr>
        <w:pStyle w:val="6"/>
        <w:ind w:firstLine="480" w:firstLineChars="200"/>
        <w:rPr>
          <w:rFonts w:ascii="黑体" w:hAnsi="黑体" w:eastAsia="黑体"/>
          <w:b w:val="0"/>
          <w:bCs w:val="0"/>
          <w:sz w:val="24"/>
        </w:rPr>
      </w:pPr>
      <w:bookmarkStart w:id="123" w:name="_Toc300678042"/>
      <w:r>
        <w:rPr>
          <w:rFonts w:hint="eastAsia" w:ascii="黑体" w:hAnsi="黑体" w:eastAsia="黑体"/>
          <w:b w:val="0"/>
          <w:bCs w:val="0"/>
          <w:sz w:val="24"/>
        </w:rPr>
        <w:t>8.1 重新招标</w:t>
      </w:r>
      <w:bookmarkEnd w:id="123"/>
    </w:p>
    <w:p>
      <w:pPr>
        <w:pStyle w:val="52"/>
        <w:widowControl w:val="0"/>
        <w:spacing w:line="360" w:lineRule="auto"/>
        <w:ind w:firstLine="420" w:firstLineChars="200"/>
        <w:rPr>
          <w:rFonts w:ascii="宋体" w:hAnsi="宋体"/>
        </w:rPr>
      </w:pPr>
      <w:r>
        <w:rPr>
          <w:rFonts w:hint="eastAsia" w:ascii="宋体" w:hAnsi="宋体"/>
        </w:rPr>
        <w:t>有下列情形之一的，招标人将重新招标：</w:t>
      </w:r>
    </w:p>
    <w:p>
      <w:pPr>
        <w:pStyle w:val="52"/>
        <w:widowControl w:val="0"/>
        <w:spacing w:line="360" w:lineRule="auto"/>
        <w:ind w:firstLine="420" w:firstLineChars="200"/>
        <w:rPr>
          <w:rFonts w:ascii="宋体" w:hAnsi="宋体"/>
        </w:rPr>
      </w:pPr>
      <w:r>
        <w:rPr>
          <w:rFonts w:hint="eastAsia" w:ascii="宋体" w:hAnsi="宋体"/>
        </w:rPr>
        <w:t>（l） 投标截止时间止，投标人少于3 个的；</w:t>
      </w:r>
    </w:p>
    <w:p>
      <w:pPr>
        <w:pStyle w:val="52"/>
        <w:widowControl w:val="0"/>
        <w:spacing w:line="360" w:lineRule="auto"/>
        <w:ind w:firstLine="420" w:firstLineChars="200"/>
        <w:rPr>
          <w:rFonts w:ascii="宋体" w:hAnsi="宋体"/>
        </w:rPr>
      </w:pPr>
      <w:r>
        <w:rPr>
          <w:rFonts w:hint="eastAsia" w:ascii="宋体" w:hAnsi="宋体"/>
        </w:rPr>
        <w:t>（2） 经评标委员会评审后否决所有投标的。</w:t>
      </w:r>
    </w:p>
    <w:p>
      <w:pPr>
        <w:pStyle w:val="6"/>
        <w:ind w:firstLine="480" w:firstLineChars="200"/>
        <w:rPr>
          <w:rFonts w:ascii="黑体" w:hAnsi="黑体" w:eastAsia="黑体"/>
          <w:b w:val="0"/>
          <w:bCs w:val="0"/>
          <w:sz w:val="24"/>
        </w:rPr>
      </w:pPr>
      <w:bookmarkStart w:id="124" w:name="_Toc300678043"/>
      <w:r>
        <w:rPr>
          <w:rFonts w:hint="eastAsia" w:ascii="黑体" w:hAnsi="黑体" w:eastAsia="黑体"/>
          <w:b w:val="0"/>
          <w:bCs w:val="0"/>
          <w:sz w:val="24"/>
        </w:rPr>
        <w:t>8.2 不再招标</w:t>
      </w:r>
      <w:bookmarkEnd w:id="124"/>
    </w:p>
    <w:p>
      <w:pPr>
        <w:pStyle w:val="52"/>
        <w:widowControl w:val="0"/>
        <w:spacing w:line="360" w:lineRule="auto"/>
        <w:ind w:firstLine="420" w:firstLineChars="200"/>
        <w:rPr>
          <w:rFonts w:ascii="宋体" w:hAnsi="宋体"/>
        </w:rPr>
      </w:pPr>
      <w:r>
        <w:rPr>
          <w:rFonts w:hint="eastAsia" w:ascii="宋体" w:hAnsi="宋体"/>
        </w:rPr>
        <w:t>重新招标后投标人仍少于3 个或者所有投标被否决的，属于必须审批或核准的工程建设项目，经原审批或核准部门批准后不再进行招标。</w:t>
      </w:r>
    </w:p>
    <w:p>
      <w:pPr>
        <w:pStyle w:val="52"/>
        <w:widowControl w:val="0"/>
        <w:spacing w:line="360" w:lineRule="auto"/>
        <w:ind w:firstLine="420" w:firstLineChars="200"/>
        <w:rPr>
          <w:rFonts w:ascii="宋体" w:hAnsi="宋体"/>
        </w:rPr>
      </w:pPr>
    </w:p>
    <w:p>
      <w:pPr>
        <w:pStyle w:val="4"/>
        <w:keepLines/>
        <w:widowControl w:val="0"/>
        <w:ind w:firstLine="560" w:firstLineChars="200"/>
        <w:jc w:val="left"/>
        <w:rPr>
          <w:rFonts w:ascii="黑体" w:hAnsi="宋体" w:eastAsia="黑体"/>
          <w:b w:val="0"/>
          <w:bCs w:val="0"/>
          <w:sz w:val="28"/>
          <w:szCs w:val="28"/>
        </w:rPr>
      </w:pPr>
      <w:bookmarkStart w:id="125" w:name="_Toc22102"/>
      <w:bookmarkStart w:id="126" w:name="_Toc484015085"/>
      <w:bookmarkStart w:id="127" w:name="_Toc300678044"/>
      <w:bookmarkStart w:id="128" w:name="_Toc486318717"/>
      <w:bookmarkStart w:id="129" w:name="_Toc8533"/>
      <w:bookmarkStart w:id="130" w:name="_Toc19153"/>
      <w:bookmarkStart w:id="131" w:name="_Toc15764"/>
      <w:r>
        <w:rPr>
          <w:rFonts w:hint="eastAsia" w:ascii="黑体" w:hAnsi="宋体" w:eastAsia="黑体"/>
          <w:b w:val="0"/>
          <w:bCs w:val="0"/>
          <w:sz w:val="28"/>
          <w:szCs w:val="28"/>
        </w:rPr>
        <w:t>9.纪律和监督</w:t>
      </w:r>
      <w:bookmarkEnd w:id="125"/>
      <w:bookmarkEnd w:id="126"/>
      <w:bookmarkEnd w:id="127"/>
      <w:bookmarkEnd w:id="128"/>
      <w:bookmarkEnd w:id="129"/>
      <w:bookmarkEnd w:id="130"/>
      <w:bookmarkEnd w:id="131"/>
    </w:p>
    <w:p>
      <w:pPr>
        <w:pStyle w:val="6"/>
        <w:ind w:firstLine="480" w:firstLineChars="200"/>
        <w:rPr>
          <w:rFonts w:ascii="黑体" w:hAnsi="黑体" w:eastAsia="黑体"/>
          <w:b w:val="0"/>
          <w:bCs w:val="0"/>
          <w:sz w:val="24"/>
        </w:rPr>
      </w:pPr>
      <w:bookmarkStart w:id="132" w:name="_Toc300678045"/>
      <w:r>
        <w:rPr>
          <w:rFonts w:hint="eastAsia" w:ascii="黑体" w:hAnsi="黑体" w:eastAsia="黑体"/>
          <w:b w:val="0"/>
          <w:bCs w:val="0"/>
          <w:sz w:val="24"/>
        </w:rPr>
        <w:t>9.1 对招标人的纪律要求</w:t>
      </w:r>
      <w:bookmarkEnd w:id="132"/>
    </w:p>
    <w:p>
      <w:pPr>
        <w:pStyle w:val="52"/>
        <w:widowControl w:val="0"/>
        <w:spacing w:line="360" w:lineRule="auto"/>
        <w:ind w:firstLine="420" w:firstLineChars="200"/>
        <w:rPr>
          <w:rFonts w:ascii="宋体" w:hAnsi="宋体"/>
        </w:rPr>
      </w:pPr>
      <w:r>
        <w:rPr>
          <w:rFonts w:hint="eastAsia" w:ascii="宋体" w:hAnsi="宋体"/>
        </w:rPr>
        <w:t>招标人不得泄漏招标投标活动中应当保密的情况和资料，不得与投标人串通损害国家利益、社会公共利益或者他人合法权益。</w:t>
      </w:r>
    </w:p>
    <w:p>
      <w:pPr>
        <w:pStyle w:val="6"/>
        <w:ind w:firstLine="480" w:firstLineChars="200"/>
        <w:rPr>
          <w:rFonts w:ascii="黑体" w:hAnsi="黑体" w:eastAsia="黑体"/>
          <w:b w:val="0"/>
          <w:bCs w:val="0"/>
          <w:sz w:val="24"/>
        </w:rPr>
      </w:pPr>
      <w:bookmarkStart w:id="133" w:name="_Toc300678046"/>
      <w:r>
        <w:rPr>
          <w:rFonts w:hint="eastAsia" w:ascii="黑体" w:hAnsi="黑体" w:eastAsia="黑体"/>
          <w:b w:val="0"/>
          <w:bCs w:val="0"/>
          <w:sz w:val="24"/>
        </w:rPr>
        <w:t>9.2 对投标人的纪律要求</w:t>
      </w:r>
      <w:bookmarkEnd w:id="133"/>
    </w:p>
    <w:p>
      <w:pPr>
        <w:pStyle w:val="52"/>
        <w:widowControl w:val="0"/>
        <w:spacing w:line="360" w:lineRule="auto"/>
        <w:ind w:firstLine="420" w:firstLineChars="200"/>
        <w:rPr>
          <w:rFonts w:ascii="宋体" w:hAnsi="宋体"/>
        </w:rPr>
      </w:pPr>
      <w:r>
        <w:rPr>
          <w:rFonts w:hint="eastAsia" w:ascii="宋体" w:hAnsi="宋体"/>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6"/>
        <w:ind w:firstLine="480" w:firstLineChars="200"/>
        <w:rPr>
          <w:rFonts w:ascii="黑体" w:hAnsi="黑体" w:eastAsia="黑体"/>
          <w:b w:val="0"/>
          <w:bCs w:val="0"/>
          <w:sz w:val="24"/>
        </w:rPr>
      </w:pPr>
      <w:bookmarkStart w:id="134" w:name="_Toc300678047"/>
      <w:r>
        <w:rPr>
          <w:rFonts w:hint="eastAsia" w:ascii="黑体" w:hAnsi="黑体" w:eastAsia="黑体"/>
          <w:b w:val="0"/>
          <w:bCs w:val="0"/>
          <w:sz w:val="24"/>
        </w:rPr>
        <w:t>9.3 对评标委员会成员的纪律要求</w:t>
      </w:r>
      <w:bookmarkEnd w:id="134"/>
    </w:p>
    <w:p>
      <w:pPr>
        <w:pStyle w:val="52"/>
        <w:widowControl w:val="0"/>
        <w:spacing w:line="360" w:lineRule="auto"/>
        <w:ind w:firstLine="420" w:firstLineChars="200"/>
        <w:rPr>
          <w:rFonts w:ascii="宋体" w:hAnsi="宋体"/>
        </w:rPr>
      </w:pPr>
      <w:r>
        <w:rPr>
          <w:rFonts w:hint="eastAsia" w:ascii="宋体" w:hAnsi="宋体"/>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6"/>
        <w:ind w:firstLine="480" w:firstLineChars="200"/>
        <w:rPr>
          <w:rFonts w:ascii="黑体" w:hAnsi="黑体" w:eastAsia="黑体"/>
          <w:b w:val="0"/>
          <w:bCs w:val="0"/>
          <w:sz w:val="24"/>
        </w:rPr>
      </w:pPr>
      <w:bookmarkStart w:id="135" w:name="_Toc300678048"/>
      <w:r>
        <w:rPr>
          <w:rFonts w:hint="eastAsia" w:ascii="黑体" w:hAnsi="黑体" w:eastAsia="黑体"/>
          <w:b w:val="0"/>
          <w:bCs w:val="0"/>
          <w:sz w:val="24"/>
        </w:rPr>
        <w:t>9.4 对与评标活动有关的工作人员的纪律要求</w:t>
      </w:r>
      <w:bookmarkEnd w:id="135"/>
    </w:p>
    <w:p>
      <w:pPr>
        <w:pStyle w:val="52"/>
        <w:widowControl w:val="0"/>
        <w:spacing w:line="360" w:lineRule="auto"/>
        <w:ind w:firstLine="420" w:firstLineChars="200"/>
        <w:rPr>
          <w:rFonts w:ascii="宋体" w:hAnsi="宋体"/>
        </w:rPr>
      </w:pPr>
      <w:r>
        <w:rPr>
          <w:rFonts w:hint="eastAsia" w:ascii="宋体" w:hAnsi="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6"/>
        <w:ind w:firstLine="480" w:firstLineChars="200"/>
        <w:rPr>
          <w:rFonts w:ascii="黑体" w:hAnsi="黑体" w:eastAsia="黑体"/>
          <w:b w:val="0"/>
          <w:bCs w:val="0"/>
          <w:sz w:val="24"/>
        </w:rPr>
      </w:pPr>
      <w:bookmarkStart w:id="136" w:name="_Toc300678049"/>
      <w:r>
        <w:rPr>
          <w:rFonts w:hint="eastAsia" w:ascii="黑体" w:hAnsi="黑体" w:eastAsia="黑体"/>
          <w:b w:val="0"/>
          <w:bCs w:val="0"/>
          <w:sz w:val="24"/>
        </w:rPr>
        <w:t>9.5 异议和投诉</w:t>
      </w:r>
      <w:bookmarkEnd w:id="136"/>
    </w:p>
    <w:p>
      <w:pPr>
        <w:pStyle w:val="52"/>
        <w:widowControl w:val="0"/>
        <w:adjustRightInd w:val="0"/>
        <w:snapToGrid w:val="0"/>
        <w:spacing w:line="360" w:lineRule="auto"/>
        <w:ind w:firstLine="420" w:firstLineChars="200"/>
        <w:jc w:val="left"/>
        <w:rPr>
          <w:rFonts w:ascii="宋体" w:hAnsi="宋体"/>
        </w:rPr>
      </w:pPr>
      <w:r>
        <w:rPr>
          <w:rFonts w:hint="eastAsia" w:ascii="宋体" w:hAnsi="宋体"/>
        </w:rPr>
        <w:t>9.5.1投标人或者其他利害关系人认为本次招标活动违反法律、法规和规章规定的，有权向有关行政监督部门投诉。</w:t>
      </w:r>
    </w:p>
    <w:p>
      <w:pPr>
        <w:pStyle w:val="52"/>
        <w:widowControl w:val="0"/>
        <w:adjustRightInd w:val="0"/>
        <w:snapToGrid w:val="0"/>
        <w:spacing w:line="360" w:lineRule="auto"/>
        <w:ind w:firstLine="420" w:firstLineChars="200"/>
        <w:rPr>
          <w:rFonts w:ascii="宋体" w:hAnsi="宋体"/>
        </w:rPr>
      </w:pPr>
      <w:r>
        <w:rPr>
          <w:rFonts w:hint="eastAsia" w:ascii="宋体" w:hAnsi="宋体"/>
        </w:rPr>
        <w:t>9.5.2投标人或者其他利害关系人认为招标投标活动不符合有关规定，应按下列规定先向招标人提出异议：</w:t>
      </w:r>
    </w:p>
    <w:p>
      <w:pPr>
        <w:pStyle w:val="52"/>
        <w:widowControl w:val="0"/>
        <w:adjustRightInd w:val="0"/>
        <w:snapToGrid w:val="0"/>
        <w:spacing w:line="360" w:lineRule="auto"/>
        <w:ind w:firstLine="420" w:firstLineChars="200"/>
        <w:rPr>
          <w:rFonts w:ascii="宋体" w:hAnsi="宋体"/>
        </w:rPr>
      </w:pPr>
      <w:r>
        <w:rPr>
          <w:rFonts w:hint="eastAsia" w:ascii="宋体" w:hAnsi="宋体"/>
        </w:rPr>
        <w:t>(1)认为招标文件内容违法或者不当的，应当在递交投标文件截止时间十日前以书面形式向招标人提出异议。招标人应当在收到异议后三日内作出答复，作出答复前，暂停招投标活动；</w:t>
      </w:r>
    </w:p>
    <w:p>
      <w:pPr>
        <w:pStyle w:val="52"/>
        <w:widowControl w:val="0"/>
        <w:adjustRightInd w:val="0"/>
        <w:snapToGrid w:val="0"/>
        <w:spacing w:line="360" w:lineRule="auto"/>
        <w:ind w:firstLine="420" w:firstLineChars="200"/>
        <w:rPr>
          <w:rFonts w:ascii="宋体" w:hAnsi="宋体" w:cs="宋体"/>
          <w:kern w:val="0"/>
        </w:rPr>
      </w:pPr>
      <w:r>
        <w:rPr>
          <w:rFonts w:hint="eastAsia" w:ascii="宋体" w:hAnsi="宋体"/>
        </w:rPr>
        <w:t>(2)认为开标活动违法</w:t>
      </w:r>
      <w:r>
        <w:rPr>
          <w:rFonts w:hint="eastAsia" w:ascii="宋体" w:hAnsi="宋体" w:cs="宋体"/>
          <w:kern w:val="0"/>
        </w:rPr>
        <w:t>或者不当的，应当在开标现场向招标人提出异议。招标人应当当场答复，并制作记录；</w:t>
      </w:r>
    </w:p>
    <w:p>
      <w:pPr>
        <w:pStyle w:val="52"/>
        <w:widowControl w:val="0"/>
        <w:adjustRightInd w:val="0"/>
        <w:snapToGrid w:val="0"/>
        <w:spacing w:line="360" w:lineRule="auto"/>
        <w:ind w:firstLine="420" w:firstLineChars="200"/>
        <w:rPr>
          <w:rFonts w:ascii="宋体" w:hAnsi="宋体"/>
        </w:rPr>
      </w:pPr>
      <w:r>
        <w:rPr>
          <w:rFonts w:hint="eastAsia" w:ascii="宋体" w:hAnsi="宋体"/>
        </w:rPr>
        <w:t>(</w:t>
      </w:r>
      <w:r>
        <w:rPr>
          <w:rFonts w:ascii="宋体" w:hAnsi="宋体"/>
        </w:rPr>
        <w:t>3</w:t>
      </w:r>
      <w:r>
        <w:rPr>
          <w:rFonts w:hint="eastAsia" w:ascii="宋体" w:hAnsi="宋体"/>
        </w:rPr>
        <w:t>)对评标结果有异议的，应当在中标候选人公示期以书面形式向招标人提出。招标人应当在收到异议后三日内作出答复，作出答复前，暂停招投标活动。</w:t>
      </w:r>
    </w:p>
    <w:p>
      <w:pPr>
        <w:pStyle w:val="52"/>
        <w:keepNext/>
        <w:keepLines/>
        <w:widowControl w:val="0"/>
        <w:adjustRightInd w:val="0"/>
        <w:snapToGrid w:val="0"/>
        <w:spacing w:line="360" w:lineRule="auto"/>
        <w:ind w:firstLine="420" w:firstLineChars="200"/>
        <w:rPr>
          <w:rFonts w:ascii="宋体" w:hAnsi="宋体" w:eastAsia="黑体"/>
          <w:b/>
          <w:bCs/>
          <w:sz w:val="28"/>
          <w:szCs w:val="28"/>
        </w:rPr>
      </w:pPr>
      <w:r>
        <w:rPr>
          <w:rFonts w:hint="eastAsia" w:ascii="宋体" w:hAnsi="宋体"/>
        </w:rPr>
        <w:t>招标人无正当理由不在规定时间内答复异议的，投标人或利害关系人可向行政监督部门投诉。在中标候选人</w:t>
      </w:r>
      <w:r>
        <w:rPr>
          <w:rFonts w:hint="eastAsia" w:ascii="宋体" w:hAnsi="宋体" w:cs="宋体"/>
          <w:kern w:val="0"/>
        </w:rPr>
        <w:t>公示期间提出异议的，公示期自异议答复后延续计算。</w:t>
      </w:r>
      <w:bookmarkStart w:id="137" w:name="_Toc300678050"/>
    </w:p>
    <w:p>
      <w:pPr>
        <w:pStyle w:val="4"/>
        <w:keepLines/>
        <w:widowControl w:val="0"/>
        <w:ind w:firstLine="560" w:firstLineChars="200"/>
        <w:jc w:val="left"/>
        <w:rPr>
          <w:rFonts w:ascii="黑体" w:hAnsi="宋体" w:eastAsia="黑体"/>
          <w:b w:val="0"/>
          <w:bCs w:val="0"/>
          <w:sz w:val="28"/>
          <w:szCs w:val="28"/>
        </w:rPr>
      </w:pPr>
    </w:p>
    <w:p>
      <w:pPr>
        <w:pStyle w:val="4"/>
        <w:keepLines/>
        <w:widowControl w:val="0"/>
        <w:ind w:firstLine="560" w:firstLineChars="200"/>
        <w:jc w:val="left"/>
        <w:rPr>
          <w:rFonts w:ascii="黑体" w:hAnsi="宋体" w:eastAsia="黑体"/>
          <w:b w:val="0"/>
          <w:bCs w:val="0"/>
          <w:sz w:val="28"/>
          <w:szCs w:val="28"/>
        </w:rPr>
      </w:pPr>
      <w:bookmarkStart w:id="138" w:name="_Toc14108"/>
      <w:bookmarkStart w:id="139" w:name="_Toc484015086"/>
      <w:bookmarkStart w:id="140" w:name="_Toc21326"/>
      <w:bookmarkStart w:id="141" w:name="_Toc486318718"/>
      <w:bookmarkStart w:id="142" w:name="_Toc26537"/>
      <w:bookmarkStart w:id="143" w:name="_Toc1699"/>
      <w:r>
        <w:rPr>
          <w:rFonts w:hint="eastAsia" w:ascii="黑体" w:hAnsi="宋体" w:eastAsia="黑体"/>
          <w:b w:val="0"/>
          <w:bCs w:val="0"/>
          <w:sz w:val="28"/>
          <w:szCs w:val="28"/>
        </w:rPr>
        <w:t>10.需要补充的其他内容</w:t>
      </w:r>
      <w:bookmarkEnd w:id="137"/>
      <w:bookmarkEnd w:id="138"/>
      <w:bookmarkEnd w:id="139"/>
      <w:bookmarkEnd w:id="140"/>
      <w:bookmarkEnd w:id="141"/>
      <w:bookmarkEnd w:id="142"/>
      <w:bookmarkEnd w:id="143"/>
    </w:p>
    <w:p>
      <w:pPr>
        <w:pStyle w:val="52"/>
        <w:widowControl w:val="0"/>
        <w:spacing w:line="360" w:lineRule="auto"/>
        <w:ind w:firstLine="420" w:firstLineChars="200"/>
      </w:pPr>
      <w:r>
        <w:rPr>
          <w:rFonts w:hint="eastAsia" w:ascii="宋体" w:hAnsi="宋体"/>
        </w:rPr>
        <w:t>需要补充的其他内容：见投标人须知前附表。</w:t>
      </w:r>
    </w:p>
    <w:p>
      <w:pPr>
        <w:spacing w:line="360" w:lineRule="auto"/>
        <w:ind w:firstLine="420" w:firstLineChars="200"/>
      </w:pPr>
    </w:p>
    <w:p>
      <w:pPr>
        <w:spacing w:line="400" w:lineRule="exact"/>
        <w:rPr>
          <w:sz w:val="24"/>
        </w:rPr>
      </w:pPr>
      <w:bookmarkStart w:id="144" w:name="_Toc300678051"/>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rStyle w:val="73"/>
          <w:rFonts w:ascii="黑体" w:hAnsi="黑体" w:eastAsia="黑体"/>
          <w:b w:val="0"/>
          <w:sz w:val="24"/>
        </w:rPr>
        <w:sectPr>
          <w:footerReference r:id="rId6" w:type="even"/>
          <w:pgSz w:w="11907" w:h="16840"/>
          <w:pgMar w:top="1304" w:right="1304" w:bottom="1304" w:left="1701" w:header="851" w:footer="992" w:gutter="0"/>
          <w:cols w:space="720" w:num="1"/>
          <w:docGrid w:linePitch="312" w:charSpace="0"/>
        </w:sectPr>
      </w:pPr>
    </w:p>
    <w:p>
      <w:pPr>
        <w:spacing w:line="400" w:lineRule="exact"/>
        <w:rPr>
          <w:rStyle w:val="73"/>
          <w:rFonts w:ascii="Times New Roman" w:hAnsi="Times New Roman"/>
          <w:b w:val="0"/>
          <w:bCs w:val="0"/>
          <w:sz w:val="24"/>
          <w:szCs w:val="24"/>
        </w:rPr>
      </w:pPr>
      <w:r>
        <w:rPr>
          <w:rStyle w:val="73"/>
          <w:rFonts w:hint="eastAsia" w:ascii="黑体" w:hAnsi="黑体" w:eastAsia="黑体"/>
          <w:b w:val="0"/>
          <w:sz w:val="24"/>
        </w:rPr>
        <w:t>附表2-1：开标记录表</w:t>
      </w:r>
    </w:p>
    <w:p>
      <w:pPr>
        <w:spacing w:beforeLines="100" w:afterLines="100" w:line="400" w:lineRule="exact"/>
        <w:jc w:val="center"/>
        <w:rPr>
          <w:rFonts w:ascii="黑体" w:eastAsia="黑体"/>
          <w:sz w:val="28"/>
          <w:szCs w:val="28"/>
        </w:rPr>
      </w:pPr>
      <w:r>
        <w:rPr>
          <w:rFonts w:hint="eastAsia" w:ascii="黑体" w:eastAsia="黑体"/>
          <w:sz w:val="28"/>
          <w:szCs w:val="28"/>
        </w:rPr>
        <w:t>（项目名称）标段施工开标记录表</w:t>
      </w:r>
    </w:p>
    <w:p>
      <w:pPr>
        <w:spacing w:line="360" w:lineRule="auto"/>
        <w:rPr>
          <w:rFonts w:ascii="宋体" w:hAnsi="宋体"/>
        </w:rPr>
      </w:pPr>
      <w:r>
        <w:rPr>
          <w:rFonts w:hint="eastAsia" w:ascii="宋体" w:hAnsi="宋体"/>
        </w:rPr>
        <w:t>开标时间：年月日时分</w:t>
      </w:r>
    </w:p>
    <w:p>
      <w:pPr>
        <w:spacing w:line="360" w:lineRule="auto"/>
        <w:rPr>
          <w:rFonts w:ascii="宋体" w:hAnsi="宋体"/>
        </w:rPr>
      </w:pPr>
      <w:r>
        <w:rPr>
          <w:rFonts w:hint="eastAsia" w:ascii="宋体" w:hAnsi="宋体"/>
        </w:rPr>
        <w:t>开标地点：</w:t>
      </w:r>
    </w:p>
    <w:p>
      <w:pPr>
        <w:spacing w:line="360" w:lineRule="auto"/>
        <w:rPr>
          <w:rFonts w:ascii="宋体" w:hAnsi="宋体"/>
        </w:rPr>
      </w:pPr>
      <w:r>
        <w:rPr>
          <w:rFonts w:hint="eastAsia" w:ascii="宋体" w:hAnsi="宋体"/>
        </w:rPr>
        <w:t>（一）开标记录</w:t>
      </w:r>
    </w:p>
    <w:bookmarkEnd w:id="144"/>
    <w:tbl>
      <w:tblPr>
        <w:tblStyle w:val="42"/>
        <w:tblW w:w="830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8"/>
        <w:gridCol w:w="900"/>
        <w:gridCol w:w="900"/>
        <w:gridCol w:w="1260"/>
        <w:gridCol w:w="900"/>
        <w:gridCol w:w="900"/>
        <w:gridCol w:w="900"/>
        <w:gridCol w:w="720"/>
        <w:gridCol w:w="12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568" w:type="dxa"/>
            <w:tcMar>
              <w:left w:w="28" w:type="dxa"/>
              <w:right w:w="28" w:type="dxa"/>
            </w:tcMar>
            <w:vAlign w:val="center"/>
          </w:tcPr>
          <w:p>
            <w:pPr>
              <w:jc w:val="center"/>
              <w:rPr>
                <w:rFonts w:ascii="宋体" w:hAnsi="宋体"/>
                <w:b/>
                <w:sz w:val="18"/>
              </w:rPr>
            </w:pPr>
            <w:r>
              <w:rPr>
                <w:rFonts w:hint="eastAsia" w:ascii="宋体" w:hAnsi="宋体"/>
                <w:b/>
                <w:sz w:val="18"/>
              </w:rPr>
              <w:t>序号</w:t>
            </w:r>
          </w:p>
        </w:tc>
        <w:tc>
          <w:tcPr>
            <w:tcW w:w="900" w:type="dxa"/>
            <w:tcMar>
              <w:left w:w="28" w:type="dxa"/>
              <w:right w:w="28" w:type="dxa"/>
            </w:tcMar>
            <w:vAlign w:val="center"/>
          </w:tcPr>
          <w:p>
            <w:pPr>
              <w:jc w:val="center"/>
              <w:rPr>
                <w:rFonts w:ascii="宋体" w:hAnsi="宋体"/>
                <w:b/>
                <w:sz w:val="18"/>
              </w:rPr>
            </w:pPr>
            <w:r>
              <w:rPr>
                <w:rFonts w:hint="eastAsia" w:ascii="宋体" w:hAnsi="宋体"/>
                <w:b/>
                <w:sz w:val="18"/>
              </w:rPr>
              <w:t>投标人</w:t>
            </w:r>
          </w:p>
        </w:tc>
        <w:tc>
          <w:tcPr>
            <w:tcW w:w="900" w:type="dxa"/>
            <w:tcMar>
              <w:left w:w="28" w:type="dxa"/>
              <w:right w:w="28" w:type="dxa"/>
            </w:tcMar>
            <w:vAlign w:val="center"/>
          </w:tcPr>
          <w:p>
            <w:pPr>
              <w:jc w:val="center"/>
              <w:rPr>
                <w:rFonts w:ascii="宋体" w:hAnsi="宋体"/>
                <w:b/>
                <w:sz w:val="18"/>
              </w:rPr>
            </w:pPr>
            <w:r>
              <w:rPr>
                <w:rFonts w:hint="eastAsia" w:ascii="宋体" w:hAnsi="宋体"/>
                <w:b/>
                <w:sz w:val="18"/>
              </w:rPr>
              <w:t>密封情况</w:t>
            </w:r>
          </w:p>
        </w:tc>
        <w:tc>
          <w:tcPr>
            <w:tcW w:w="1260" w:type="dxa"/>
            <w:tcMar>
              <w:left w:w="28" w:type="dxa"/>
              <w:right w:w="28" w:type="dxa"/>
            </w:tcMar>
            <w:vAlign w:val="center"/>
          </w:tcPr>
          <w:p>
            <w:pPr>
              <w:jc w:val="center"/>
              <w:rPr>
                <w:rFonts w:ascii="宋体" w:hAnsi="宋体"/>
                <w:b/>
                <w:sz w:val="18"/>
              </w:rPr>
            </w:pPr>
            <w:r>
              <w:rPr>
                <w:rFonts w:hint="eastAsia" w:ascii="宋体" w:hAnsi="宋体"/>
                <w:b/>
                <w:sz w:val="18"/>
              </w:rPr>
              <w:t>投标报价（元）</w:t>
            </w:r>
          </w:p>
        </w:tc>
        <w:tc>
          <w:tcPr>
            <w:tcW w:w="900" w:type="dxa"/>
            <w:tcMar>
              <w:left w:w="28" w:type="dxa"/>
              <w:right w:w="28" w:type="dxa"/>
            </w:tcMar>
            <w:vAlign w:val="center"/>
          </w:tcPr>
          <w:p>
            <w:pPr>
              <w:jc w:val="center"/>
              <w:rPr>
                <w:rFonts w:ascii="宋体" w:hAnsi="宋体"/>
                <w:b/>
                <w:sz w:val="18"/>
              </w:rPr>
            </w:pPr>
            <w:r>
              <w:rPr>
                <w:rFonts w:hint="eastAsia" w:ascii="宋体" w:hAnsi="宋体"/>
                <w:b/>
                <w:sz w:val="18"/>
              </w:rPr>
              <w:t>质量目标</w:t>
            </w:r>
          </w:p>
        </w:tc>
        <w:tc>
          <w:tcPr>
            <w:tcW w:w="900" w:type="dxa"/>
            <w:tcMar>
              <w:left w:w="28" w:type="dxa"/>
              <w:right w:w="28" w:type="dxa"/>
            </w:tcMar>
            <w:vAlign w:val="center"/>
          </w:tcPr>
          <w:p>
            <w:pPr>
              <w:jc w:val="center"/>
              <w:rPr>
                <w:rFonts w:ascii="宋体" w:hAnsi="宋体"/>
                <w:b/>
                <w:sz w:val="18"/>
              </w:rPr>
            </w:pPr>
            <w:r>
              <w:rPr>
                <w:rFonts w:hint="eastAsia" w:ascii="宋体" w:hAnsi="宋体"/>
                <w:b/>
                <w:sz w:val="18"/>
              </w:rPr>
              <w:t>工期</w:t>
            </w:r>
          </w:p>
        </w:tc>
        <w:tc>
          <w:tcPr>
            <w:tcW w:w="900" w:type="dxa"/>
            <w:tcMar>
              <w:left w:w="28" w:type="dxa"/>
              <w:right w:w="28" w:type="dxa"/>
            </w:tcMar>
            <w:vAlign w:val="center"/>
          </w:tcPr>
          <w:p>
            <w:pPr>
              <w:jc w:val="center"/>
              <w:rPr>
                <w:rFonts w:ascii="宋体" w:hAnsi="宋体"/>
                <w:b/>
                <w:sz w:val="18"/>
              </w:rPr>
            </w:pPr>
            <w:r>
              <w:rPr>
                <w:rFonts w:hint="eastAsia" w:ascii="宋体" w:hAnsi="宋体"/>
                <w:b/>
                <w:sz w:val="18"/>
              </w:rPr>
              <w:t>保修承诺</w:t>
            </w:r>
          </w:p>
        </w:tc>
        <w:tc>
          <w:tcPr>
            <w:tcW w:w="720" w:type="dxa"/>
            <w:tcMar>
              <w:left w:w="28" w:type="dxa"/>
              <w:right w:w="28" w:type="dxa"/>
            </w:tcMar>
            <w:vAlign w:val="center"/>
          </w:tcPr>
          <w:p>
            <w:pPr>
              <w:rPr>
                <w:rFonts w:ascii="宋体" w:hAnsi="宋体"/>
                <w:b/>
                <w:sz w:val="18"/>
              </w:rPr>
            </w:pPr>
            <w:r>
              <w:rPr>
                <w:rFonts w:hint="eastAsia" w:ascii="宋体" w:hAnsi="宋体"/>
                <w:b/>
                <w:sz w:val="18"/>
              </w:rPr>
              <w:t>投标保证金</w:t>
            </w:r>
          </w:p>
        </w:tc>
        <w:tc>
          <w:tcPr>
            <w:tcW w:w="1260" w:type="dxa"/>
            <w:vAlign w:val="center"/>
          </w:tcPr>
          <w:p>
            <w:pPr>
              <w:jc w:val="center"/>
              <w:rPr>
                <w:rFonts w:ascii="宋体" w:hAnsi="宋体"/>
                <w:b/>
                <w:sz w:val="18"/>
              </w:rPr>
            </w:pPr>
            <w:r>
              <w:rPr>
                <w:rFonts w:hint="eastAsia" w:ascii="宋体" w:hAnsi="宋体"/>
                <w:b/>
                <w:sz w:val="18"/>
              </w:rPr>
              <w:t>投标人委托代理人签名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568" w:type="dxa"/>
            <w:tcMar>
              <w:left w:w="28" w:type="dxa"/>
              <w:right w:w="28" w:type="dxa"/>
            </w:tcMar>
            <w:vAlign w:val="center"/>
          </w:tcPr>
          <w:p>
            <w:pPr>
              <w:jc w:val="center"/>
              <w:rPr>
                <w:rFonts w:ascii="宋体" w:hAnsi="宋体"/>
              </w:rPr>
            </w:pPr>
          </w:p>
        </w:tc>
        <w:tc>
          <w:tcPr>
            <w:tcW w:w="900" w:type="dxa"/>
            <w:tcMar>
              <w:left w:w="28" w:type="dxa"/>
              <w:right w:w="28" w:type="dxa"/>
            </w:tcMar>
            <w:vAlign w:val="center"/>
          </w:tcPr>
          <w:p>
            <w:pPr>
              <w:jc w:val="center"/>
              <w:rPr>
                <w:rFonts w:ascii="宋体" w:hAnsi="宋体"/>
              </w:rPr>
            </w:pPr>
          </w:p>
        </w:tc>
        <w:tc>
          <w:tcPr>
            <w:tcW w:w="900" w:type="dxa"/>
            <w:tcMar>
              <w:left w:w="28" w:type="dxa"/>
              <w:right w:w="28" w:type="dxa"/>
            </w:tcMar>
            <w:vAlign w:val="center"/>
          </w:tcPr>
          <w:p>
            <w:pPr>
              <w:jc w:val="center"/>
              <w:rPr>
                <w:rFonts w:ascii="宋体" w:hAnsi="宋体"/>
              </w:rPr>
            </w:pPr>
          </w:p>
        </w:tc>
        <w:tc>
          <w:tcPr>
            <w:tcW w:w="1260" w:type="dxa"/>
            <w:tcMar>
              <w:left w:w="28" w:type="dxa"/>
              <w:right w:w="28" w:type="dxa"/>
            </w:tcMar>
            <w:vAlign w:val="center"/>
          </w:tcPr>
          <w:p>
            <w:pPr>
              <w:jc w:val="center"/>
              <w:rPr>
                <w:rFonts w:ascii="宋体" w:hAnsi="宋体"/>
              </w:rPr>
            </w:pPr>
          </w:p>
        </w:tc>
        <w:tc>
          <w:tcPr>
            <w:tcW w:w="900" w:type="dxa"/>
            <w:tcMar>
              <w:left w:w="28" w:type="dxa"/>
              <w:right w:w="28" w:type="dxa"/>
            </w:tcMar>
            <w:vAlign w:val="center"/>
          </w:tcPr>
          <w:p>
            <w:pPr>
              <w:jc w:val="center"/>
              <w:rPr>
                <w:rFonts w:ascii="宋体" w:hAnsi="宋体"/>
              </w:rPr>
            </w:pPr>
          </w:p>
        </w:tc>
        <w:tc>
          <w:tcPr>
            <w:tcW w:w="900" w:type="dxa"/>
            <w:tcMar>
              <w:left w:w="28" w:type="dxa"/>
              <w:right w:w="28" w:type="dxa"/>
            </w:tcMar>
            <w:vAlign w:val="center"/>
          </w:tcPr>
          <w:p>
            <w:pPr>
              <w:jc w:val="center"/>
              <w:rPr>
                <w:rFonts w:ascii="宋体" w:hAnsi="宋体"/>
              </w:rPr>
            </w:pPr>
          </w:p>
        </w:tc>
        <w:tc>
          <w:tcPr>
            <w:tcW w:w="900" w:type="dxa"/>
            <w:tcMar>
              <w:left w:w="28" w:type="dxa"/>
              <w:right w:w="28" w:type="dxa"/>
            </w:tcMar>
            <w:vAlign w:val="center"/>
          </w:tcPr>
          <w:p>
            <w:pPr>
              <w:jc w:val="center"/>
              <w:rPr>
                <w:rFonts w:ascii="宋体" w:hAnsi="宋体"/>
              </w:rPr>
            </w:pPr>
          </w:p>
        </w:tc>
        <w:tc>
          <w:tcPr>
            <w:tcW w:w="720" w:type="dxa"/>
            <w:tcMar>
              <w:left w:w="28" w:type="dxa"/>
              <w:right w:w="28" w:type="dxa"/>
            </w:tcMar>
            <w:vAlign w:val="center"/>
          </w:tcPr>
          <w:p>
            <w:pPr>
              <w:jc w:val="center"/>
              <w:rPr>
                <w:rFonts w:ascii="宋体" w:hAnsi="宋体"/>
              </w:rPr>
            </w:pPr>
          </w:p>
        </w:tc>
        <w:tc>
          <w:tcPr>
            <w:tcW w:w="1260"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568"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126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900" w:type="dxa"/>
            <w:tcMar>
              <w:left w:w="28" w:type="dxa"/>
              <w:right w:w="28" w:type="dxa"/>
            </w:tcMar>
            <w:vAlign w:val="center"/>
          </w:tcPr>
          <w:p>
            <w:pPr>
              <w:spacing w:line="400" w:lineRule="exact"/>
              <w:jc w:val="center"/>
              <w:rPr>
                <w:rFonts w:ascii="宋体" w:hAnsi="宋体"/>
              </w:rPr>
            </w:pPr>
          </w:p>
        </w:tc>
        <w:tc>
          <w:tcPr>
            <w:tcW w:w="720" w:type="dxa"/>
            <w:tcMar>
              <w:left w:w="28" w:type="dxa"/>
              <w:right w:w="28" w:type="dxa"/>
            </w:tcMar>
            <w:vAlign w:val="center"/>
          </w:tcPr>
          <w:p>
            <w:pPr>
              <w:spacing w:line="400" w:lineRule="exact"/>
              <w:jc w:val="center"/>
              <w:rPr>
                <w:rFonts w:ascii="宋体" w:hAnsi="宋体"/>
              </w:rPr>
            </w:pPr>
          </w:p>
        </w:tc>
        <w:tc>
          <w:tcPr>
            <w:tcW w:w="1260" w:type="dxa"/>
            <w:vAlign w:val="center"/>
          </w:tcPr>
          <w:p>
            <w:pPr>
              <w:spacing w:line="400" w:lineRule="exact"/>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3628" w:type="dxa"/>
            <w:gridSpan w:val="4"/>
            <w:tcMar>
              <w:left w:w="28" w:type="dxa"/>
              <w:right w:w="28" w:type="dxa"/>
            </w:tcMar>
            <w:vAlign w:val="center"/>
          </w:tcPr>
          <w:p>
            <w:pPr>
              <w:spacing w:line="400" w:lineRule="exact"/>
              <w:jc w:val="left"/>
              <w:rPr>
                <w:rFonts w:ascii="宋体" w:hAnsi="宋体"/>
                <w:sz w:val="18"/>
              </w:rPr>
            </w:pPr>
            <w:r>
              <w:rPr>
                <w:rFonts w:hint="eastAsia" w:ascii="宋体" w:hAnsi="宋体"/>
                <w:sz w:val="18"/>
              </w:rPr>
              <w:t>招标人编制的标底（如有的话）</w:t>
            </w:r>
          </w:p>
        </w:tc>
        <w:tc>
          <w:tcPr>
            <w:tcW w:w="4680" w:type="dxa"/>
            <w:gridSpan w:val="5"/>
            <w:tcMar>
              <w:left w:w="28" w:type="dxa"/>
              <w:right w:w="28" w:type="dxa"/>
            </w:tcMar>
          </w:tcPr>
          <w:p>
            <w:pPr>
              <w:spacing w:line="400" w:lineRule="exact"/>
              <w:jc w:val="left"/>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3628" w:type="dxa"/>
            <w:gridSpan w:val="4"/>
            <w:tcMar>
              <w:left w:w="28" w:type="dxa"/>
              <w:right w:w="28" w:type="dxa"/>
            </w:tcMar>
            <w:vAlign w:val="center"/>
          </w:tcPr>
          <w:p>
            <w:pPr>
              <w:spacing w:line="400" w:lineRule="exact"/>
              <w:jc w:val="left"/>
              <w:rPr>
                <w:rFonts w:ascii="宋体" w:hAnsi="宋体"/>
                <w:sz w:val="18"/>
              </w:rPr>
            </w:pPr>
            <w:r>
              <w:rPr>
                <w:rFonts w:hint="eastAsia" w:ascii="宋体" w:hAnsi="宋体"/>
                <w:sz w:val="18"/>
              </w:rPr>
              <w:t>现场随机抽取的下浮点β值（如有的话）</w:t>
            </w:r>
          </w:p>
        </w:tc>
        <w:tc>
          <w:tcPr>
            <w:tcW w:w="4680" w:type="dxa"/>
            <w:gridSpan w:val="5"/>
            <w:tcMar>
              <w:left w:w="28" w:type="dxa"/>
              <w:right w:w="28" w:type="dxa"/>
            </w:tcMar>
            <w:vAlign w:val="center"/>
          </w:tcPr>
          <w:p>
            <w:pPr>
              <w:spacing w:line="400" w:lineRule="exact"/>
              <w:jc w:val="center"/>
              <w:rPr>
                <w:rFonts w:ascii="宋体" w:hAnsi="宋体"/>
              </w:rPr>
            </w:pPr>
          </w:p>
        </w:tc>
      </w:tr>
    </w:tbl>
    <w:p>
      <w:pPr>
        <w:spacing w:line="360" w:lineRule="auto"/>
        <w:rPr>
          <w:rFonts w:ascii="宋体" w:hAnsi="宋体"/>
        </w:rPr>
      </w:pPr>
      <w:r>
        <w:rPr>
          <w:rFonts w:hint="eastAsia" w:ascii="宋体" w:hAnsi="宋体"/>
        </w:rPr>
        <w:t>（二）开标过程中的其他事项记录</w:t>
      </w:r>
    </w:p>
    <w:p>
      <w:pPr>
        <w:spacing w:line="360" w:lineRule="auto"/>
        <w:rPr>
          <w:rFonts w:ascii="宋体" w:hAnsi="宋体"/>
          <w:u w:val="single"/>
        </w:rPr>
      </w:pPr>
    </w:p>
    <w:p>
      <w:pPr>
        <w:spacing w:line="360" w:lineRule="auto"/>
        <w:rPr>
          <w:rFonts w:ascii="宋体" w:hAnsi="宋体"/>
          <w:u w:val="single"/>
        </w:rPr>
      </w:pPr>
    </w:p>
    <w:p>
      <w:pPr>
        <w:spacing w:line="360" w:lineRule="auto"/>
        <w:rPr>
          <w:rFonts w:ascii="宋体" w:hAnsi="宋体"/>
          <w:u w:val="single"/>
        </w:rPr>
      </w:pPr>
    </w:p>
    <w:p>
      <w:pPr>
        <w:spacing w:line="360" w:lineRule="auto"/>
        <w:rPr>
          <w:rFonts w:ascii="宋体" w:hAnsi="宋体"/>
          <w:u w:val="single"/>
        </w:rPr>
      </w:pPr>
    </w:p>
    <w:p>
      <w:pPr>
        <w:spacing w:line="360" w:lineRule="auto"/>
        <w:rPr>
          <w:rFonts w:ascii="宋体" w:hAnsi="宋体"/>
          <w:u w:val="single"/>
        </w:rPr>
      </w:pPr>
    </w:p>
    <w:p>
      <w:pPr>
        <w:spacing w:line="360" w:lineRule="auto"/>
        <w:rPr>
          <w:rFonts w:ascii="宋体" w:hAnsi="宋体"/>
        </w:rPr>
      </w:pPr>
      <w:r>
        <w:rPr>
          <w:rFonts w:hint="eastAsia" w:ascii="宋体" w:hAnsi="宋体"/>
        </w:rPr>
        <w:t xml:space="preserve"> （三）出席开标会的单位和人员（附签到表）</w:t>
      </w:r>
    </w:p>
    <w:p>
      <w:pPr>
        <w:spacing w:line="400" w:lineRule="exact"/>
        <w:rPr>
          <w:rFonts w:ascii="宋体" w:hAnsi="宋体"/>
        </w:rPr>
      </w:pPr>
    </w:p>
    <w:p>
      <w:pPr>
        <w:spacing w:line="400" w:lineRule="exact"/>
      </w:pPr>
    </w:p>
    <w:p>
      <w:pPr>
        <w:spacing w:line="400" w:lineRule="exact"/>
      </w:pPr>
    </w:p>
    <w:p>
      <w:pPr>
        <w:spacing w:line="400" w:lineRule="exact"/>
        <w:rPr>
          <w:rFonts w:ascii="宋体" w:hAnsi="宋体"/>
          <w:u w:val="single"/>
        </w:rPr>
      </w:pPr>
      <w:r>
        <w:rPr>
          <w:rFonts w:hint="eastAsia" w:ascii="宋体" w:hAnsi="宋体"/>
        </w:rPr>
        <w:t>招标人：记录人：监督人员：</w:t>
      </w:r>
    </w:p>
    <w:p>
      <w:pPr>
        <w:spacing w:line="400" w:lineRule="exact"/>
        <w:rPr>
          <w:rFonts w:ascii="宋体" w:hAnsi="宋体"/>
        </w:rPr>
      </w:pPr>
    </w:p>
    <w:p>
      <w:pPr>
        <w:spacing w:line="400" w:lineRule="exact"/>
        <w:ind w:firstLine="3780" w:firstLineChars="1800"/>
        <w:rPr>
          <w:rFonts w:ascii="宋体" w:hAnsi="宋体"/>
        </w:rPr>
      </w:pPr>
      <w:r>
        <w:rPr>
          <w:rFonts w:hint="eastAsia" w:ascii="宋体" w:hAnsi="宋体"/>
        </w:rPr>
        <w:t>年月日</w:t>
      </w:r>
    </w:p>
    <w:p>
      <w:pPr>
        <w:spacing w:line="400" w:lineRule="exact"/>
        <w:rPr>
          <w:rFonts w:ascii="宋体" w:hAnsi="宋体"/>
        </w:rPr>
      </w:pPr>
    </w:p>
    <w:p>
      <w:pPr>
        <w:spacing w:line="400" w:lineRule="exact"/>
        <w:rPr>
          <w:rFonts w:ascii="宋体" w:hAnsi="宋体"/>
        </w:rPr>
      </w:pPr>
    </w:p>
    <w:p>
      <w:pPr>
        <w:spacing w:line="400" w:lineRule="exact"/>
        <w:rPr>
          <w:rStyle w:val="73"/>
          <w:rFonts w:ascii="黑体" w:hAnsi="黑体" w:eastAsia="黑体"/>
          <w:b w:val="0"/>
          <w:sz w:val="24"/>
        </w:rPr>
      </w:pPr>
      <w:bookmarkStart w:id="145" w:name="_Toc300678052"/>
    </w:p>
    <w:p>
      <w:pPr>
        <w:spacing w:line="400" w:lineRule="exact"/>
        <w:rPr>
          <w:rStyle w:val="73"/>
          <w:rFonts w:ascii="黑体" w:hAnsi="黑体" w:eastAsia="黑体"/>
          <w:b w:val="0"/>
          <w:sz w:val="24"/>
        </w:rPr>
      </w:pPr>
      <w:r>
        <w:rPr>
          <w:rStyle w:val="73"/>
          <w:rFonts w:hint="eastAsia" w:ascii="黑体" w:hAnsi="黑体" w:eastAsia="黑体"/>
          <w:b w:val="0"/>
          <w:sz w:val="24"/>
        </w:rPr>
        <w:t>附表2-2：投标文件递交时间和密封及标识检查记录表</w:t>
      </w:r>
    </w:p>
    <w:p>
      <w:pPr>
        <w:spacing w:beforeLines="100" w:afterLines="100" w:line="400" w:lineRule="exact"/>
        <w:jc w:val="center"/>
        <w:rPr>
          <w:rFonts w:ascii="黑体" w:eastAsia="黑体"/>
          <w:sz w:val="28"/>
          <w:szCs w:val="28"/>
        </w:rPr>
      </w:pPr>
      <w:r>
        <w:rPr>
          <w:rFonts w:hint="eastAsia" w:ascii="黑体" w:eastAsia="黑体"/>
          <w:sz w:val="28"/>
          <w:szCs w:val="28"/>
        </w:rPr>
        <w:t>（项目名称）标段施工投标文件</w:t>
      </w:r>
    </w:p>
    <w:p>
      <w:pPr>
        <w:spacing w:beforeLines="100" w:afterLines="100" w:line="400" w:lineRule="exact"/>
        <w:jc w:val="center"/>
        <w:rPr>
          <w:rFonts w:ascii="黑体" w:eastAsia="黑体"/>
          <w:sz w:val="28"/>
          <w:szCs w:val="28"/>
        </w:rPr>
      </w:pPr>
      <w:r>
        <w:rPr>
          <w:rFonts w:hint="eastAsia" w:ascii="黑体" w:eastAsia="黑体"/>
          <w:sz w:val="28"/>
          <w:szCs w:val="28"/>
        </w:rPr>
        <w:t>递交时间和密封及标识检查记录表</w:t>
      </w:r>
    </w:p>
    <w:p>
      <w:pPr>
        <w:snapToGrid w:val="0"/>
        <w:spacing w:afterLines="50"/>
        <w:rPr>
          <w:rFonts w:ascii="宋体" w:hAnsi="宋体"/>
          <w:szCs w:val="21"/>
          <w:u w:val="single"/>
        </w:rPr>
      </w:pPr>
      <w:r>
        <w:rPr>
          <w:rFonts w:hint="eastAsia" w:ascii="宋体" w:hAnsi="宋体"/>
          <w:szCs w:val="21"/>
        </w:rPr>
        <w:t>招 标 人：</w:t>
      </w:r>
    </w:p>
    <w:tbl>
      <w:tblPr>
        <w:tblStyle w:val="42"/>
        <w:tblW w:w="927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8"/>
        <w:gridCol w:w="766"/>
        <w:gridCol w:w="1684"/>
        <w:gridCol w:w="2496"/>
        <w:gridCol w:w="2890"/>
        <w:gridCol w:w="9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spacing w:line="312" w:lineRule="auto"/>
              <w:jc w:val="center"/>
              <w:rPr>
                <w:rFonts w:ascii="宋体" w:hAnsi="宋体"/>
                <w:b/>
                <w:sz w:val="18"/>
              </w:rPr>
            </w:pPr>
            <w:r>
              <w:rPr>
                <w:rFonts w:hint="eastAsia" w:ascii="宋体" w:hAnsi="宋体"/>
                <w:b/>
                <w:sz w:val="18"/>
              </w:rPr>
              <w:t>序号</w:t>
            </w:r>
          </w:p>
        </w:tc>
        <w:tc>
          <w:tcPr>
            <w:tcW w:w="766" w:type="dxa"/>
            <w:tcMar>
              <w:left w:w="28" w:type="dxa"/>
              <w:right w:w="28" w:type="dxa"/>
            </w:tcMar>
            <w:vAlign w:val="center"/>
          </w:tcPr>
          <w:p>
            <w:pPr>
              <w:spacing w:line="312" w:lineRule="auto"/>
              <w:jc w:val="center"/>
              <w:rPr>
                <w:rFonts w:ascii="宋体" w:hAnsi="宋体"/>
                <w:b/>
                <w:sz w:val="18"/>
              </w:rPr>
            </w:pPr>
            <w:r>
              <w:rPr>
                <w:rFonts w:hint="eastAsia" w:ascii="宋体" w:hAnsi="宋体"/>
                <w:b/>
                <w:sz w:val="18"/>
              </w:rPr>
              <w:t>投标人</w:t>
            </w:r>
          </w:p>
        </w:tc>
        <w:tc>
          <w:tcPr>
            <w:tcW w:w="1684" w:type="dxa"/>
            <w:tcMar>
              <w:left w:w="28" w:type="dxa"/>
              <w:right w:w="28" w:type="dxa"/>
            </w:tcMar>
            <w:vAlign w:val="center"/>
          </w:tcPr>
          <w:p>
            <w:pPr>
              <w:spacing w:line="312" w:lineRule="auto"/>
              <w:jc w:val="center"/>
              <w:rPr>
                <w:rFonts w:ascii="宋体" w:hAnsi="宋体"/>
                <w:b/>
                <w:sz w:val="18"/>
              </w:rPr>
            </w:pPr>
            <w:r>
              <w:rPr>
                <w:rFonts w:hint="eastAsia" w:ascii="宋体" w:hAnsi="宋体"/>
                <w:b/>
                <w:sz w:val="18"/>
              </w:rPr>
              <w:t>投标文件递交时间</w:t>
            </w:r>
          </w:p>
        </w:tc>
        <w:tc>
          <w:tcPr>
            <w:tcW w:w="2496" w:type="dxa"/>
            <w:tcMar>
              <w:left w:w="28" w:type="dxa"/>
              <w:right w:w="28" w:type="dxa"/>
            </w:tcMar>
            <w:vAlign w:val="center"/>
          </w:tcPr>
          <w:p>
            <w:pPr>
              <w:spacing w:line="312" w:lineRule="auto"/>
              <w:jc w:val="center"/>
              <w:rPr>
                <w:rFonts w:ascii="宋体" w:hAnsi="宋体"/>
                <w:b/>
                <w:sz w:val="18"/>
              </w:rPr>
            </w:pPr>
            <w:r>
              <w:rPr>
                <w:rFonts w:hint="eastAsia" w:ascii="宋体" w:hAnsi="宋体"/>
                <w:b/>
                <w:sz w:val="18"/>
              </w:rPr>
              <w:t>投标文件密封情况</w:t>
            </w:r>
          </w:p>
        </w:tc>
        <w:tc>
          <w:tcPr>
            <w:tcW w:w="2890" w:type="dxa"/>
            <w:tcMar>
              <w:left w:w="28" w:type="dxa"/>
              <w:right w:w="28" w:type="dxa"/>
            </w:tcMar>
            <w:vAlign w:val="center"/>
          </w:tcPr>
          <w:p>
            <w:pPr>
              <w:spacing w:line="312" w:lineRule="auto"/>
              <w:jc w:val="center"/>
              <w:rPr>
                <w:rFonts w:ascii="宋体" w:hAnsi="宋体"/>
                <w:b/>
                <w:sz w:val="18"/>
              </w:rPr>
            </w:pPr>
            <w:r>
              <w:rPr>
                <w:rFonts w:hint="eastAsia" w:ascii="宋体" w:hAnsi="宋体"/>
                <w:b/>
                <w:sz w:val="18"/>
              </w:rPr>
              <w:t>投标文件标识情况</w:t>
            </w:r>
          </w:p>
        </w:tc>
        <w:tc>
          <w:tcPr>
            <w:tcW w:w="900" w:type="dxa"/>
            <w:vAlign w:val="center"/>
          </w:tcPr>
          <w:p>
            <w:pPr>
              <w:spacing w:line="312" w:lineRule="auto"/>
              <w:jc w:val="center"/>
              <w:rPr>
                <w:rFonts w:ascii="宋体" w:hAnsi="宋体"/>
                <w:b/>
                <w:sz w:val="18"/>
              </w:rPr>
            </w:pPr>
            <w:r>
              <w:rPr>
                <w:rFonts w:hint="eastAsia" w:ascii="宋体" w:hAnsi="宋体"/>
                <w:b/>
                <w:sz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538" w:type="dxa"/>
            <w:tcMar>
              <w:left w:w="28" w:type="dxa"/>
              <w:right w:w="28" w:type="dxa"/>
            </w:tcMar>
            <w:vAlign w:val="center"/>
          </w:tcPr>
          <w:p>
            <w:pPr>
              <w:jc w:val="center"/>
              <w:rPr>
                <w:rFonts w:ascii="宋体" w:hAnsi="宋体"/>
                <w:sz w:val="18"/>
              </w:rPr>
            </w:pPr>
          </w:p>
        </w:tc>
        <w:tc>
          <w:tcPr>
            <w:tcW w:w="766" w:type="dxa"/>
            <w:tcMar>
              <w:left w:w="28" w:type="dxa"/>
              <w:right w:w="28" w:type="dxa"/>
            </w:tcMar>
            <w:vAlign w:val="center"/>
          </w:tcPr>
          <w:p>
            <w:pPr>
              <w:jc w:val="center"/>
              <w:rPr>
                <w:rFonts w:ascii="宋体" w:hAnsi="宋体"/>
                <w:sz w:val="18"/>
              </w:rPr>
            </w:pPr>
          </w:p>
        </w:tc>
        <w:tc>
          <w:tcPr>
            <w:tcW w:w="1684" w:type="dxa"/>
            <w:tcMar>
              <w:left w:w="28" w:type="dxa"/>
              <w:right w:w="28" w:type="dxa"/>
            </w:tcMar>
            <w:vAlign w:val="center"/>
          </w:tcPr>
          <w:p>
            <w:pPr>
              <w:jc w:val="center"/>
              <w:rPr>
                <w:rFonts w:ascii="宋体" w:hAnsi="宋体"/>
                <w:sz w:val="18"/>
                <w:szCs w:val="18"/>
                <w:u w:val="single"/>
              </w:rPr>
            </w:pPr>
            <w:r>
              <w:rPr>
                <w:rFonts w:hint="eastAsia" w:ascii="宋体" w:hAnsi="宋体"/>
                <w:sz w:val="18"/>
                <w:szCs w:val="18"/>
              </w:rPr>
              <w:t>年月</w:t>
            </w:r>
          </w:p>
          <w:p>
            <w:pPr>
              <w:jc w:val="center"/>
              <w:rPr>
                <w:rFonts w:ascii="宋体" w:hAnsi="宋体"/>
                <w:sz w:val="18"/>
                <w:szCs w:val="18"/>
              </w:rPr>
            </w:pPr>
            <w:r>
              <w:rPr>
                <w:rFonts w:hint="eastAsia" w:ascii="宋体" w:hAnsi="宋体"/>
                <w:sz w:val="18"/>
                <w:szCs w:val="18"/>
              </w:rPr>
              <w:t>日时分</w:t>
            </w:r>
          </w:p>
        </w:tc>
        <w:tc>
          <w:tcPr>
            <w:tcW w:w="2496"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密封完好，符合招标文件规定</w:t>
            </w:r>
          </w:p>
          <w:p>
            <w:pPr>
              <w:jc w:val="center"/>
              <w:rPr>
                <w:rFonts w:ascii="宋体" w:hAnsi="宋体"/>
                <w:sz w:val="18"/>
              </w:rPr>
            </w:pPr>
            <w:r>
              <w:rPr>
                <w:rFonts w:hint="eastAsia" w:ascii="宋体" w:hAnsi="宋体"/>
                <w:sz w:val="18"/>
              </w:rPr>
              <w:t>□未</w:t>
            </w:r>
            <w:r>
              <w:rPr>
                <w:rFonts w:hint="eastAsia" w:ascii="宋体" w:hAnsi="宋体"/>
                <w:sz w:val="18"/>
                <w:szCs w:val="18"/>
              </w:rPr>
              <w:t>密封或密封不符合招标文件规定</w:t>
            </w:r>
          </w:p>
        </w:tc>
        <w:tc>
          <w:tcPr>
            <w:tcW w:w="2890" w:type="dxa"/>
            <w:tcMar>
              <w:left w:w="28" w:type="dxa"/>
              <w:right w:w="28" w:type="dxa"/>
            </w:tcMar>
            <w:vAlign w:val="center"/>
          </w:tcPr>
          <w:p>
            <w:pPr>
              <w:jc w:val="center"/>
              <w:rPr>
                <w:rFonts w:ascii="宋体" w:hAnsi="宋体"/>
                <w:sz w:val="18"/>
                <w:szCs w:val="18"/>
              </w:rPr>
            </w:pPr>
            <w:r>
              <w:rPr>
                <w:rFonts w:hint="eastAsia" w:ascii="宋体" w:hAnsi="宋体"/>
                <w:sz w:val="18"/>
              </w:rPr>
              <w:t>□</w:t>
            </w:r>
            <w:r>
              <w:rPr>
                <w:rFonts w:hint="eastAsia" w:ascii="宋体" w:hAnsi="宋体"/>
                <w:sz w:val="18"/>
                <w:szCs w:val="18"/>
              </w:rPr>
              <w:t>标识完整，符合招标文件规定</w:t>
            </w:r>
          </w:p>
          <w:p>
            <w:pPr>
              <w:jc w:val="center"/>
              <w:rPr>
                <w:rFonts w:ascii="宋体" w:hAnsi="宋体"/>
                <w:sz w:val="18"/>
              </w:rPr>
            </w:pPr>
            <w:r>
              <w:rPr>
                <w:rFonts w:hint="eastAsia" w:ascii="宋体" w:hAnsi="宋体"/>
                <w:sz w:val="18"/>
              </w:rPr>
              <w:t>□</w:t>
            </w:r>
            <w:r>
              <w:rPr>
                <w:rFonts w:hint="eastAsia" w:ascii="宋体" w:hAnsi="宋体"/>
                <w:sz w:val="18"/>
                <w:szCs w:val="18"/>
              </w:rPr>
              <w:t>未标识或标识不符合招标文件规定</w:t>
            </w:r>
          </w:p>
        </w:tc>
        <w:tc>
          <w:tcPr>
            <w:tcW w:w="900" w:type="dxa"/>
            <w:vAlign w:val="center"/>
          </w:tcPr>
          <w:p>
            <w:pPr>
              <w:spacing w:line="312" w:lineRule="auto"/>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96" w:hRule="atLeast"/>
          <w:jc w:val="center"/>
        </w:trPr>
        <w:tc>
          <w:tcPr>
            <w:tcW w:w="9274" w:type="dxa"/>
            <w:gridSpan w:val="6"/>
            <w:tcMar>
              <w:left w:w="28" w:type="dxa"/>
              <w:right w:w="28" w:type="dxa"/>
            </w:tcMar>
          </w:tcPr>
          <w:p>
            <w:pPr>
              <w:spacing w:line="312" w:lineRule="auto"/>
              <w:rPr>
                <w:rFonts w:ascii="宋体" w:hAnsi="宋体"/>
                <w:sz w:val="18"/>
              </w:rPr>
            </w:pPr>
            <w:r>
              <w:rPr>
                <w:rFonts w:hint="eastAsia" w:ascii="宋体" w:hAnsi="宋体"/>
                <w:sz w:val="18"/>
              </w:rPr>
              <w:t>如对以上投标人递交的投标文件的密封及标识情况记录无异议，请投标人委托代理人或法定代表人签字确认：</w:t>
            </w: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r>
              <w:rPr>
                <w:rFonts w:hint="eastAsia" w:ascii="宋体" w:hAnsi="宋体"/>
                <w:sz w:val="18"/>
              </w:rPr>
              <w:t>如对以上投标人递交的投标文件的密封及标识情况记录有异议，请投标人委托代理人或者法定代表人提出，并说明理由：</w:t>
            </w: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p>
            <w:pPr>
              <w:spacing w:line="312" w:lineRule="auto"/>
              <w:rPr>
                <w:rFonts w:ascii="宋体" w:hAnsi="宋体"/>
                <w:sz w:val="18"/>
              </w:rPr>
            </w:pPr>
          </w:p>
        </w:tc>
      </w:tr>
    </w:tbl>
    <w:p>
      <w:pPr>
        <w:spacing w:line="400" w:lineRule="exact"/>
      </w:pPr>
    </w:p>
    <w:p>
      <w:pPr>
        <w:spacing w:line="400" w:lineRule="exact"/>
        <w:rPr>
          <w:rFonts w:ascii="宋体" w:hAnsi="宋体"/>
          <w:u w:val="single"/>
        </w:rPr>
      </w:pPr>
      <w:r>
        <w:rPr>
          <w:rFonts w:hint="eastAsia" w:ascii="宋体" w:hAnsi="宋体"/>
        </w:rPr>
        <w:t xml:space="preserve">      招标人：记录人：监督人员：</w:t>
      </w:r>
    </w:p>
    <w:p>
      <w:pPr>
        <w:spacing w:line="400" w:lineRule="exact"/>
        <w:rPr>
          <w:rFonts w:ascii="宋体" w:hAnsi="宋体"/>
        </w:rPr>
      </w:pPr>
    </w:p>
    <w:p>
      <w:pPr>
        <w:spacing w:line="400" w:lineRule="exact"/>
        <w:ind w:firstLine="3780" w:firstLineChars="1800"/>
        <w:rPr>
          <w:rFonts w:ascii="宋体" w:hAnsi="宋体"/>
        </w:rPr>
      </w:pPr>
      <w:r>
        <w:rPr>
          <w:rFonts w:hint="eastAsia" w:ascii="宋体" w:hAnsi="宋体"/>
        </w:rPr>
        <w:t>年月日</w:t>
      </w:r>
    </w:p>
    <w:p>
      <w:pPr>
        <w:spacing w:line="400" w:lineRule="exact"/>
        <w:rPr>
          <w:rFonts w:ascii="宋体" w:hAnsi="宋体"/>
        </w:rPr>
      </w:pPr>
    </w:p>
    <w:p>
      <w:pPr>
        <w:spacing w:line="400" w:lineRule="exact"/>
        <w:rPr>
          <w:rFonts w:ascii="宋体" w:hAnsi="宋体"/>
        </w:rPr>
      </w:pPr>
    </w:p>
    <w:p>
      <w:pPr>
        <w:spacing w:line="400" w:lineRule="exact"/>
        <w:rPr>
          <w:rFonts w:ascii="黑体" w:eastAsia="黑体"/>
          <w:sz w:val="24"/>
        </w:rPr>
      </w:pPr>
    </w:p>
    <w:p>
      <w:pPr>
        <w:spacing w:line="400" w:lineRule="exact"/>
        <w:rPr>
          <w:rStyle w:val="73"/>
          <w:rFonts w:ascii="黑体" w:hAnsi="黑体" w:eastAsia="黑体"/>
          <w:b w:val="0"/>
          <w:sz w:val="24"/>
        </w:rPr>
      </w:pPr>
      <w:r>
        <w:rPr>
          <w:rStyle w:val="73"/>
          <w:rFonts w:hint="eastAsia" w:ascii="黑体" w:hAnsi="黑体" w:eastAsia="黑体"/>
          <w:b w:val="0"/>
          <w:sz w:val="24"/>
        </w:rPr>
        <w:t>附表2-3：投标人身份证明验证表</w:t>
      </w:r>
    </w:p>
    <w:p>
      <w:pPr>
        <w:spacing w:beforeLines="100" w:afterLines="100" w:line="400" w:lineRule="exact"/>
        <w:jc w:val="center"/>
        <w:rPr>
          <w:rFonts w:ascii="黑体" w:eastAsia="黑体"/>
          <w:sz w:val="28"/>
          <w:szCs w:val="28"/>
        </w:rPr>
      </w:pPr>
      <w:r>
        <w:rPr>
          <w:rFonts w:hint="eastAsia" w:ascii="黑体" w:eastAsia="黑体"/>
          <w:sz w:val="28"/>
          <w:szCs w:val="28"/>
        </w:rPr>
        <w:t>（项目名称）标段施工投标人</w:t>
      </w:r>
      <w:r>
        <w:rPr>
          <w:rFonts w:hint="eastAsia" w:ascii="黑体" w:hAnsi="宋体" w:eastAsia="黑体"/>
          <w:sz w:val="28"/>
          <w:szCs w:val="28"/>
        </w:rPr>
        <w:t>身份证明验证表</w:t>
      </w:r>
    </w:p>
    <w:tbl>
      <w:tblPr>
        <w:tblStyle w:val="42"/>
        <w:tblW w:w="888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939"/>
        <w:gridCol w:w="2023"/>
        <w:gridCol w:w="1661"/>
        <w:gridCol w:w="1481"/>
        <w:gridCol w:w="20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jc w:val="center"/>
        </w:trPr>
        <w:tc>
          <w:tcPr>
            <w:tcW w:w="758" w:type="dxa"/>
            <w:tcMar>
              <w:left w:w="28" w:type="dxa"/>
              <w:right w:w="28" w:type="dxa"/>
            </w:tcMar>
            <w:vAlign w:val="center"/>
          </w:tcPr>
          <w:p>
            <w:pPr>
              <w:jc w:val="center"/>
              <w:rPr>
                <w:rFonts w:ascii="宋体" w:hAnsi="宋体"/>
                <w:b/>
                <w:sz w:val="18"/>
              </w:rPr>
            </w:pPr>
            <w:r>
              <w:rPr>
                <w:rFonts w:hint="eastAsia" w:ascii="宋体" w:hAnsi="宋体"/>
                <w:b/>
                <w:sz w:val="18"/>
              </w:rPr>
              <w:t>序号</w:t>
            </w:r>
          </w:p>
        </w:tc>
        <w:tc>
          <w:tcPr>
            <w:tcW w:w="939" w:type="dxa"/>
            <w:tcMar>
              <w:left w:w="28" w:type="dxa"/>
              <w:right w:w="28" w:type="dxa"/>
            </w:tcMar>
            <w:vAlign w:val="center"/>
          </w:tcPr>
          <w:p>
            <w:pPr>
              <w:jc w:val="center"/>
              <w:rPr>
                <w:rFonts w:ascii="宋体" w:hAnsi="宋体"/>
                <w:b/>
                <w:sz w:val="18"/>
              </w:rPr>
            </w:pPr>
            <w:r>
              <w:rPr>
                <w:rFonts w:hint="eastAsia" w:ascii="宋体" w:hAnsi="宋体"/>
                <w:b/>
                <w:sz w:val="18"/>
              </w:rPr>
              <w:t>投标人</w:t>
            </w:r>
          </w:p>
        </w:tc>
        <w:tc>
          <w:tcPr>
            <w:tcW w:w="2023" w:type="dxa"/>
            <w:tcMar>
              <w:left w:w="28" w:type="dxa"/>
              <w:right w:w="28" w:type="dxa"/>
            </w:tcMar>
            <w:vAlign w:val="center"/>
          </w:tcPr>
          <w:p>
            <w:pPr>
              <w:jc w:val="center"/>
              <w:rPr>
                <w:rFonts w:ascii="宋体" w:hAnsi="宋体"/>
                <w:b/>
                <w:sz w:val="18"/>
              </w:rPr>
            </w:pPr>
            <w:r>
              <w:rPr>
                <w:rFonts w:hint="eastAsia" w:ascii="宋体" w:hAnsi="宋体"/>
                <w:b/>
                <w:sz w:val="18"/>
              </w:rPr>
              <w:t>法定代表人身份证明</w:t>
            </w:r>
          </w:p>
        </w:tc>
        <w:tc>
          <w:tcPr>
            <w:tcW w:w="1661" w:type="dxa"/>
            <w:tcMar>
              <w:left w:w="28" w:type="dxa"/>
              <w:right w:w="28" w:type="dxa"/>
            </w:tcMar>
            <w:vAlign w:val="center"/>
          </w:tcPr>
          <w:p>
            <w:pPr>
              <w:jc w:val="center"/>
              <w:rPr>
                <w:rFonts w:ascii="宋体" w:hAnsi="宋体"/>
                <w:b/>
                <w:sz w:val="18"/>
              </w:rPr>
            </w:pPr>
            <w:r>
              <w:rPr>
                <w:rFonts w:hint="eastAsia" w:ascii="宋体" w:hAnsi="宋体"/>
                <w:b/>
                <w:sz w:val="18"/>
              </w:rPr>
              <w:t>授权委托代理人（姓名和身份证号码）</w:t>
            </w:r>
          </w:p>
        </w:tc>
        <w:tc>
          <w:tcPr>
            <w:tcW w:w="1481" w:type="dxa"/>
            <w:vAlign w:val="center"/>
          </w:tcPr>
          <w:p>
            <w:pPr>
              <w:jc w:val="center"/>
              <w:rPr>
                <w:rFonts w:ascii="宋体" w:hAnsi="宋体"/>
                <w:b/>
                <w:sz w:val="18"/>
              </w:rPr>
            </w:pPr>
            <w:r>
              <w:rPr>
                <w:rFonts w:hint="eastAsia" w:ascii="宋体" w:hAnsi="宋体"/>
                <w:b/>
                <w:sz w:val="18"/>
              </w:rPr>
              <w:t>有关情况记录</w:t>
            </w:r>
          </w:p>
        </w:tc>
        <w:tc>
          <w:tcPr>
            <w:tcW w:w="2023" w:type="dxa"/>
            <w:vAlign w:val="center"/>
          </w:tcPr>
          <w:p>
            <w:pPr>
              <w:jc w:val="center"/>
              <w:rPr>
                <w:rFonts w:ascii="宋体" w:hAnsi="宋体"/>
                <w:b/>
                <w:sz w:val="18"/>
              </w:rPr>
            </w:pPr>
            <w:r>
              <w:rPr>
                <w:rFonts w:hint="eastAsia" w:ascii="宋体" w:hAnsi="宋体"/>
                <w:b/>
                <w:sz w:val="18"/>
              </w:rPr>
              <w:t>投标人委托代理人</w:t>
            </w:r>
          </w:p>
          <w:p>
            <w:pPr>
              <w:jc w:val="center"/>
              <w:rPr>
                <w:rFonts w:ascii="宋体" w:hAnsi="宋体"/>
                <w:b/>
                <w:sz w:val="18"/>
              </w:rPr>
            </w:pPr>
            <w:r>
              <w:rPr>
                <w:rFonts w:hint="eastAsia" w:ascii="宋体" w:hAnsi="宋体"/>
                <w:b/>
                <w:sz w:val="18"/>
              </w:rPr>
              <w:t>签名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758" w:type="dxa"/>
            <w:tcMar>
              <w:left w:w="28" w:type="dxa"/>
              <w:right w:w="28" w:type="dxa"/>
            </w:tcMar>
            <w:vAlign w:val="center"/>
          </w:tcPr>
          <w:p>
            <w:pPr>
              <w:spacing w:line="300" w:lineRule="exact"/>
              <w:jc w:val="center"/>
              <w:rPr>
                <w:rFonts w:ascii="黑体" w:eastAsia="黑体"/>
              </w:rPr>
            </w:pPr>
          </w:p>
        </w:tc>
        <w:tc>
          <w:tcPr>
            <w:tcW w:w="939" w:type="dxa"/>
            <w:tcMar>
              <w:left w:w="28" w:type="dxa"/>
              <w:right w:w="28" w:type="dxa"/>
            </w:tcMar>
            <w:vAlign w:val="center"/>
          </w:tcPr>
          <w:p>
            <w:pPr>
              <w:spacing w:line="300" w:lineRule="exact"/>
              <w:jc w:val="center"/>
              <w:rPr>
                <w:rFonts w:ascii="黑体" w:eastAsia="黑体"/>
              </w:rPr>
            </w:pPr>
          </w:p>
        </w:tc>
        <w:tc>
          <w:tcPr>
            <w:tcW w:w="2023" w:type="dxa"/>
            <w:tcMar>
              <w:left w:w="28" w:type="dxa"/>
              <w:right w:w="28" w:type="dxa"/>
            </w:tcMar>
            <w:vAlign w:val="center"/>
          </w:tcPr>
          <w:p>
            <w:pPr>
              <w:spacing w:line="300" w:lineRule="exact"/>
              <w:jc w:val="center"/>
              <w:rPr>
                <w:rFonts w:ascii="黑体" w:eastAsia="黑体"/>
              </w:rPr>
            </w:pPr>
          </w:p>
        </w:tc>
        <w:tc>
          <w:tcPr>
            <w:tcW w:w="1661" w:type="dxa"/>
            <w:tcMar>
              <w:left w:w="28" w:type="dxa"/>
              <w:right w:w="28" w:type="dxa"/>
            </w:tcMar>
            <w:vAlign w:val="center"/>
          </w:tcPr>
          <w:p>
            <w:pPr>
              <w:spacing w:line="300" w:lineRule="exact"/>
              <w:jc w:val="center"/>
              <w:rPr>
                <w:rFonts w:ascii="黑体" w:eastAsia="黑体"/>
              </w:rPr>
            </w:pPr>
          </w:p>
        </w:tc>
        <w:tc>
          <w:tcPr>
            <w:tcW w:w="1481" w:type="dxa"/>
            <w:vAlign w:val="center"/>
          </w:tcPr>
          <w:p>
            <w:pPr>
              <w:spacing w:line="300" w:lineRule="exact"/>
              <w:jc w:val="center"/>
              <w:rPr>
                <w:rFonts w:ascii="黑体" w:eastAsia="黑体"/>
              </w:rPr>
            </w:pPr>
          </w:p>
        </w:tc>
        <w:tc>
          <w:tcPr>
            <w:tcW w:w="2023" w:type="dxa"/>
            <w:vAlign w:val="center"/>
          </w:tcPr>
          <w:p>
            <w:pPr>
              <w:spacing w:line="300" w:lineRule="exact"/>
              <w:jc w:val="center"/>
              <w:rPr>
                <w:rFonts w:ascii="黑体" w:eastAsia="黑体"/>
              </w:rPr>
            </w:pPr>
          </w:p>
        </w:tc>
      </w:tr>
    </w:tbl>
    <w:p>
      <w:pPr>
        <w:spacing w:line="400" w:lineRule="exact"/>
        <w:rPr>
          <w:rStyle w:val="73"/>
          <w:rFonts w:ascii="黑体" w:hAnsi="黑体" w:eastAsia="黑体"/>
          <w:sz w:val="24"/>
        </w:rPr>
      </w:pPr>
    </w:p>
    <w:p>
      <w:pPr>
        <w:autoSpaceDE w:val="0"/>
        <w:autoSpaceDN w:val="0"/>
        <w:adjustRightInd w:val="0"/>
        <w:jc w:val="left"/>
        <w:rPr>
          <w:sz w:val="22"/>
          <w:szCs w:val="22"/>
        </w:rPr>
      </w:pPr>
      <w:r>
        <w:rPr>
          <w:rFonts w:hint="eastAsia"/>
          <w:sz w:val="22"/>
          <w:szCs w:val="22"/>
        </w:rPr>
        <w:t>招标人签字</w:t>
      </w:r>
      <w:r>
        <w:rPr>
          <w:sz w:val="22"/>
          <w:szCs w:val="22"/>
        </w:rPr>
        <w:t>/</w:t>
      </w:r>
      <w:r>
        <w:rPr>
          <w:rFonts w:hint="eastAsia"/>
          <w:sz w:val="22"/>
          <w:szCs w:val="22"/>
        </w:rPr>
        <w:t>日期：                              监督人员签字</w:t>
      </w:r>
      <w:r>
        <w:rPr>
          <w:sz w:val="22"/>
          <w:szCs w:val="22"/>
        </w:rPr>
        <w:t>/</w:t>
      </w:r>
      <w:r>
        <w:rPr>
          <w:rFonts w:hint="eastAsia"/>
          <w:sz w:val="22"/>
          <w:szCs w:val="22"/>
        </w:rPr>
        <w:t>日期：</w:t>
      </w:r>
    </w:p>
    <w:p>
      <w:pPr>
        <w:spacing w:line="360" w:lineRule="auto"/>
        <w:rPr>
          <w:rFonts w:ascii="宋体" w:hAnsi="宋体"/>
        </w:rPr>
      </w:pPr>
    </w:p>
    <w:p>
      <w:pPr>
        <w:spacing w:line="360" w:lineRule="auto"/>
        <w:ind w:firstLine="3780" w:firstLineChars="1800"/>
        <w:rPr>
          <w:rFonts w:ascii="宋体" w:hAnsi="宋体"/>
        </w:rPr>
      </w:pPr>
      <w:r>
        <w:rPr>
          <w:rFonts w:hint="eastAsia" w:ascii="宋体" w:hAnsi="宋体"/>
        </w:rPr>
        <w:t>年月日</w:t>
      </w:r>
    </w:p>
    <w:p>
      <w:pPr>
        <w:spacing w:line="400" w:lineRule="exact"/>
        <w:rPr>
          <w:rFonts w:ascii="黑体" w:eastAsia="黑体"/>
          <w:sz w:val="24"/>
        </w:rPr>
      </w:pPr>
      <w:r>
        <w:rPr>
          <w:rFonts w:ascii="黑体" w:eastAsia="黑体"/>
          <w:sz w:val="24"/>
        </w:rPr>
        <w:br w:type="page"/>
      </w:r>
    </w:p>
    <w:p>
      <w:pPr>
        <w:spacing w:line="400" w:lineRule="exact"/>
        <w:rPr>
          <w:rStyle w:val="73"/>
          <w:rFonts w:ascii="黑体" w:hAnsi="黑体" w:eastAsia="黑体"/>
          <w:b w:val="0"/>
          <w:sz w:val="24"/>
        </w:rPr>
      </w:pPr>
      <w:r>
        <w:rPr>
          <w:rStyle w:val="73"/>
          <w:rFonts w:hint="eastAsia" w:ascii="黑体" w:hAnsi="黑体" w:eastAsia="黑体"/>
          <w:b w:val="0"/>
          <w:sz w:val="24"/>
        </w:rPr>
        <w:t>附表2-4：问题澄清通知</w:t>
      </w:r>
    </w:p>
    <w:p>
      <w:pPr>
        <w:spacing w:beforeLines="100" w:afterLines="100" w:line="400" w:lineRule="exact"/>
        <w:jc w:val="center"/>
        <w:rPr>
          <w:rFonts w:ascii="黑体" w:eastAsia="黑体"/>
          <w:sz w:val="28"/>
          <w:szCs w:val="28"/>
        </w:rPr>
      </w:pPr>
      <w:r>
        <w:rPr>
          <w:rFonts w:hint="eastAsia" w:ascii="黑体" w:eastAsia="黑体"/>
          <w:sz w:val="28"/>
          <w:szCs w:val="28"/>
        </w:rPr>
        <w:t>问题澄清通知</w:t>
      </w:r>
    </w:p>
    <w:p>
      <w:pPr>
        <w:spacing w:beforeLines="100" w:afterLines="100" w:line="360" w:lineRule="auto"/>
        <w:jc w:val="left"/>
        <w:rPr>
          <w:rFonts w:ascii="宋体" w:hAnsi="宋体"/>
          <w:u w:val="single"/>
        </w:rPr>
      </w:pPr>
      <w:r>
        <w:rPr>
          <w:rFonts w:hint="eastAsia" w:ascii="宋体" w:hAnsi="宋体"/>
        </w:rPr>
        <w:t xml:space="preserve">                                  编号：</w:t>
      </w:r>
    </w:p>
    <w:p>
      <w:pPr>
        <w:spacing w:line="360" w:lineRule="auto"/>
        <w:rPr>
          <w:rFonts w:ascii="宋体" w:hAnsi="宋体"/>
        </w:rPr>
      </w:pPr>
      <w:r>
        <w:rPr>
          <w:rFonts w:hint="eastAsia" w:ascii="宋体" w:hAnsi="宋体"/>
        </w:rPr>
        <w:t>（投标人名称）：</w:t>
      </w:r>
    </w:p>
    <w:p>
      <w:pPr>
        <w:spacing w:line="360" w:lineRule="auto"/>
        <w:ind w:firstLine="420" w:firstLineChars="200"/>
        <w:rPr>
          <w:rFonts w:ascii="宋体" w:hAnsi="宋体"/>
        </w:rPr>
      </w:pPr>
      <w:r>
        <w:rPr>
          <w:rFonts w:hint="eastAsia" w:ascii="宋体" w:hAnsi="宋体"/>
        </w:rPr>
        <w:t>（项目名称）标段施工招标的评标委员会，对你方的投标文件进行了仔细的审查，现需你方对本通知所附质疑问卷中的问题以书面形式予以澄清、说明或者补正。</w:t>
      </w:r>
    </w:p>
    <w:p>
      <w:pPr>
        <w:spacing w:line="360" w:lineRule="auto"/>
        <w:ind w:firstLine="420" w:firstLineChars="200"/>
        <w:rPr>
          <w:rFonts w:ascii="宋体" w:hAnsi="宋体"/>
          <w:u w:val="single"/>
        </w:rPr>
      </w:pPr>
      <w:r>
        <w:rPr>
          <w:rFonts w:hint="eastAsia" w:ascii="宋体" w:hAnsi="宋体"/>
        </w:rPr>
        <w:t>请将上述问题的澄清、说明或者补正于年月日时前密封递交至</w:t>
      </w:r>
    </w:p>
    <w:p>
      <w:pPr>
        <w:spacing w:line="360" w:lineRule="auto"/>
        <w:rPr>
          <w:rFonts w:ascii="宋体" w:hAnsi="宋体"/>
        </w:rPr>
      </w:pPr>
      <w:r>
        <w:rPr>
          <w:rFonts w:hint="eastAsia" w:ascii="宋体" w:hAnsi="宋体"/>
        </w:rPr>
        <w:t>（详细地址）或传真至（传真号码）。采用传真方式的，应在年月日时前将原件递交至 （详细地址）。</w:t>
      </w:r>
    </w:p>
    <w:p>
      <w:pPr>
        <w:spacing w:line="360" w:lineRule="auto"/>
        <w:rPr>
          <w:rFonts w:ascii="宋体" w:hAnsi="宋体"/>
        </w:rPr>
      </w:pPr>
    </w:p>
    <w:p>
      <w:pPr>
        <w:spacing w:line="360" w:lineRule="auto"/>
        <w:rPr>
          <w:rFonts w:ascii="宋体" w:hAnsi="宋体"/>
        </w:rPr>
      </w:pPr>
    </w:p>
    <w:p>
      <w:pPr>
        <w:snapToGrid w:val="0"/>
        <w:spacing w:line="480" w:lineRule="auto"/>
        <w:jc w:val="right"/>
        <w:rPr>
          <w:rFonts w:ascii="宋体" w:hAnsi="宋体"/>
          <w:szCs w:val="21"/>
        </w:rPr>
      </w:pPr>
      <w:r>
        <w:rPr>
          <w:rFonts w:hint="eastAsia" w:ascii="宋体" w:hAnsi="宋体"/>
          <w:szCs w:val="21"/>
        </w:rPr>
        <w:t>（项目名称）标段施工招标评标委员会</w:t>
      </w:r>
    </w:p>
    <w:p>
      <w:pPr>
        <w:spacing w:line="360" w:lineRule="auto"/>
        <w:ind w:firstLine="2625" w:firstLineChars="1250"/>
        <w:jc w:val="right"/>
        <w:rPr>
          <w:rFonts w:ascii="宋体" w:hAnsi="宋体"/>
        </w:rPr>
      </w:pPr>
      <w:r>
        <w:rPr>
          <w:rFonts w:hint="eastAsia" w:ascii="宋体" w:hAnsi="宋体"/>
          <w:szCs w:val="21"/>
        </w:rPr>
        <w:t>（资格审查委员会负责人签字）</w:t>
      </w:r>
    </w:p>
    <w:p>
      <w:pPr>
        <w:spacing w:line="360" w:lineRule="auto"/>
        <w:ind w:firstLine="4620" w:firstLineChars="2200"/>
        <w:jc w:val="right"/>
        <w:rPr>
          <w:rFonts w:ascii="宋体" w:hAnsi="宋体"/>
        </w:rPr>
      </w:pPr>
      <w:r>
        <w:rPr>
          <w:rFonts w:hint="eastAsia" w:ascii="宋体" w:hAnsi="宋体"/>
        </w:rPr>
        <w:t>年月日</w:t>
      </w:r>
    </w:p>
    <w:p>
      <w:pPr>
        <w:spacing w:line="400" w:lineRule="exact"/>
        <w:rPr>
          <w:rStyle w:val="73"/>
          <w:rFonts w:ascii="黑体" w:hAnsi="黑体"/>
          <w:sz w:val="24"/>
        </w:rPr>
      </w:pPr>
      <w:r>
        <w:br w:type="page"/>
      </w:r>
      <w:r>
        <w:rPr>
          <w:rStyle w:val="73"/>
          <w:rFonts w:hint="eastAsia" w:ascii="黑体" w:hAnsi="黑体" w:eastAsia="黑体"/>
          <w:b w:val="0"/>
          <w:sz w:val="24"/>
        </w:rPr>
        <w:t>附表2-5：问题的澄清</w:t>
      </w:r>
    </w:p>
    <w:p>
      <w:pPr>
        <w:spacing w:beforeLines="100" w:afterLines="100" w:line="480" w:lineRule="exact"/>
        <w:jc w:val="center"/>
        <w:rPr>
          <w:rFonts w:ascii="黑体" w:eastAsia="黑体"/>
          <w:sz w:val="28"/>
          <w:szCs w:val="28"/>
        </w:rPr>
      </w:pPr>
      <w:r>
        <w:rPr>
          <w:rFonts w:hint="eastAsia" w:ascii="黑体" w:eastAsia="黑体"/>
          <w:sz w:val="28"/>
          <w:szCs w:val="28"/>
        </w:rPr>
        <w:t>问题的澄清、说明或补正</w:t>
      </w:r>
    </w:p>
    <w:p>
      <w:pPr>
        <w:spacing w:line="360" w:lineRule="auto"/>
        <w:rPr>
          <w:rFonts w:ascii="宋体" w:hAnsi="宋体"/>
          <w:u w:val="single"/>
        </w:rPr>
      </w:pPr>
      <w:r>
        <w:rPr>
          <w:rFonts w:hint="eastAsia" w:ascii="宋体" w:hAnsi="宋体"/>
        </w:rPr>
        <w:t xml:space="preserve">                           编号：</w:t>
      </w:r>
    </w:p>
    <w:p>
      <w:pPr>
        <w:spacing w:line="360" w:lineRule="auto"/>
        <w:rPr>
          <w:rFonts w:ascii="宋体" w:hAnsi="宋体"/>
        </w:rPr>
      </w:pPr>
      <w:r>
        <w:rPr>
          <w:rFonts w:hint="eastAsia" w:ascii="宋体" w:hAnsi="宋体"/>
        </w:rPr>
        <w:t>（项目名称）标段施工招标评标委员会：</w:t>
      </w:r>
    </w:p>
    <w:p>
      <w:pPr>
        <w:spacing w:line="360" w:lineRule="auto"/>
        <w:ind w:firstLine="420" w:firstLineChars="200"/>
        <w:rPr>
          <w:rFonts w:ascii="宋体" w:hAnsi="宋体"/>
        </w:rPr>
      </w:pPr>
      <w:r>
        <w:rPr>
          <w:rFonts w:hint="eastAsia" w:ascii="宋体" w:hAnsi="宋体"/>
        </w:rPr>
        <w:t>问题澄清通知（编号：）已收悉，现澄清、说明或者补正如下：</w:t>
      </w:r>
    </w:p>
    <w:p>
      <w:pPr>
        <w:spacing w:line="360" w:lineRule="auto"/>
        <w:ind w:firstLine="420" w:firstLineChars="200"/>
        <w:rPr>
          <w:rFonts w:ascii="宋体" w:hAnsi="宋体"/>
        </w:rPr>
      </w:pPr>
      <w:r>
        <w:rPr>
          <w:rFonts w:hint="eastAsia" w:ascii="宋体" w:hAnsi="宋体"/>
        </w:rPr>
        <w:t>1.</w:t>
      </w:r>
    </w:p>
    <w:p>
      <w:pPr>
        <w:spacing w:line="360" w:lineRule="auto"/>
        <w:ind w:firstLine="420" w:firstLineChars="200"/>
        <w:rPr>
          <w:rFonts w:ascii="宋体" w:hAnsi="宋体"/>
        </w:rPr>
      </w:pPr>
      <w:r>
        <w:rPr>
          <w:rFonts w:hint="eastAsia" w:ascii="宋体" w:hAnsi="宋体"/>
        </w:rPr>
        <w:t>2.</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hint="eastAsia" w:ascii="宋体" w:hAnsi="宋体"/>
        </w:rPr>
        <w:t>……</w:t>
      </w:r>
    </w:p>
    <w:p>
      <w:pPr>
        <w:spacing w:line="480" w:lineRule="exact"/>
        <w:ind w:firstLine="420" w:firstLineChars="200"/>
        <w:rPr>
          <w:rFonts w:ascii="宋体" w:hAnsi="宋体"/>
        </w:rPr>
      </w:pPr>
    </w:p>
    <w:p>
      <w:pPr>
        <w:spacing w:line="480" w:lineRule="exact"/>
        <w:ind w:firstLine="420" w:firstLineChars="200"/>
        <w:rPr>
          <w:rFonts w:ascii="宋体" w:hAnsi="宋体"/>
        </w:rPr>
      </w:pPr>
    </w:p>
    <w:p>
      <w:pPr>
        <w:spacing w:line="480" w:lineRule="exact"/>
        <w:ind w:firstLine="420" w:firstLineChars="200"/>
        <w:rPr>
          <w:rFonts w:ascii="宋体" w:hAnsi="宋体"/>
        </w:rPr>
      </w:pPr>
    </w:p>
    <w:p>
      <w:pPr>
        <w:spacing w:line="480" w:lineRule="exact"/>
        <w:ind w:firstLine="420" w:firstLineChars="200"/>
        <w:rPr>
          <w:rFonts w:ascii="宋体" w:hAnsi="宋体"/>
        </w:rPr>
      </w:pPr>
    </w:p>
    <w:p>
      <w:pPr>
        <w:spacing w:line="480" w:lineRule="exact"/>
        <w:ind w:firstLine="420" w:firstLineChars="200"/>
        <w:rPr>
          <w:rFonts w:ascii="宋体" w:hAnsi="宋体"/>
        </w:rPr>
      </w:pPr>
    </w:p>
    <w:p>
      <w:pPr>
        <w:spacing w:line="480" w:lineRule="exact"/>
        <w:ind w:firstLine="420" w:firstLineChars="200"/>
        <w:rPr>
          <w:rFonts w:ascii="宋体" w:hAnsi="宋体"/>
        </w:rPr>
      </w:pPr>
    </w:p>
    <w:p>
      <w:pPr>
        <w:wordWrap w:val="0"/>
        <w:spacing w:line="360" w:lineRule="auto"/>
        <w:ind w:firstLine="420" w:firstLineChars="200"/>
        <w:jc w:val="right"/>
        <w:rPr>
          <w:rFonts w:ascii="宋体" w:hAnsi="宋体"/>
        </w:rPr>
      </w:pPr>
      <w:r>
        <w:rPr>
          <w:rFonts w:hint="eastAsia" w:ascii="宋体" w:hAnsi="宋体"/>
        </w:rPr>
        <w:t xml:space="preserve">投标人：（盖单位章） </w:t>
      </w:r>
    </w:p>
    <w:p>
      <w:pPr>
        <w:wordWrap w:val="0"/>
        <w:spacing w:beforeLines="50" w:afterLines="50" w:line="360" w:lineRule="auto"/>
        <w:ind w:right="210"/>
        <w:jc w:val="right"/>
        <w:rPr>
          <w:rFonts w:ascii="宋体" w:hAnsi="宋体"/>
        </w:rPr>
      </w:pPr>
      <w:r>
        <w:rPr>
          <w:rFonts w:hint="eastAsia" w:ascii="宋体" w:hAnsi="宋体"/>
        </w:rPr>
        <w:t>法定代表人或其委托代理人：（签字）</w:t>
      </w:r>
    </w:p>
    <w:p>
      <w:pPr>
        <w:wordWrap w:val="0"/>
        <w:spacing w:beforeLines="50" w:afterLines="50" w:line="360" w:lineRule="auto"/>
        <w:ind w:right="210"/>
        <w:jc w:val="right"/>
        <w:rPr>
          <w:rFonts w:ascii="宋体" w:hAnsi="宋体"/>
        </w:rPr>
      </w:pPr>
      <w:r>
        <w:rPr>
          <w:rFonts w:hint="eastAsia" w:ascii="宋体" w:hAnsi="宋体"/>
        </w:rPr>
        <w:t>年月日</w:t>
      </w:r>
    </w:p>
    <w:p>
      <w:pPr>
        <w:spacing w:line="480" w:lineRule="exact"/>
        <w:rPr>
          <w:rFonts w:ascii="黑体" w:eastAsia="黑体"/>
          <w:sz w:val="24"/>
        </w:rPr>
      </w:pPr>
      <w:r>
        <w:rPr>
          <w:rFonts w:hint="eastAsia" w:ascii="宋体" w:hAnsi="宋体"/>
        </w:rPr>
        <w:br w:type="page"/>
      </w:r>
      <w:r>
        <w:rPr>
          <w:rStyle w:val="73"/>
          <w:rFonts w:hint="eastAsia" w:ascii="黑体" w:hAnsi="黑体" w:eastAsia="黑体"/>
          <w:b w:val="0"/>
          <w:bCs w:val="0"/>
          <w:sz w:val="24"/>
        </w:rPr>
        <w:t>附表2-6：中标通知书</w:t>
      </w:r>
    </w:p>
    <w:p>
      <w:pPr>
        <w:spacing w:line="480" w:lineRule="exact"/>
        <w:rPr>
          <w:rFonts w:ascii="黑体" w:eastAsia="黑体"/>
          <w:sz w:val="24"/>
        </w:rPr>
      </w:pPr>
    </w:p>
    <w:p>
      <w:pPr>
        <w:jc w:val="center"/>
        <w:rPr>
          <w:rFonts w:ascii="华文新魏" w:eastAsia="华文新魏"/>
          <w:sz w:val="80"/>
        </w:rPr>
      </w:pPr>
      <w:r>
        <w:rPr>
          <w:rFonts w:hint="eastAsia" w:ascii="华文新魏" w:eastAsia="华文新魏"/>
          <w:sz w:val="80"/>
        </w:rPr>
        <w:t>中标通知书</w:t>
      </w:r>
    </w:p>
    <w:tbl>
      <w:tblPr>
        <w:tblStyle w:val="42"/>
        <w:tblW w:w="8292" w:type="dxa"/>
        <w:jc w:val="center"/>
        <w:tblInd w:w="0" w:type="dxa"/>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7032"/>
      </w:tblGrid>
      <w:tr>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jc w:val="center"/>
        </w:trPr>
        <w:tc>
          <w:tcPr>
            <w:tcW w:w="1260" w:type="dxa"/>
            <w:tcMar>
              <w:left w:w="0" w:type="dxa"/>
              <w:right w:w="0" w:type="dxa"/>
            </w:tcMar>
          </w:tcPr>
          <w:p>
            <w:pPr>
              <w:jc w:val="left"/>
              <w:rPr>
                <w:rFonts w:ascii="仿宋_GB2312" w:eastAsia="仿宋_GB2312"/>
                <w:sz w:val="28"/>
              </w:rPr>
            </w:pPr>
            <w:r>
              <w:rPr>
                <w:rFonts w:hint="eastAsia" w:ascii="仿宋_GB2312" w:eastAsia="仿宋_GB2312"/>
                <w:sz w:val="28"/>
              </w:rPr>
              <w:t>中标编号：</w:t>
            </w:r>
          </w:p>
        </w:tc>
        <w:tc>
          <w:tcPr>
            <w:tcW w:w="7032" w:type="dxa"/>
            <w:tcMar>
              <w:left w:w="0" w:type="dxa"/>
            </w:tcMar>
          </w:tcPr>
          <w:p>
            <w:pPr>
              <w:jc w:val="left"/>
              <w:rPr>
                <w:rFonts w:ascii="华文新魏" w:eastAsia="华文新魏"/>
                <w:sz w:val="80"/>
              </w:rPr>
            </w:pPr>
            <w:r>
              <w:rPr>
                <w:rFonts w:ascii="华文新魏" w:eastAsia="华文新魏"/>
                <w:sz w:val="80"/>
              </w:rPr>
              <w:drawing>
                <wp:anchor distT="0" distB="0" distL="114300" distR="114300" simplePos="0" relativeHeight="251703296" behindDoc="0" locked="1" layoutInCell="1" allowOverlap="1">
                  <wp:simplePos x="0" y="0"/>
                  <wp:positionH relativeFrom="page">
                    <wp:posOffset>0</wp:posOffset>
                  </wp:positionH>
                  <wp:positionV relativeFrom="page">
                    <wp:posOffset>0</wp:posOffset>
                  </wp:positionV>
                  <wp:extent cx="2476500" cy="342900"/>
                  <wp:effectExtent l="0" t="0" r="0" b="0"/>
                  <wp:wrapNone/>
                  <wp:docPr id="2" name="AutoShap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utoShape 1"/>
                          <pic:cNvPicPr>
                            <a:picLocks noChangeAspect="1"/>
                          </pic:cNvPicPr>
                        </pic:nvPicPr>
                        <pic:blipFill>
                          <a:blip r:embed="rId19" cstate="print"/>
                          <a:stretch>
                            <a:fillRect/>
                          </a:stretch>
                        </pic:blipFill>
                        <pic:spPr>
                          <a:xfrm>
                            <a:off x="0" y="0"/>
                            <a:ext cx="2476500" cy="342900"/>
                          </a:xfrm>
                          <a:prstGeom prst="rect">
                            <a:avLst/>
                          </a:prstGeom>
                          <a:noFill/>
                          <a:ln w="9525">
                            <a:noFill/>
                          </a:ln>
                        </pic:spPr>
                      </pic:pic>
                    </a:graphicData>
                  </a:graphic>
                </wp:anchor>
              </w:drawing>
            </w:r>
            <w:r>
              <w:rPr>
                <w:rFonts w:ascii="华文新魏" w:eastAsia="华文新魏"/>
                <w:sz w:val="80"/>
              </w:rPr>
              <w:pict>
                <v:shape id="_x0000_i1025" o:spt="75" type="#_x0000_t75" style="height:27pt;width:195pt;" filled="f" o:preferrelative="t" stroked="f" coordsize="21600,21600">
                  <v:path/>
                  <v:fill on="f" focussize="0,0"/>
                  <v:stroke on="f" joinstyle="miter"/>
                  <v:imagedata o:title=""/>
                  <o:lock v:ext="edit" rotation="t" aspectratio="t"/>
                  <w10:wrap type="none"/>
                  <w10:anchorlock/>
                </v:shape>
              </w:pict>
            </w:r>
          </w:p>
        </w:tc>
      </w:tr>
    </w:tbl>
    <w:p>
      <w:pPr>
        <w:jc w:val="left"/>
        <w:rPr>
          <w:rFonts w:ascii="仿宋_GB2312" w:eastAsia="仿宋_GB2312"/>
          <w:sz w:val="28"/>
        </w:rPr>
      </w:pPr>
    </w:p>
    <w:p>
      <w:pPr>
        <w:spacing w:line="360" w:lineRule="auto"/>
        <w:jc w:val="left"/>
        <w:rPr>
          <w:rFonts w:ascii="仿宋_GB2312" w:eastAsia="仿宋_GB2312"/>
          <w:sz w:val="28"/>
        </w:rPr>
      </w:pPr>
      <w:r>
        <w:rPr>
          <w:rFonts w:hint="eastAsia" w:ascii="仿宋_GB2312" w:eastAsia="仿宋_GB2312"/>
          <w:sz w:val="28"/>
        </w:rPr>
        <w:t xml:space="preserve"> ：</w:t>
      </w:r>
    </w:p>
    <w:p>
      <w:pPr>
        <w:snapToGrid w:val="0"/>
        <w:spacing w:line="360" w:lineRule="auto"/>
        <w:ind w:firstLine="420" w:firstLineChars="200"/>
        <w:jc w:val="left"/>
        <w:rPr>
          <w:rFonts w:ascii="宋体" w:hAnsi="宋体"/>
        </w:rPr>
      </w:pPr>
      <w:r>
        <w:rPr>
          <w:rFonts w:hint="eastAsia" w:ascii="宋体" w:hAnsi="宋体"/>
        </w:rPr>
        <w:t>很高兴地通知您， 项目工程施工公开招标评标工作已经结束，经评标委员会认真评定、媒体公示评审结果并报主管部门备案，确定贵单位为中标人。</w:t>
      </w:r>
    </w:p>
    <w:p>
      <w:pPr>
        <w:snapToGrid w:val="0"/>
        <w:spacing w:line="360" w:lineRule="auto"/>
        <w:ind w:firstLine="420" w:firstLineChars="200"/>
        <w:jc w:val="left"/>
        <w:rPr>
          <w:rFonts w:ascii="宋体" w:hAnsi="宋体"/>
          <w:u w:val="single"/>
        </w:rPr>
      </w:pPr>
      <w:r>
        <w:rPr>
          <w:rFonts w:hint="eastAsia" w:ascii="宋体" w:hAnsi="宋体"/>
        </w:rPr>
        <w:t>工程概况：</w:t>
      </w:r>
    </w:p>
    <w:p>
      <w:pPr>
        <w:snapToGrid w:val="0"/>
        <w:spacing w:line="360" w:lineRule="auto"/>
        <w:ind w:firstLine="420" w:firstLineChars="200"/>
        <w:jc w:val="left"/>
        <w:rPr>
          <w:rFonts w:ascii="宋体" w:hAnsi="宋体"/>
        </w:rPr>
      </w:pPr>
      <w:r>
        <w:rPr>
          <w:rFonts w:hint="eastAsia" w:ascii="宋体" w:hAnsi="宋体"/>
        </w:rPr>
        <w:t>中标范围：</w:t>
      </w:r>
    </w:p>
    <w:p>
      <w:pPr>
        <w:snapToGrid w:val="0"/>
        <w:spacing w:line="360" w:lineRule="auto"/>
        <w:ind w:firstLine="420" w:firstLineChars="200"/>
        <w:jc w:val="left"/>
        <w:rPr>
          <w:rFonts w:ascii="宋体" w:hAnsi="宋体"/>
        </w:rPr>
      </w:pPr>
      <w:r>
        <w:rPr>
          <w:rFonts w:hint="eastAsia" w:ascii="宋体" w:hAnsi="宋体"/>
        </w:rPr>
        <w:t>中标总价格：（大写）：</w:t>
      </w:r>
      <w:r>
        <w:rPr>
          <w:rFonts w:hint="eastAsia" w:ascii="宋体" w:hAnsi="宋体"/>
          <w:szCs w:val="21"/>
        </w:rPr>
        <w:t>元</w:t>
      </w:r>
      <w:r>
        <w:rPr>
          <w:rFonts w:hint="eastAsia" w:ascii="宋体" w:hAnsi="宋体"/>
        </w:rPr>
        <w:t>；</w:t>
      </w:r>
    </w:p>
    <w:p>
      <w:pPr>
        <w:snapToGrid w:val="0"/>
        <w:spacing w:line="360" w:lineRule="auto"/>
        <w:ind w:firstLine="420" w:firstLineChars="200"/>
        <w:jc w:val="left"/>
        <w:rPr>
          <w:rFonts w:ascii="宋体" w:hAnsi="宋体"/>
        </w:rPr>
      </w:pPr>
      <w:r>
        <w:rPr>
          <w:rFonts w:hint="eastAsia" w:ascii="宋体" w:hAnsi="宋体"/>
        </w:rPr>
        <w:t xml:space="preserve">           （小写）：</w:t>
      </w:r>
      <w:r>
        <w:rPr>
          <w:rFonts w:hint="eastAsia" w:ascii="宋体" w:hAnsi="宋体"/>
          <w:szCs w:val="21"/>
        </w:rPr>
        <w:t>元</w:t>
      </w:r>
      <w:r>
        <w:rPr>
          <w:rFonts w:hint="eastAsia" w:ascii="宋体" w:hAnsi="宋体"/>
        </w:rPr>
        <w:t>；</w:t>
      </w:r>
    </w:p>
    <w:p>
      <w:pPr>
        <w:spacing w:line="360" w:lineRule="auto"/>
        <w:ind w:firstLine="1050" w:firstLineChars="500"/>
      </w:pPr>
      <w:r>
        <w:rPr>
          <w:rFonts w:hint="eastAsia"/>
        </w:rPr>
        <w:t>直接费用：</w:t>
      </w:r>
      <w:r>
        <w:rPr>
          <w:rFonts w:ascii="宋体" w:hAnsi="宋体"/>
          <w:szCs w:val="21"/>
        </w:rPr>
        <w:t>RMB</w:t>
      </w:r>
      <w:r>
        <w:rPr>
          <w:rFonts w:hint="eastAsia" w:ascii="宋体" w:hAnsi="宋体"/>
          <w:szCs w:val="21"/>
        </w:rPr>
        <w:t>￥：元；</w:t>
      </w:r>
    </w:p>
    <w:p>
      <w:pPr>
        <w:spacing w:line="360" w:lineRule="auto"/>
        <w:ind w:firstLine="1050" w:firstLineChars="500"/>
        <w:rPr>
          <w:rFonts w:ascii="宋体"/>
          <w:szCs w:val="21"/>
        </w:rPr>
      </w:pPr>
      <w:r>
        <w:rPr>
          <w:rFonts w:hint="eastAsia" w:cs="Arial"/>
        </w:rPr>
        <w:t>费用和利润：</w:t>
      </w:r>
      <w:r>
        <w:rPr>
          <w:rFonts w:ascii="宋体" w:hAnsi="宋体"/>
          <w:szCs w:val="21"/>
        </w:rPr>
        <w:t>RMB</w:t>
      </w:r>
      <w:r>
        <w:rPr>
          <w:rFonts w:hint="eastAsia" w:ascii="宋体" w:hAnsi="宋体"/>
          <w:szCs w:val="21"/>
        </w:rPr>
        <w:t>￥：元；</w:t>
      </w:r>
    </w:p>
    <w:p>
      <w:pPr>
        <w:spacing w:line="360" w:lineRule="auto"/>
        <w:ind w:firstLine="1050" w:firstLineChars="500"/>
        <w:rPr>
          <w:rFonts w:ascii="宋体" w:hAnsi="宋体"/>
        </w:rPr>
      </w:pPr>
      <w:r>
        <w:rPr>
          <w:rFonts w:hint="eastAsia" w:ascii="宋体" w:hAnsi="宋体"/>
          <w:szCs w:val="21"/>
        </w:rPr>
        <w:t>其中：安全文明费</w:t>
      </w:r>
      <w:r>
        <w:rPr>
          <w:rFonts w:ascii="宋体" w:hAnsi="宋体"/>
          <w:szCs w:val="21"/>
        </w:rPr>
        <w:t>RMB</w:t>
      </w:r>
      <w:r>
        <w:rPr>
          <w:rFonts w:hint="eastAsia" w:ascii="宋体" w:hAnsi="宋体"/>
          <w:szCs w:val="21"/>
        </w:rPr>
        <w:t>￥：元</w:t>
      </w:r>
      <w:r>
        <w:rPr>
          <w:rFonts w:hint="eastAsia" w:ascii="宋体" w:hAnsi="宋体"/>
        </w:rPr>
        <w:t>；</w:t>
      </w:r>
    </w:p>
    <w:p>
      <w:pPr>
        <w:spacing w:line="360" w:lineRule="auto"/>
        <w:ind w:firstLine="1050" w:firstLineChars="500"/>
        <w:rPr>
          <w:rFonts w:ascii="宋体"/>
        </w:rPr>
      </w:pPr>
      <w:r>
        <w:rPr>
          <w:rFonts w:hint="eastAsia" w:ascii="宋体" w:hAnsi="宋体"/>
        </w:rPr>
        <w:t>规费：</w:t>
      </w:r>
      <w:r>
        <w:rPr>
          <w:rFonts w:ascii="宋体" w:hAnsi="宋体"/>
          <w:szCs w:val="21"/>
        </w:rPr>
        <w:t>RMB</w:t>
      </w:r>
      <w:r>
        <w:rPr>
          <w:rFonts w:hint="eastAsia" w:ascii="宋体" w:hAnsi="宋体"/>
          <w:szCs w:val="21"/>
        </w:rPr>
        <w:t>￥：</w:t>
      </w:r>
      <w:r>
        <w:rPr>
          <w:rFonts w:hint="eastAsia" w:ascii="宋体" w:hAnsi="宋体"/>
        </w:rPr>
        <w:t>元，其中社会保险费：</w:t>
      </w:r>
      <w:r>
        <w:rPr>
          <w:rFonts w:ascii="宋体" w:hAnsi="宋体"/>
          <w:szCs w:val="21"/>
        </w:rPr>
        <w:t>RMB</w:t>
      </w:r>
      <w:r>
        <w:rPr>
          <w:rFonts w:hint="eastAsia" w:ascii="宋体" w:hAnsi="宋体"/>
          <w:szCs w:val="21"/>
        </w:rPr>
        <w:t>￥：</w:t>
      </w:r>
      <w:r>
        <w:rPr>
          <w:rFonts w:hint="eastAsia" w:ascii="宋体" w:hAnsi="宋体"/>
        </w:rPr>
        <w:t>元；</w:t>
      </w:r>
    </w:p>
    <w:p>
      <w:pPr>
        <w:snapToGrid w:val="0"/>
        <w:spacing w:line="360" w:lineRule="auto"/>
        <w:ind w:firstLine="420" w:firstLineChars="200"/>
        <w:jc w:val="left"/>
        <w:rPr>
          <w:rFonts w:ascii="宋体"/>
          <w:szCs w:val="21"/>
        </w:rPr>
      </w:pPr>
      <w:r>
        <w:rPr>
          <w:rFonts w:hint="eastAsia" w:ascii="宋体" w:hAnsi="宋体"/>
        </w:rPr>
        <w:t>建安费用：</w:t>
      </w:r>
      <w:r>
        <w:rPr>
          <w:rFonts w:hint="eastAsia" w:ascii="宋体" w:hAnsi="宋体"/>
          <w:szCs w:val="21"/>
        </w:rPr>
        <w:t xml:space="preserve"> 元</w:t>
      </w:r>
      <w:r>
        <w:rPr>
          <w:rFonts w:hint="eastAsia" w:ascii="宋体" w:hAnsi="宋体"/>
        </w:rPr>
        <w:t>；</w:t>
      </w:r>
    </w:p>
    <w:p>
      <w:pPr>
        <w:snapToGrid w:val="0"/>
        <w:spacing w:line="360" w:lineRule="auto"/>
        <w:ind w:firstLine="420" w:firstLineChars="200"/>
        <w:jc w:val="left"/>
        <w:rPr>
          <w:rFonts w:ascii="宋体"/>
        </w:rPr>
      </w:pPr>
      <w:r>
        <w:rPr>
          <w:rFonts w:hint="eastAsia" w:ascii="宋体" w:hAnsi="宋体"/>
        </w:rPr>
        <w:t>销项税额</w:t>
      </w:r>
      <w:r>
        <w:rPr>
          <w:rFonts w:ascii="宋体" w:hAnsi="宋体"/>
        </w:rPr>
        <w:t>(</w:t>
      </w:r>
      <w:r>
        <w:rPr>
          <w:rFonts w:hint="eastAsia" w:ascii="宋体" w:hAnsi="宋体"/>
        </w:rPr>
        <w:t>应纳税额</w:t>
      </w:r>
      <w:r>
        <w:rPr>
          <w:rFonts w:ascii="宋体" w:hAnsi="宋体"/>
        </w:rPr>
        <w:t>)</w:t>
      </w:r>
      <w:r>
        <w:rPr>
          <w:rFonts w:hint="eastAsia" w:ascii="宋体" w:hAnsi="宋体"/>
          <w:szCs w:val="21"/>
        </w:rPr>
        <w:t>￥：</w:t>
      </w:r>
      <w:r>
        <w:rPr>
          <w:rFonts w:hint="eastAsia" w:ascii="宋体" w:hAnsi="宋体"/>
        </w:rPr>
        <w:t>元；</w:t>
      </w:r>
    </w:p>
    <w:p>
      <w:pPr>
        <w:snapToGrid w:val="0"/>
        <w:spacing w:line="360" w:lineRule="auto"/>
        <w:ind w:firstLine="420" w:firstLineChars="200"/>
        <w:jc w:val="left"/>
        <w:rPr>
          <w:rFonts w:ascii="宋体"/>
        </w:rPr>
      </w:pPr>
      <w:r>
        <w:rPr>
          <w:rFonts w:hint="eastAsia" w:ascii="宋体" w:hAnsi="宋体"/>
        </w:rPr>
        <w:t>附加税额</w:t>
      </w:r>
      <w:r>
        <w:rPr>
          <w:rFonts w:hint="eastAsia" w:ascii="宋体" w:hAnsi="宋体"/>
          <w:szCs w:val="21"/>
        </w:rPr>
        <w:t>￥：</w:t>
      </w:r>
      <w:r>
        <w:rPr>
          <w:rFonts w:hint="eastAsia" w:ascii="宋体" w:hAnsi="宋体"/>
        </w:rPr>
        <w:t>元；</w:t>
      </w:r>
    </w:p>
    <w:p>
      <w:pPr>
        <w:spacing w:line="360" w:lineRule="auto"/>
        <w:ind w:firstLine="420" w:firstLineChars="200"/>
        <w:rPr>
          <w:rFonts w:ascii="宋体" w:hAnsi="宋体"/>
          <w:szCs w:val="21"/>
        </w:rPr>
      </w:pPr>
      <w:r>
        <w:rPr>
          <w:rFonts w:hint="eastAsia" w:cs="Arial"/>
        </w:rPr>
        <w:t>其他项目费：</w:t>
      </w:r>
      <w:r>
        <w:rPr>
          <w:rFonts w:ascii="宋体" w:hAnsi="宋体"/>
          <w:szCs w:val="21"/>
        </w:rPr>
        <w:t>RMB</w:t>
      </w:r>
      <w:r>
        <w:rPr>
          <w:rFonts w:hint="eastAsia" w:ascii="宋体" w:hAnsi="宋体"/>
          <w:szCs w:val="21"/>
        </w:rPr>
        <w:t>￥：元；</w:t>
      </w:r>
    </w:p>
    <w:p>
      <w:pPr>
        <w:spacing w:line="360" w:lineRule="auto"/>
        <w:ind w:firstLine="315" w:firstLineChars="150"/>
        <w:rPr>
          <w:rFonts w:ascii="宋体"/>
        </w:rPr>
      </w:pPr>
      <w:r>
        <w:rPr>
          <w:rFonts w:hint="eastAsia" w:ascii="宋体" w:hAnsi="宋体"/>
        </w:rPr>
        <w:t>（其中专业工程暂估价：</w:t>
      </w:r>
      <w:r>
        <w:rPr>
          <w:rFonts w:hint="eastAsia" w:ascii="宋体" w:hAnsi="宋体"/>
          <w:szCs w:val="21"/>
        </w:rPr>
        <w:t xml:space="preserve"> 元；</w:t>
      </w:r>
      <w:r>
        <w:rPr>
          <w:rFonts w:hint="eastAsia" w:ascii="宋体" w:hAnsi="宋体"/>
        </w:rPr>
        <w:t>暂列金额：</w:t>
      </w:r>
      <w:r>
        <w:rPr>
          <w:rFonts w:hint="eastAsia" w:ascii="宋体" w:hAnsi="宋体"/>
          <w:szCs w:val="21"/>
        </w:rPr>
        <w:t>元；</w:t>
      </w:r>
      <w:r>
        <w:rPr>
          <w:rFonts w:ascii="宋体" w:hAnsi="宋体"/>
        </w:rPr>
        <w:t>BIM</w:t>
      </w:r>
      <w:r>
        <w:rPr>
          <w:rFonts w:hint="eastAsia" w:ascii="宋体" w:hAnsi="宋体"/>
        </w:rPr>
        <w:t>专项费用：</w:t>
      </w:r>
      <w:r>
        <w:rPr>
          <w:rFonts w:hint="eastAsia" w:ascii="宋体" w:hAnsi="宋体"/>
          <w:szCs w:val="21"/>
        </w:rPr>
        <w:t>元</w:t>
      </w:r>
      <w:r>
        <w:rPr>
          <w:rFonts w:hint="eastAsia" w:ascii="宋体" w:hAnsi="宋体"/>
        </w:rPr>
        <w:t>）</w:t>
      </w:r>
    </w:p>
    <w:p>
      <w:pPr>
        <w:snapToGrid w:val="0"/>
        <w:spacing w:line="360" w:lineRule="auto"/>
        <w:ind w:firstLine="420" w:firstLineChars="200"/>
        <w:jc w:val="left"/>
        <w:rPr>
          <w:rFonts w:ascii="宋体" w:hAnsi="宋体"/>
        </w:rPr>
      </w:pPr>
      <w:r>
        <w:rPr>
          <w:rFonts w:hint="eastAsia" w:ascii="宋体" w:hAnsi="宋体"/>
        </w:rPr>
        <w:t>工期：天；</w:t>
      </w:r>
    </w:p>
    <w:p>
      <w:pPr>
        <w:snapToGrid w:val="0"/>
        <w:spacing w:line="360" w:lineRule="auto"/>
        <w:ind w:firstLine="420" w:firstLineChars="200"/>
        <w:jc w:val="left"/>
        <w:rPr>
          <w:rFonts w:ascii="宋体" w:hAnsi="宋体"/>
        </w:rPr>
      </w:pPr>
      <w:r>
        <w:rPr>
          <w:rFonts w:hint="eastAsia" w:ascii="宋体" w:hAnsi="宋体"/>
        </w:rPr>
        <w:t>质量标准：</w:t>
      </w:r>
    </w:p>
    <w:p>
      <w:pPr>
        <w:snapToGrid w:val="0"/>
        <w:spacing w:line="360" w:lineRule="auto"/>
        <w:ind w:firstLine="420" w:firstLineChars="200"/>
        <w:jc w:val="left"/>
        <w:rPr>
          <w:rFonts w:ascii="宋体" w:hAnsi="宋体"/>
        </w:rPr>
      </w:pPr>
      <w:r>
        <w:rPr>
          <w:rFonts w:hint="eastAsia" w:ascii="宋体" w:hAnsi="宋体"/>
        </w:rPr>
        <w:t>项目负责人：，注册建造师注册证号：，身份证号码：</w:t>
      </w:r>
    </w:p>
    <w:p>
      <w:pPr>
        <w:snapToGrid w:val="0"/>
        <w:spacing w:line="360" w:lineRule="auto"/>
        <w:ind w:firstLine="420" w:firstLineChars="200"/>
        <w:jc w:val="left"/>
        <w:rPr>
          <w:rFonts w:ascii="宋体" w:hAnsi="宋体"/>
        </w:rPr>
      </w:pPr>
      <w:r>
        <w:rPr>
          <w:rFonts w:hint="eastAsia" w:ascii="宋体" w:hAnsi="宋体"/>
        </w:rPr>
        <w:t>技术负责人：，身份证号码：，</w:t>
      </w:r>
    </w:p>
    <w:p>
      <w:pPr>
        <w:snapToGrid w:val="0"/>
        <w:spacing w:line="360" w:lineRule="auto"/>
        <w:ind w:firstLine="420" w:firstLineChars="200"/>
        <w:jc w:val="left"/>
        <w:rPr>
          <w:rFonts w:ascii="宋体" w:hAnsi="宋体"/>
        </w:rPr>
      </w:pPr>
      <w:r>
        <w:rPr>
          <w:rFonts w:hint="eastAsia" w:ascii="宋体" w:hAnsi="宋体"/>
        </w:rPr>
        <w:t>施工员： ，岗位证书编号：，身份证号码：</w:t>
      </w:r>
    </w:p>
    <w:p>
      <w:pPr>
        <w:snapToGrid w:val="0"/>
        <w:spacing w:line="360" w:lineRule="auto"/>
        <w:ind w:firstLine="420" w:firstLineChars="200"/>
        <w:jc w:val="left"/>
        <w:rPr>
          <w:rFonts w:ascii="宋体" w:hAnsi="宋体"/>
        </w:rPr>
      </w:pPr>
      <w:r>
        <w:rPr>
          <w:rFonts w:hint="eastAsia" w:ascii="宋体" w:hAnsi="宋体"/>
        </w:rPr>
        <w:t>安全员： ，岗位证书编号：，身份证号码：</w:t>
      </w:r>
    </w:p>
    <w:p>
      <w:pPr>
        <w:snapToGrid w:val="0"/>
        <w:spacing w:line="360" w:lineRule="auto"/>
        <w:ind w:firstLine="420" w:firstLineChars="200"/>
        <w:jc w:val="left"/>
        <w:rPr>
          <w:rFonts w:ascii="宋体" w:hAnsi="宋体"/>
          <w:u w:val="single"/>
        </w:rPr>
      </w:pPr>
      <w:r>
        <w:rPr>
          <w:rFonts w:hint="eastAsia" w:ascii="宋体" w:hAnsi="宋体"/>
        </w:rPr>
        <w:t>质量员： ，岗位证书编号：，身份证号码：</w:t>
      </w:r>
    </w:p>
    <w:p>
      <w:pPr>
        <w:snapToGrid w:val="0"/>
        <w:spacing w:line="360" w:lineRule="auto"/>
        <w:ind w:firstLine="420" w:firstLineChars="200"/>
        <w:jc w:val="left"/>
        <w:rPr>
          <w:rFonts w:ascii="宋体" w:hAnsi="宋体"/>
        </w:rPr>
      </w:pPr>
    </w:p>
    <w:p>
      <w:pPr>
        <w:snapToGrid w:val="0"/>
        <w:spacing w:line="360" w:lineRule="auto"/>
        <w:ind w:firstLine="420" w:firstLineChars="200"/>
        <w:jc w:val="left"/>
        <w:rPr>
          <w:rFonts w:ascii="宋体" w:hAnsi="宋体"/>
        </w:rPr>
      </w:pPr>
      <w:r>
        <w:rPr>
          <w:rFonts w:hint="eastAsia" w:ascii="宋体" w:hAnsi="宋体"/>
        </w:rPr>
        <w:t>请贵单位在收到本通知书原件后30天内，与招标人联系办理合同签订等有关事项。</w:t>
      </w:r>
    </w:p>
    <w:p>
      <w:pPr>
        <w:snapToGrid w:val="0"/>
        <w:spacing w:line="360" w:lineRule="auto"/>
        <w:ind w:firstLine="420" w:firstLineChars="200"/>
        <w:jc w:val="left"/>
        <w:rPr>
          <w:rFonts w:ascii="宋体" w:hAnsi="宋体"/>
        </w:rPr>
      </w:pPr>
    </w:p>
    <w:p>
      <w:pPr>
        <w:snapToGrid w:val="0"/>
        <w:spacing w:line="360" w:lineRule="auto"/>
        <w:ind w:firstLine="420" w:firstLineChars="200"/>
        <w:jc w:val="left"/>
        <w:rPr>
          <w:rFonts w:ascii="宋体" w:hAnsi="宋体"/>
        </w:rPr>
      </w:pPr>
      <w:r>
        <w:rPr>
          <w:rFonts w:hint="eastAsia" w:ascii="宋体" w:hAnsi="宋体"/>
        </w:rPr>
        <w:t>付款方式：</w:t>
      </w:r>
    </w:p>
    <w:p>
      <w:pPr>
        <w:snapToGrid w:val="0"/>
        <w:spacing w:line="360" w:lineRule="auto"/>
        <w:ind w:firstLine="420" w:firstLineChars="200"/>
        <w:jc w:val="left"/>
        <w:rPr>
          <w:rFonts w:ascii="宋体" w:hAnsi="宋体"/>
        </w:rPr>
      </w:pPr>
      <w:r>
        <w:rPr>
          <w:rFonts w:hint="eastAsia" w:ascii="宋体" w:hAnsi="宋体"/>
        </w:rPr>
        <w:t>特此通知。</w:t>
      </w:r>
    </w:p>
    <w:p>
      <w:pPr>
        <w:snapToGrid w:val="0"/>
        <w:spacing w:line="360" w:lineRule="auto"/>
        <w:jc w:val="left"/>
        <w:rPr>
          <w:rFonts w:ascii="宋体" w:hAnsi="宋体"/>
        </w:rPr>
      </w:pPr>
    </w:p>
    <w:p>
      <w:pPr>
        <w:snapToGrid w:val="0"/>
        <w:spacing w:line="360" w:lineRule="auto"/>
        <w:jc w:val="left"/>
        <w:rPr>
          <w:rFonts w:ascii="宋体" w:hAnsi="宋体"/>
        </w:rPr>
      </w:pPr>
      <w:r>
        <w:rPr>
          <w:rFonts w:hint="eastAsia" w:ascii="宋体" w:hAnsi="宋体"/>
        </w:rPr>
        <w:t>招标人：</w:t>
      </w:r>
      <w:r>
        <w:rPr>
          <w:rFonts w:hint="eastAsia" w:ascii="宋体" w:hAnsi="宋体"/>
          <w:u w:val="single"/>
        </w:rPr>
        <w:t xml:space="preserve">（法人签字或盖章）     </w:t>
      </w:r>
      <w:r>
        <w:rPr>
          <w:rFonts w:hint="eastAsia" w:ascii="宋体" w:hAnsi="宋体"/>
        </w:rPr>
        <w:t xml:space="preserve">   招标代理机构：</w:t>
      </w:r>
      <w:r>
        <w:rPr>
          <w:rFonts w:hint="eastAsia" w:ascii="宋体" w:hAnsi="宋体"/>
          <w:u w:val="single"/>
        </w:rPr>
        <w:t>（法人签字或盖章）</w:t>
      </w:r>
    </w:p>
    <w:p>
      <w:pPr>
        <w:snapToGrid w:val="0"/>
        <w:spacing w:line="360" w:lineRule="auto"/>
        <w:jc w:val="left"/>
        <w:rPr>
          <w:rFonts w:ascii="宋体" w:hAnsi="宋体"/>
        </w:rPr>
      </w:pPr>
    </w:p>
    <w:p>
      <w:pPr>
        <w:snapToGrid w:val="0"/>
        <w:spacing w:line="360" w:lineRule="auto"/>
        <w:jc w:val="left"/>
        <w:rPr>
          <w:rFonts w:ascii="宋体" w:hAnsi="宋体"/>
        </w:rPr>
      </w:pPr>
    </w:p>
    <w:p>
      <w:pPr>
        <w:snapToGrid w:val="0"/>
        <w:spacing w:line="360" w:lineRule="auto"/>
        <w:jc w:val="left"/>
        <w:rPr>
          <w:rFonts w:ascii="宋体" w:hAnsi="宋体"/>
        </w:rPr>
      </w:pPr>
      <w:r>
        <w:rPr>
          <w:rFonts w:hint="eastAsia" w:ascii="宋体" w:hAnsi="宋体"/>
        </w:rPr>
        <w:t>招标人：</w:t>
      </w:r>
      <w:r>
        <w:rPr>
          <w:rFonts w:hint="eastAsia" w:ascii="宋体" w:hAnsi="宋体"/>
          <w:u w:val="single"/>
        </w:rPr>
        <w:t xml:space="preserve">（公章）                </w:t>
      </w:r>
      <w:r>
        <w:rPr>
          <w:rFonts w:hint="eastAsia" w:ascii="宋体" w:hAnsi="宋体"/>
        </w:rPr>
        <w:t xml:space="preserve">  招标代理机构：</w:t>
      </w:r>
      <w:r>
        <w:rPr>
          <w:rFonts w:hint="eastAsia" w:ascii="宋体" w:hAnsi="宋体"/>
          <w:u w:val="single"/>
        </w:rPr>
        <w:t xml:space="preserve">（公章）          </w:t>
      </w:r>
    </w:p>
    <w:p>
      <w:pPr>
        <w:snapToGrid w:val="0"/>
        <w:spacing w:line="360" w:lineRule="auto"/>
        <w:jc w:val="left"/>
        <w:rPr>
          <w:rFonts w:ascii="宋体" w:hAnsi="宋体"/>
        </w:rPr>
      </w:pPr>
    </w:p>
    <w:p>
      <w:pPr>
        <w:snapToGrid w:val="0"/>
        <w:spacing w:line="360" w:lineRule="auto"/>
        <w:jc w:val="left"/>
        <w:rPr>
          <w:rFonts w:ascii="宋体" w:hAnsi="宋体"/>
        </w:rPr>
      </w:pPr>
    </w:p>
    <w:p>
      <w:pPr>
        <w:snapToGrid w:val="0"/>
        <w:spacing w:line="360" w:lineRule="auto"/>
        <w:jc w:val="left"/>
        <w:rPr>
          <w:rFonts w:ascii="宋体" w:hAnsi="宋体"/>
        </w:rPr>
      </w:pPr>
      <w:r>
        <w:rPr>
          <w:rFonts w:hint="eastAsia" w:ascii="宋体" w:hAnsi="宋体"/>
        </w:rPr>
        <w:t>招投标监管机构备案（签章）：</w:t>
      </w:r>
    </w:p>
    <w:p>
      <w:pPr>
        <w:snapToGrid w:val="0"/>
        <w:spacing w:line="360" w:lineRule="auto"/>
        <w:jc w:val="left"/>
        <w:rPr>
          <w:rFonts w:ascii="宋体" w:hAnsi="宋体"/>
        </w:rPr>
      </w:pPr>
    </w:p>
    <w:p>
      <w:pPr>
        <w:snapToGrid w:val="0"/>
        <w:spacing w:line="360" w:lineRule="auto"/>
        <w:jc w:val="left"/>
        <w:rPr>
          <w:rFonts w:ascii="宋体" w:hAnsi="宋体"/>
        </w:rPr>
      </w:pPr>
    </w:p>
    <w:p>
      <w:pPr>
        <w:snapToGrid w:val="0"/>
        <w:spacing w:line="360" w:lineRule="auto"/>
        <w:jc w:val="left"/>
        <w:rPr>
          <w:rFonts w:ascii="宋体" w:hAnsi="宋体"/>
        </w:rPr>
      </w:pPr>
      <w:r>
        <w:rPr>
          <w:rFonts w:hint="eastAsia" w:ascii="宋体" w:hAnsi="宋体"/>
        </w:rPr>
        <w:t>年月日</w:t>
      </w:r>
    </w:p>
    <w:p>
      <w:pPr>
        <w:spacing w:line="400" w:lineRule="exact"/>
        <w:rPr>
          <w:rStyle w:val="73"/>
          <w:rFonts w:ascii="黑体" w:hAnsi="黑体" w:eastAsia="黑体"/>
          <w:b w:val="0"/>
          <w:sz w:val="24"/>
        </w:rPr>
      </w:pPr>
    </w:p>
    <w:bookmarkEnd w:id="145"/>
    <w:p>
      <w:pPr>
        <w:snapToGrid w:val="0"/>
        <w:spacing w:line="360" w:lineRule="auto"/>
        <w:jc w:val="left"/>
        <w:rPr>
          <w:rFonts w:ascii="宋体" w:hAnsi="宋体"/>
        </w:rPr>
      </w:pPr>
    </w:p>
    <w:p>
      <w:pPr>
        <w:snapToGrid w:val="0"/>
        <w:spacing w:line="360" w:lineRule="auto"/>
        <w:jc w:val="left"/>
        <w:rPr>
          <w:rStyle w:val="73"/>
          <w:rFonts w:ascii="黑体" w:hAnsi="黑体" w:eastAsia="黑体"/>
          <w:b w:val="0"/>
          <w:sz w:val="24"/>
        </w:rPr>
      </w:pPr>
      <w:bookmarkStart w:id="146" w:name="_Toc300678057"/>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p>
    <w:p>
      <w:pPr>
        <w:snapToGrid w:val="0"/>
        <w:spacing w:line="360" w:lineRule="auto"/>
        <w:jc w:val="left"/>
        <w:rPr>
          <w:rStyle w:val="73"/>
          <w:rFonts w:ascii="黑体" w:hAnsi="黑体" w:eastAsia="黑体"/>
          <w:b w:val="0"/>
          <w:sz w:val="24"/>
        </w:rPr>
      </w:pPr>
      <w:r>
        <w:rPr>
          <w:rStyle w:val="73"/>
          <w:rFonts w:hint="eastAsia" w:ascii="黑体" w:hAnsi="黑体" w:eastAsia="黑体"/>
          <w:b w:val="0"/>
          <w:sz w:val="24"/>
        </w:rPr>
        <w:t>附表2-7：电子投标文件编制及报送要求</w:t>
      </w:r>
      <w:bookmarkEnd w:id="146"/>
    </w:p>
    <w:p>
      <w:pPr>
        <w:spacing w:beforeLines="150" w:afterLines="150" w:line="420" w:lineRule="exact"/>
        <w:jc w:val="center"/>
        <w:rPr>
          <w:rFonts w:ascii="黑体" w:eastAsia="黑体"/>
          <w:sz w:val="28"/>
          <w:szCs w:val="28"/>
        </w:rPr>
      </w:pPr>
      <w:r>
        <w:rPr>
          <w:rFonts w:hint="eastAsia" w:ascii="黑体" w:eastAsia="黑体"/>
          <w:sz w:val="28"/>
          <w:szCs w:val="28"/>
        </w:rPr>
        <w:t>电子投标文件编制及报送要求</w:t>
      </w:r>
    </w:p>
    <w:p>
      <w:pPr>
        <w:spacing w:line="312" w:lineRule="auto"/>
        <w:rPr>
          <w:rFonts w:ascii="宋体" w:hAnsi="宋体"/>
          <w:sz w:val="18"/>
          <w:szCs w:val="18"/>
        </w:rPr>
      </w:pPr>
      <w:r>
        <w:rPr>
          <w:rFonts w:hint="eastAsia" w:ascii="宋体" w:hAnsi="宋体"/>
          <w:sz w:val="18"/>
          <w:szCs w:val="18"/>
        </w:rPr>
        <w:t>备注：采用计算机辅助评标，包括采用电子化招标投标的，本附表应当作为本章“投标人须知”的附件，由招标人根据各地和招标项目的具体情况给予规定。</w:t>
      </w:r>
    </w:p>
    <w:p>
      <w:pPr>
        <w:spacing w:line="312" w:lineRule="auto"/>
        <w:rPr>
          <w:rFonts w:ascii="宋体" w:hAnsi="宋体"/>
          <w:sz w:val="18"/>
          <w:szCs w:val="18"/>
        </w:rPr>
      </w:pPr>
      <w:r>
        <w:rPr>
          <w:rFonts w:ascii="楷体_GB2312" w:eastAsia="楷体_GB2312"/>
        </w:rPr>
        <w:br w:type="page"/>
      </w:r>
      <w:bookmarkStart w:id="147" w:name="_Toc300678058"/>
    </w:p>
    <w:bookmarkEnd w:id="147"/>
    <w:p>
      <w:pPr>
        <w:adjustRightInd w:val="0"/>
        <w:snapToGrid w:val="0"/>
        <w:spacing w:line="360" w:lineRule="auto"/>
        <w:jc w:val="center"/>
        <w:rPr>
          <w:rFonts w:hint="eastAsia" w:ascii="黑体" w:hAnsi="黑体" w:eastAsia="黑体" w:cs="Times New Roman"/>
          <w:b w:val="0"/>
          <w:bCs w:val="0"/>
          <w:kern w:val="32"/>
          <w:sz w:val="32"/>
          <w:szCs w:val="32"/>
          <w:lang w:val="en-US" w:eastAsia="zh-CN" w:bidi="ar-SA"/>
        </w:rPr>
      </w:pPr>
      <w:bookmarkStart w:id="148" w:name="_Toc14964019"/>
      <w:bookmarkStart w:id="149" w:name="_Toc300678125"/>
      <w:r>
        <w:rPr>
          <w:rFonts w:hint="eastAsia" w:ascii="黑体" w:hAnsi="黑体" w:eastAsia="黑体" w:cs="Times New Roman"/>
          <w:b w:val="0"/>
          <w:bCs w:val="0"/>
          <w:kern w:val="32"/>
          <w:sz w:val="32"/>
          <w:szCs w:val="32"/>
          <w:lang w:val="en-US" w:eastAsia="zh-CN" w:bidi="ar-SA"/>
        </w:rPr>
        <w:t>第三章  评标办法（综合评估法Ⅱ）</w:t>
      </w:r>
      <w:bookmarkEnd w:id="148"/>
      <w:bookmarkEnd w:id="149"/>
    </w:p>
    <w:p>
      <w:pPr>
        <w:adjustRightInd w:val="0"/>
        <w:snapToGrid w:val="0"/>
        <w:spacing w:line="360" w:lineRule="auto"/>
        <w:jc w:val="center"/>
        <w:rPr>
          <w:rFonts w:hint="eastAsia" w:ascii="宋体" w:hAnsi="宋体"/>
          <w:bCs/>
          <w:sz w:val="30"/>
        </w:rPr>
      </w:pPr>
      <w:bookmarkStart w:id="150" w:name="_Toc300678126"/>
      <w:r>
        <w:rPr>
          <w:rFonts w:hint="eastAsia" w:ascii="宋体" w:hAnsi="宋体"/>
          <w:bCs/>
          <w:sz w:val="30"/>
        </w:rPr>
        <w:t>评标办法前附表</w:t>
      </w:r>
      <w:bookmarkEnd w:id="150"/>
    </w:p>
    <w:tbl>
      <w:tblPr>
        <w:tblStyle w:val="42"/>
        <w:tblW w:w="9210" w:type="dxa"/>
        <w:jc w:val="center"/>
        <w:tblInd w:w="0" w:type="dxa"/>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126"/>
        <w:gridCol w:w="2146"/>
        <w:gridCol w:w="9"/>
        <w:gridCol w:w="5148"/>
      </w:tblGrid>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07"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2146"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评审因素</w:t>
            </w:r>
          </w:p>
        </w:tc>
        <w:tc>
          <w:tcPr>
            <w:tcW w:w="5157"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评审标准</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2.1.1</w:t>
            </w:r>
          </w:p>
        </w:tc>
        <w:tc>
          <w:tcPr>
            <w:tcW w:w="1126"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形式评审</w:t>
            </w:r>
          </w:p>
          <w:p>
            <w:pPr>
              <w:adjustRightInd w:val="0"/>
              <w:snapToGrid w:val="0"/>
              <w:spacing w:line="360" w:lineRule="auto"/>
              <w:jc w:val="center"/>
              <w:rPr>
                <w:rFonts w:hint="eastAsia" w:ascii="宋体" w:hAnsi="宋体"/>
                <w:sz w:val="18"/>
                <w:szCs w:val="21"/>
              </w:rPr>
            </w:pPr>
            <w:r>
              <w:rPr>
                <w:rFonts w:hint="eastAsia" w:ascii="宋体" w:hAnsi="宋体"/>
                <w:sz w:val="18"/>
                <w:szCs w:val="21"/>
              </w:rPr>
              <w:t>标   准</w:t>
            </w:r>
          </w:p>
        </w:tc>
        <w:tc>
          <w:tcPr>
            <w:tcW w:w="2146"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投标人名称</w:t>
            </w:r>
          </w:p>
        </w:tc>
        <w:tc>
          <w:tcPr>
            <w:tcW w:w="5157"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与投标报名、营业执照、资质证书、安全生产许可证、省外企业入湘登记证（仅省外企业）一致，否则为不合格投标人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46"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投标文件签字盖章</w:t>
            </w:r>
          </w:p>
        </w:tc>
        <w:tc>
          <w:tcPr>
            <w:tcW w:w="5157"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若未按第二章“投标人须知前附表”第3.6.3项规定的，则为不合格投标人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46"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投标文件格式</w:t>
            </w:r>
          </w:p>
        </w:tc>
        <w:tc>
          <w:tcPr>
            <w:tcW w:w="5157"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符合第八章“投标文件格式”的要求，若</w:t>
            </w:r>
            <w:r>
              <w:rPr>
                <w:rFonts w:hint="eastAsia" w:ascii="宋体" w:hAnsi="宋体"/>
                <w:kern w:val="0"/>
                <w:sz w:val="18"/>
              </w:rPr>
              <w:t>投标文件未按规定的格式填写的，内容不全或关键字迹模糊、无法辨认的，则为不合格的投标人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139"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46"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报价唯一</w:t>
            </w:r>
          </w:p>
        </w:tc>
        <w:tc>
          <w:tcPr>
            <w:tcW w:w="5157"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只能有一个有效报价，否则为不合格投标人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46" w:type="dxa"/>
            <w:vAlign w:val="center"/>
          </w:tcPr>
          <w:p>
            <w:pPr>
              <w:adjustRightInd w:val="0"/>
              <w:snapToGrid w:val="0"/>
              <w:spacing w:line="360" w:lineRule="auto"/>
              <w:rPr>
                <w:rFonts w:hint="eastAsia" w:ascii="宋体" w:hAnsi="宋体"/>
                <w:sz w:val="18"/>
                <w:szCs w:val="21"/>
              </w:rPr>
            </w:pPr>
            <w:r>
              <w:rPr>
                <w:rFonts w:hint="eastAsia" w:ascii="宋体" w:hAnsi="宋体"/>
                <w:sz w:val="18"/>
              </w:rPr>
              <w:t>联合体协议书（如有的话）</w:t>
            </w:r>
          </w:p>
        </w:tc>
        <w:tc>
          <w:tcPr>
            <w:tcW w:w="5157"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符合第二章第1.4.2条的要求，否则为不合格投标人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7303" w:type="dxa"/>
            <w:gridSpan w:val="3"/>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详见本章附表3-3</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2.1.2</w:t>
            </w:r>
          </w:p>
        </w:tc>
        <w:tc>
          <w:tcPr>
            <w:tcW w:w="1126"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原件与复印件查验标准</w:t>
            </w: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营业执照副本</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原件与投标文件投标函中所附营业执照副本复印件内容一致，否则为不合格投标人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资质等级证书副本</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资质证书提供复印件的应加盖投标单位公章，并可通过扫描二维码查询且与复印件内容应一致，否则为不合格投标人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企业安全生产许可证副本</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原件与投标文件投标函中所附企业安全生产许可证副本复印件内容一致，否则为不合格投标人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入湘施工登记证（仅省外企业）</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原件与投标文件投标函中所附入湘施工登记证复印件内容一致，否则为不合格投标人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ascii="宋体" w:hAnsi="宋体"/>
                <w:color w:val="000000"/>
                <w:sz w:val="18"/>
                <w:szCs w:val="21"/>
              </w:rPr>
            </w:pPr>
            <w:r>
              <w:rPr>
                <w:rFonts w:hint="eastAsia" w:ascii="宋体" w:hAnsi="宋体"/>
                <w:sz w:val="18"/>
                <w:szCs w:val="21"/>
              </w:rPr>
              <w:t>建造师注册证书、B类安全生产考核合格证书</w:t>
            </w:r>
          </w:p>
        </w:tc>
        <w:tc>
          <w:tcPr>
            <w:tcW w:w="5148" w:type="dxa"/>
            <w:vAlign w:val="center"/>
          </w:tcPr>
          <w:p>
            <w:pPr>
              <w:adjustRightInd w:val="0"/>
              <w:snapToGrid w:val="0"/>
              <w:spacing w:line="360" w:lineRule="auto"/>
              <w:rPr>
                <w:rFonts w:ascii="宋体" w:hAnsi="宋体"/>
                <w:color w:val="000000"/>
                <w:sz w:val="18"/>
                <w:szCs w:val="21"/>
              </w:rPr>
            </w:pPr>
            <w:r>
              <w:rPr>
                <w:rFonts w:hint="eastAsia" w:ascii="宋体" w:hAnsi="宋体"/>
                <w:sz w:val="18"/>
                <w:szCs w:val="21"/>
              </w:rPr>
              <w:t>原件与投标文件投标函中所附建造师注册证书、B类安全生产考核合格证书复印件内容一致，否则为不合格投标人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技术负责人职称证书</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原件与投标文件投标函中所附技术负责人职称证复印件内容一致，否则为不合格投标人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施工员、安全员、质量员岗位资格证书</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最低配备数量限制内，原件与投标文件投标函中所附施工员、安全员、质量员岗位资格证书复印件内容一致，否则为不合格投标人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安全员安全考核合格证书C证</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最低配备数量限制内，原件与投标文件投标函中所附安全员安全考核合格证书C证复印件内容一致，否则为不合格投标人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875"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省外企业关键岗位人员证书真实性证明和无在建工程证明</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原件与投标文件投标函中所附省外企业关键岗位人员证书真实性证明和无在建工程证明复印件内容一致，否则为不合格投标人</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原件提供是否齐全</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 xml:space="preserve">投标人是否按规定提供原件； </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w:t>
            </w:r>
          </w:p>
        </w:tc>
        <w:tc>
          <w:tcPr>
            <w:tcW w:w="514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781"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7303" w:type="dxa"/>
            <w:gridSpan w:val="3"/>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详见本章附表3-4</w:t>
            </w:r>
          </w:p>
        </w:tc>
      </w:tr>
    </w:tbl>
    <w:p>
      <w:pPr>
        <w:adjustRightInd w:val="0"/>
        <w:snapToGrid w:val="0"/>
        <w:spacing w:line="360" w:lineRule="auto"/>
        <w:rPr>
          <w:rFonts w:ascii="宋体" w:hAnsi="宋体"/>
        </w:rPr>
      </w:pPr>
    </w:p>
    <w:p>
      <w:pPr>
        <w:adjustRightInd w:val="0"/>
        <w:snapToGrid w:val="0"/>
        <w:spacing w:line="360" w:lineRule="auto"/>
        <w:rPr>
          <w:rFonts w:ascii="宋体" w:hAnsi="宋体"/>
        </w:rPr>
      </w:pPr>
    </w:p>
    <w:tbl>
      <w:tblPr>
        <w:tblStyle w:val="42"/>
        <w:tblW w:w="9078" w:type="dxa"/>
        <w:jc w:val="center"/>
        <w:tblInd w:w="0" w:type="dxa"/>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126"/>
        <w:gridCol w:w="2155"/>
        <w:gridCol w:w="4938"/>
      </w:tblGrid>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985"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2155"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评审因素</w:t>
            </w:r>
          </w:p>
        </w:tc>
        <w:tc>
          <w:tcPr>
            <w:tcW w:w="4938"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评审标准</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859" w:type="dxa"/>
            <w:vMerge w:val="restart"/>
            <w:vAlign w:val="center"/>
          </w:tcPr>
          <w:p>
            <w:pPr>
              <w:adjustRightInd w:val="0"/>
              <w:snapToGrid w:val="0"/>
              <w:spacing w:line="360" w:lineRule="auto"/>
              <w:jc w:val="center"/>
              <w:rPr>
                <w:rFonts w:hint="eastAsia" w:ascii="宋体" w:hAnsi="宋体"/>
                <w:sz w:val="18"/>
              </w:rPr>
            </w:pPr>
            <w:r>
              <w:rPr>
                <w:rFonts w:hint="eastAsia" w:ascii="宋体" w:hAnsi="宋体"/>
                <w:sz w:val="18"/>
                <w:szCs w:val="21"/>
              </w:rPr>
              <w:t>2.1.3</w:t>
            </w:r>
          </w:p>
        </w:tc>
        <w:tc>
          <w:tcPr>
            <w:tcW w:w="1126"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资格评审</w:t>
            </w:r>
          </w:p>
          <w:p>
            <w:pPr>
              <w:adjustRightInd w:val="0"/>
              <w:snapToGrid w:val="0"/>
              <w:spacing w:line="360" w:lineRule="auto"/>
              <w:jc w:val="center"/>
              <w:rPr>
                <w:rFonts w:hint="eastAsia" w:ascii="宋体" w:hAnsi="宋体"/>
                <w:sz w:val="18"/>
                <w:szCs w:val="21"/>
              </w:rPr>
            </w:pPr>
            <w:r>
              <w:rPr>
                <w:rFonts w:hint="eastAsia" w:ascii="宋体" w:hAnsi="宋体"/>
                <w:sz w:val="18"/>
                <w:szCs w:val="21"/>
              </w:rPr>
              <w:t>标  准</w:t>
            </w: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营业执照</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rPr>
              <w:t>具备有效的营业执照</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企业资质等级</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企业安全生产许可证</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rPr>
              <w:t>具备有效的安全生产许可证</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入湘施工登记证（仅省外企业）</w:t>
            </w:r>
          </w:p>
        </w:tc>
        <w:tc>
          <w:tcPr>
            <w:tcW w:w="4938" w:type="dxa"/>
            <w:vAlign w:val="center"/>
          </w:tcPr>
          <w:p>
            <w:pPr>
              <w:adjustRightInd w:val="0"/>
              <w:snapToGrid w:val="0"/>
              <w:spacing w:line="360" w:lineRule="auto"/>
              <w:rPr>
                <w:rFonts w:hint="eastAsia" w:ascii="宋体" w:hAnsi="宋体"/>
                <w:sz w:val="18"/>
              </w:rPr>
            </w:pPr>
            <w:r>
              <w:rPr>
                <w:rFonts w:hint="eastAsia" w:ascii="宋体" w:hAnsi="宋体"/>
                <w:sz w:val="18"/>
              </w:rPr>
              <w:t>省外企业具备有效的入湘施工登记证</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财务状况</w:t>
            </w:r>
          </w:p>
        </w:tc>
        <w:tc>
          <w:tcPr>
            <w:tcW w:w="4938" w:type="dxa"/>
            <w:vAlign w:val="center"/>
          </w:tcPr>
          <w:p>
            <w:pPr>
              <w:adjustRightInd w:val="0"/>
              <w:snapToGrid w:val="0"/>
              <w:spacing w:line="360" w:lineRule="auto"/>
              <w:rPr>
                <w:rFonts w:hint="eastAsia" w:ascii="宋体" w:hAnsi="宋体"/>
                <w:sz w:val="18"/>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类似项目业绩</w:t>
            </w:r>
          </w:p>
        </w:tc>
        <w:tc>
          <w:tcPr>
            <w:tcW w:w="4938" w:type="dxa"/>
            <w:vAlign w:val="center"/>
          </w:tcPr>
          <w:p>
            <w:pPr>
              <w:adjustRightInd w:val="0"/>
              <w:snapToGrid w:val="0"/>
              <w:spacing w:line="360" w:lineRule="auto"/>
              <w:rPr>
                <w:rFonts w:hint="eastAsia" w:ascii="宋体" w:hAnsi="宋体"/>
                <w:sz w:val="18"/>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信誉</w:t>
            </w:r>
          </w:p>
        </w:tc>
        <w:tc>
          <w:tcPr>
            <w:tcW w:w="4938" w:type="dxa"/>
            <w:vAlign w:val="center"/>
          </w:tcPr>
          <w:p>
            <w:pPr>
              <w:adjustRightInd w:val="0"/>
              <w:snapToGrid w:val="0"/>
              <w:spacing w:line="360" w:lineRule="auto"/>
              <w:rPr>
                <w:rFonts w:hint="eastAsia" w:ascii="宋体" w:hAnsi="宋体"/>
                <w:sz w:val="18"/>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rPr>
              <w:t>项目负责人资格</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rPr>
            </w:pPr>
            <w:r>
              <w:rPr>
                <w:rFonts w:hint="eastAsia" w:ascii="宋体" w:hAnsi="宋体"/>
                <w:sz w:val="18"/>
              </w:rPr>
              <w:t>其他要求</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rPr>
              <w:t>符合第二章“投标人须知”第1.4.1项规定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rPr>
            </w:pPr>
            <w:r>
              <w:rPr>
                <w:rFonts w:hint="eastAsia" w:ascii="宋体" w:hAnsi="宋体"/>
                <w:sz w:val="18"/>
              </w:rPr>
              <w:t>投标保证金</w:t>
            </w:r>
          </w:p>
        </w:tc>
        <w:tc>
          <w:tcPr>
            <w:tcW w:w="4938" w:type="dxa"/>
            <w:vAlign w:val="center"/>
          </w:tcPr>
          <w:p>
            <w:pPr>
              <w:adjustRightInd w:val="0"/>
              <w:snapToGrid w:val="0"/>
              <w:spacing w:line="360" w:lineRule="auto"/>
              <w:rPr>
                <w:rFonts w:hint="eastAsia" w:ascii="宋体" w:hAnsi="宋体"/>
                <w:sz w:val="18"/>
              </w:rPr>
            </w:pPr>
            <w:r>
              <w:rPr>
                <w:rFonts w:hint="eastAsia" w:ascii="宋体" w:hAnsi="宋体"/>
                <w:sz w:val="18"/>
                <w:szCs w:val="21"/>
              </w:rPr>
              <w:t>符合第二章“投标人须知”第3.4.1项规定</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2155"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w:t>
            </w:r>
          </w:p>
        </w:tc>
        <w:tc>
          <w:tcPr>
            <w:tcW w:w="493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w:t>
            </w:r>
          </w:p>
        </w:tc>
      </w:tr>
      <w:tr>
        <w:tblPrEx>
          <w:tblBorders>
            <w:top w:val="single" w:color="000000"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7093" w:type="dxa"/>
            <w:gridSpan w:val="2"/>
            <w:vAlign w:val="center"/>
          </w:tcPr>
          <w:p>
            <w:pPr>
              <w:adjustRightInd w:val="0"/>
              <w:snapToGrid w:val="0"/>
              <w:spacing w:line="360" w:lineRule="auto"/>
              <w:rPr>
                <w:rFonts w:hint="eastAsia" w:ascii="宋体" w:hAnsi="宋体"/>
                <w:sz w:val="18"/>
              </w:rPr>
            </w:pPr>
            <w:r>
              <w:rPr>
                <w:rFonts w:hint="eastAsia" w:ascii="宋体" w:hAnsi="宋体"/>
                <w:sz w:val="18"/>
                <w:szCs w:val="21"/>
              </w:rPr>
              <w:t>详见本章附表3-5</w:t>
            </w:r>
          </w:p>
        </w:tc>
      </w:tr>
    </w:tbl>
    <w:p>
      <w:pPr>
        <w:adjustRightInd w:val="0"/>
        <w:snapToGrid w:val="0"/>
        <w:spacing w:line="360" w:lineRule="auto"/>
        <w:rPr>
          <w:rFonts w:ascii="宋体" w:hAnsi="宋体"/>
        </w:rPr>
      </w:pPr>
    </w:p>
    <w:p>
      <w:pPr>
        <w:adjustRightInd w:val="0"/>
        <w:snapToGrid w:val="0"/>
        <w:spacing w:line="360" w:lineRule="auto"/>
        <w:rPr>
          <w:rFonts w:hint="eastAsia" w:ascii="宋体" w:hAnsi="宋体"/>
        </w:rPr>
      </w:pPr>
      <w:r>
        <w:rPr>
          <w:rFonts w:ascii="宋体" w:hAnsi="宋体"/>
        </w:rPr>
        <w:br w:type="page"/>
      </w:r>
    </w:p>
    <w:tbl>
      <w:tblPr>
        <w:tblStyle w:val="42"/>
        <w:tblW w:w="9078" w:type="dxa"/>
        <w:jc w:val="center"/>
        <w:tblInd w:w="0" w:type="dxa"/>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126"/>
        <w:gridCol w:w="1803"/>
        <w:gridCol w:w="5290"/>
      </w:tblGrid>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1985"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1803"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评审因素</w:t>
            </w:r>
          </w:p>
        </w:tc>
        <w:tc>
          <w:tcPr>
            <w:tcW w:w="5290"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评审标准</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797" w:hRule="atLeast"/>
          <w:jc w:val="center"/>
        </w:trPr>
        <w:tc>
          <w:tcPr>
            <w:tcW w:w="859"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2.1.4</w:t>
            </w:r>
          </w:p>
        </w:tc>
        <w:tc>
          <w:tcPr>
            <w:tcW w:w="1126"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响 应 性</w:t>
            </w:r>
          </w:p>
          <w:p>
            <w:pPr>
              <w:adjustRightInd w:val="0"/>
              <w:snapToGrid w:val="0"/>
              <w:spacing w:line="360" w:lineRule="auto"/>
              <w:jc w:val="center"/>
              <w:rPr>
                <w:rFonts w:hint="eastAsia" w:ascii="宋体" w:hAnsi="宋体"/>
                <w:sz w:val="18"/>
                <w:szCs w:val="21"/>
              </w:rPr>
            </w:pPr>
            <w:r>
              <w:rPr>
                <w:rFonts w:hint="eastAsia" w:ascii="宋体" w:hAnsi="宋体"/>
                <w:sz w:val="18"/>
                <w:szCs w:val="21"/>
              </w:rPr>
              <w:t>评审标准</w:t>
            </w:r>
          </w:p>
        </w:tc>
        <w:tc>
          <w:tcPr>
            <w:tcW w:w="1803"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投标内容</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符合第二章“投标人须知”第1.3.1项规定，若</w:t>
            </w:r>
            <w:r>
              <w:rPr>
                <w:rFonts w:hint="eastAsia" w:ascii="宋体" w:hAnsi="宋体"/>
                <w:kern w:val="0"/>
                <w:sz w:val="18"/>
              </w:rPr>
              <w:t>投标文件载明的投标范围小于招标文件规定的招标范围的，则为不合格投标人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工期</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符合第二章“投标人须知”第1.3.2项规定，若</w:t>
            </w:r>
            <w:r>
              <w:rPr>
                <w:rFonts w:hint="eastAsia" w:ascii="宋体" w:hAnsi="宋体"/>
                <w:kern w:val="0"/>
                <w:sz w:val="18"/>
              </w:rPr>
              <w:t>投标文件载明的工期超过招标文件规定且无正当理由说明的，则为不合格投标人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工程质量</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符合第二章“投标人须知”第1.3.3项规定，若</w:t>
            </w:r>
            <w:r>
              <w:rPr>
                <w:rFonts w:hint="eastAsia" w:ascii="宋体" w:hAnsi="宋体"/>
                <w:kern w:val="0"/>
                <w:sz w:val="18"/>
              </w:rPr>
              <w:t>投标文件载明的质量标准低于招标文件规定的，则为不合格投标人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投标有效期</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符合第二章“投标人须知”第3.3.1项规定，若投标有效期短于</w:t>
            </w:r>
            <w:r>
              <w:rPr>
                <w:rFonts w:hint="eastAsia" w:ascii="宋体" w:hAnsi="宋体"/>
                <w:kern w:val="0"/>
                <w:sz w:val="18"/>
              </w:rPr>
              <w:t>招标文件规定的，则为不合格投标人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权利义务</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投标函附录中的相关承诺符合或优于第四章“合同条款及格式”的相关规定</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10"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已标价工程量清单</w:t>
            </w:r>
          </w:p>
          <w:p>
            <w:pPr>
              <w:adjustRightInd w:val="0"/>
              <w:snapToGrid w:val="0"/>
              <w:spacing w:line="360" w:lineRule="auto"/>
              <w:jc w:val="center"/>
              <w:rPr>
                <w:rFonts w:hint="eastAsia" w:ascii="宋体" w:hAnsi="宋体"/>
                <w:sz w:val="18"/>
                <w:szCs w:val="21"/>
              </w:rPr>
            </w:pPr>
            <w:r>
              <w:rPr>
                <w:rFonts w:hint="eastAsia" w:ascii="宋体" w:hAnsi="宋体"/>
                <w:sz w:val="18"/>
                <w:szCs w:val="21"/>
              </w:rPr>
              <w:t>（</w:t>
            </w:r>
            <w:r>
              <w:rPr>
                <w:rFonts w:hint="eastAsia" w:ascii="宋体" w:hAnsi="宋体"/>
                <w:sz w:val="18"/>
              </w:rPr>
              <w:t>投标报价文件</w:t>
            </w:r>
            <w:r>
              <w:rPr>
                <w:rFonts w:hint="eastAsia" w:ascii="宋体" w:hAnsi="宋体"/>
                <w:sz w:val="18"/>
                <w:szCs w:val="21"/>
              </w:rPr>
              <w:t>）</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rPr>
              <w:t>1、投标报价文件由投标人</w:t>
            </w:r>
            <w:r>
              <w:rPr>
                <w:rFonts w:hint="eastAsia" w:ascii="宋体" w:hAnsi="宋体"/>
                <w:bCs/>
                <w:sz w:val="18"/>
              </w:rPr>
              <w:t>自行编制的，应当由注册在本企业的造价工程师签字并加盖注册造价工程师执业专用章；投标人委托他人编制投标报价文件的，应当委托具有相应资质的工程造价咨询机构编制并在投标文件中附有委托合同，其投标报价文件应当注明委托人和被委托人并加盖各自法人公章，同时由被委托人的注册造价工程师签字并加盖注册造价工程师执业专用章，签字盖章的注册造价工程师的注册单位应当与被委托人一致。</w:t>
            </w:r>
          </w:p>
          <w:p>
            <w:pPr>
              <w:adjustRightInd w:val="0"/>
              <w:snapToGrid w:val="0"/>
              <w:spacing w:line="360" w:lineRule="auto"/>
              <w:rPr>
                <w:rFonts w:hint="eastAsia" w:ascii="宋体" w:hAnsi="宋体"/>
                <w:sz w:val="18"/>
              </w:rPr>
            </w:pPr>
            <w:r>
              <w:rPr>
                <w:rFonts w:hint="eastAsia" w:ascii="宋体" w:hAnsi="宋体"/>
                <w:sz w:val="18"/>
              </w:rPr>
              <w:t>2、工程造价咨询机构在同一招标项目中，只得接受一个投标人的委托编制投标报价文件。</w:t>
            </w:r>
          </w:p>
          <w:p>
            <w:pPr>
              <w:adjustRightInd w:val="0"/>
              <w:snapToGrid w:val="0"/>
              <w:spacing w:line="360" w:lineRule="auto"/>
              <w:rPr>
                <w:rFonts w:hint="eastAsia" w:ascii="宋体" w:hAnsi="宋体"/>
                <w:sz w:val="18"/>
                <w:szCs w:val="21"/>
              </w:rPr>
            </w:pPr>
            <w:r>
              <w:rPr>
                <w:rFonts w:hint="eastAsia" w:ascii="宋体" w:hAnsi="宋体"/>
                <w:sz w:val="18"/>
                <w:szCs w:val="21"/>
              </w:rPr>
              <w:t>3、符合第五章“工程量清单”给出的子目编码、子目名称、子目特征、计量单位和工程数量。</w:t>
            </w:r>
          </w:p>
          <w:p>
            <w:pPr>
              <w:adjustRightInd w:val="0"/>
              <w:snapToGrid w:val="0"/>
              <w:spacing w:line="360" w:lineRule="auto"/>
              <w:rPr>
                <w:rFonts w:hint="eastAsia" w:ascii="宋体" w:hAnsi="宋体"/>
                <w:sz w:val="18"/>
                <w:szCs w:val="21"/>
              </w:rPr>
            </w:pPr>
            <w:r>
              <w:rPr>
                <w:rFonts w:hint="eastAsia" w:ascii="宋体" w:hAnsi="宋体"/>
                <w:sz w:val="18"/>
                <w:szCs w:val="21"/>
              </w:rPr>
              <w:t>4、低于（含等于）第二章“投标人须知”前附表第10.2款载明的招标控制价。</w:t>
            </w:r>
          </w:p>
          <w:p>
            <w:pPr>
              <w:adjustRightInd w:val="0"/>
              <w:snapToGrid w:val="0"/>
              <w:spacing w:line="360" w:lineRule="auto"/>
              <w:rPr>
                <w:rFonts w:hint="eastAsia" w:ascii="宋体" w:hAnsi="宋体"/>
                <w:sz w:val="18"/>
              </w:rPr>
            </w:pPr>
            <w:r>
              <w:rPr>
                <w:rFonts w:hint="eastAsia" w:ascii="宋体" w:hAnsi="宋体"/>
                <w:sz w:val="18"/>
                <w:szCs w:val="21"/>
              </w:rPr>
              <w:t>5、</w:t>
            </w:r>
            <w:r>
              <w:rPr>
                <w:rFonts w:hint="eastAsia" w:ascii="宋体" w:hAnsi="宋体"/>
                <w:sz w:val="18"/>
              </w:rPr>
              <w:t>投标报价措施项目清单中的安全文明施工措施费未低于规定标准，规费和税金按照国家和省有关规定计价。</w:t>
            </w:r>
          </w:p>
          <w:p>
            <w:pPr>
              <w:adjustRightInd w:val="0"/>
              <w:snapToGrid w:val="0"/>
              <w:spacing w:line="360" w:lineRule="auto"/>
              <w:rPr>
                <w:rFonts w:hint="eastAsia" w:ascii="宋体" w:hAnsi="宋体"/>
                <w:sz w:val="18"/>
              </w:rPr>
            </w:pPr>
            <w:r>
              <w:rPr>
                <w:rFonts w:hint="eastAsia" w:ascii="宋体" w:hAnsi="宋体"/>
                <w:sz w:val="18"/>
              </w:rPr>
              <w:t>6、工程量清单中暂估价、暂列金额未发生变化的。</w:t>
            </w:r>
          </w:p>
          <w:p>
            <w:pPr>
              <w:adjustRightInd w:val="0"/>
              <w:snapToGrid w:val="0"/>
              <w:spacing w:line="360" w:lineRule="auto"/>
              <w:rPr>
                <w:rFonts w:hint="eastAsia" w:ascii="宋体" w:hAnsi="宋体"/>
                <w:sz w:val="18"/>
                <w:szCs w:val="21"/>
              </w:rPr>
            </w:pPr>
            <w:r>
              <w:rPr>
                <w:rFonts w:hint="eastAsia" w:ascii="宋体" w:hAnsi="宋体"/>
                <w:sz w:val="18"/>
                <w:szCs w:val="21"/>
              </w:rPr>
              <w:t>上述若有一条不符合，则投标报价无效，按废标处理。</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技术标准</w:t>
            </w:r>
          </w:p>
          <w:p>
            <w:pPr>
              <w:adjustRightInd w:val="0"/>
              <w:snapToGrid w:val="0"/>
              <w:spacing w:line="360" w:lineRule="auto"/>
              <w:jc w:val="center"/>
              <w:rPr>
                <w:rFonts w:hint="eastAsia" w:ascii="宋体" w:hAnsi="宋体"/>
                <w:sz w:val="18"/>
                <w:szCs w:val="21"/>
              </w:rPr>
            </w:pPr>
            <w:r>
              <w:rPr>
                <w:rFonts w:hint="eastAsia" w:ascii="宋体" w:hAnsi="宋体"/>
                <w:sz w:val="18"/>
                <w:szCs w:val="21"/>
              </w:rPr>
              <w:t>和要求</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符合第七章“技术标准和要求”规定，若</w:t>
            </w:r>
            <w:r>
              <w:rPr>
                <w:rFonts w:hint="eastAsia" w:ascii="宋体" w:hAnsi="宋体"/>
                <w:kern w:val="0"/>
                <w:sz w:val="18"/>
              </w:rPr>
              <w:t>投标文件载明的保修承诺不符合招标文件要求的，则为不合格投标人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1803"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承诺书</w:t>
            </w:r>
          </w:p>
        </w:tc>
        <w:tc>
          <w:tcPr>
            <w:tcW w:w="529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符合第八章“承诺书”规定，若投标文件载明的承诺书不符合招标文件要求的，则为不合格投标人</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859" w:type="dxa"/>
            <w:vMerge w:val="continue"/>
            <w:vAlign w:val="center"/>
          </w:tcPr>
          <w:p>
            <w:pPr>
              <w:adjustRightInd w:val="0"/>
              <w:snapToGrid w:val="0"/>
              <w:spacing w:line="360" w:lineRule="auto"/>
              <w:jc w:val="center"/>
              <w:rPr>
                <w:rFonts w:hint="eastAsia" w:ascii="宋体" w:hAnsi="宋体"/>
                <w:sz w:val="18"/>
                <w:szCs w:val="21"/>
              </w:rPr>
            </w:pPr>
          </w:p>
        </w:tc>
        <w:tc>
          <w:tcPr>
            <w:tcW w:w="1126" w:type="dxa"/>
            <w:vMerge w:val="continue"/>
            <w:vAlign w:val="center"/>
          </w:tcPr>
          <w:p>
            <w:pPr>
              <w:adjustRightInd w:val="0"/>
              <w:snapToGrid w:val="0"/>
              <w:spacing w:line="360" w:lineRule="auto"/>
              <w:jc w:val="center"/>
              <w:rPr>
                <w:rFonts w:hint="eastAsia" w:ascii="宋体" w:hAnsi="宋体"/>
                <w:sz w:val="18"/>
                <w:szCs w:val="21"/>
              </w:rPr>
            </w:pPr>
          </w:p>
        </w:tc>
        <w:tc>
          <w:tcPr>
            <w:tcW w:w="7093" w:type="dxa"/>
            <w:gridSpan w:val="2"/>
            <w:vAlign w:val="center"/>
          </w:tcPr>
          <w:p>
            <w:pPr>
              <w:adjustRightInd w:val="0"/>
              <w:snapToGrid w:val="0"/>
              <w:spacing w:line="360" w:lineRule="auto"/>
              <w:jc w:val="left"/>
              <w:rPr>
                <w:rFonts w:hint="eastAsia" w:ascii="宋体" w:hAnsi="宋体"/>
                <w:sz w:val="18"/>
                <w:szCs w:val="21"/>
              </w:rPr>
            </w:pPr>
            <w:r>
              <w:rPr>
                <w:rFonts w:hint="eastAsia" w:ascii="宋体" w:hAnsi="宋体"/>
                <w:sz w:val="18"/>
                <w:szCs w:val="21"/>
              </w:rPr>
              <w:t>详见本章附表3-6</w:t>
            </w:r>
          </w:p>
        </w:tc>
      </w:tr>
    </w:tbl>
    <w:p>
      <w:pPr>
        <w:adjustRightInd w:val="0"/>
        <w:snapToGrid w:val="0"/>
        <w:spacing w:line="360" w:lineRule="auto"/>
        <w:rPr>
          <w:rFonts w:ascii="宋体" w:hAnsi="宋体"/>
        </w:rPr>
      </w:pPr>
    </w:p>
    <w:p>
      <w:pPr>
        <w:adjustRightInd w:val="0"/>
        <w:snapToGrid w:val="0"/>
        <w:spacing w:line="360" w:lineRule="auto"/>
        <w:rPr>
          <w:rFonts w:ascii="宋体" w:hAnsi="宋体"/>
        </w:rPr>
      </w:pPr>
      <w:r>
        <w:rPr>
          <w:rFonts w:ascii="宋体" w:hAnsi="宋体"/>
        </w:rPr>
        <w:br w:type="page"/>
      </w:r>
    </w:p>
    <w:tbl>
      <w:tblPr>
        <w:tblStyle w:val="42"/>
        <w:tblW w:w="9168" w:type="dxa"/>
        <w:jc w:val="center"/>
        <w:tblInd w:w="0" w:type="dxa"/>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309"/>
        <w:gridCol w:w="2130"/>
        <w:gridCol w:w="4988"/>
      </w:tblGrid>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2050"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2130"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条款内容</w:t>
            </w:r>
          </w:p>
        </w:tc>
        <w:tc>
          <w:tcPr>
            <w:tcW w:w="4988"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编列内容</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1462" w:hRule="atLeast"/>
          <w:jc w:val="center"/>
        </w:trPr>
        <w:tc>
          <w:tcPr>
            <w:tcW w:w="2050"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2.2.1</w:t>
            </w: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分值构成</w:t>
            </w:r>
          </w:p>
          <w:p>
            <w:pPr>
              <w:adjustRightInd w:val="0"/>
              <w:snapToGrid w:val="0"/>
              <w:spacing w:line="360" w:lineRule="auto"/>
              <w:rPr>
                <w:rFonts w:hint="eastAsia" w:ascii="宋体" w:hAnsi="宋体"/>
                <w:sz w:val="18"/>
                <w:szCs w:val="21"/>
              </w:rPr>
            </w:pPr>
            <w:r>
              <w:rPr>
                <w:rFonts w:hint="eastAsia" w:ascii="宋体" w:hAnsi="宋体"/>
                <w:sz w:val="18"/>
                <w:szCs w:val="21"/>
              </w:rPr>
              <w:t>（总分100分）</w:t>
            </w:r>
          </w:p>
        </w:tc>
        <w:tc>
          <w:tcPr>
            <w:tcW w:w="498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施工组织设计K1：25分</w:t>
            </w:r>
          </w:p>
          <w:p>
            <w:pPr>
              <w:adjustRightInd w:val="0"/>
              <w:snapToGrid w:val="0"/>
              <w:spacing w:line="360" w:lineRule="auto"/>
              <w:rPr>
                <w:rFonts w:hint="eastAsia" w:ascii="宋体" w:hAnsi="宋体"/>
                <w:sz w:val="18"/>
                <w:szCs w:val="21"/>
              </w:rPr>
            </w:pPr>
            <w:r>
              <w:rPr>
                <w:rFonts w:hint="eastAsia" w:ascii="宋体" w:hAnsi="宋体"/>
                <w:sz w:val="18"/>
                <w:szCs w:val="21"/>
              </w:rPr>
              <w:t>项目管理机构K2：</w:t>
            </w:r>
            <w:r>
              <w:rPr>
                <w:rFonts w:hint="eastAsia" w:ascii="宋体" w:hAnsi="宋体"/>
                <w:sz w:val="18"/>
                <w:szCs w:val="21"/>
                <w:lang w:val="en-US" w:eastAsia="zh-CN"/>
              </w:rPr>
              <w:t>15</w:t>
            </w:r>
            <w:r>
              <w:rPr>
                <w:rFonts w:hint="eastAsia" w:ascii="宋体" w:hAnsi="宋体"/>
                <w:sz w:val="18"/>
                <w:szCs w:val="21"/>
              </w:rPr>
              <w:t>分</w:t>
            </w:r>
          </w:p>
          <w:p>
            <w:pPr>
              <w:adjustRightInd w:val="0"/>
              <w:snapToGrid w:val="0"/>
              <w:spacing w:line="360" w:lineRule="auto"/>
              <w:rPr>
                <w:rFonts w:hint="eastAsia" w:ascii="宋体" w:hAnsi="宋体"/>
                <w:sz w:val="18"/>
                <w:szCs w:val="21"/>
              </w:rPr>
            </w:pPr>
            <w:r>
              <w:rPr>
                <w:rFonts w:hint="eastAsia" w:ascii="宋体" w:hAnsi="宋体"/>
                <w:sz w:val="18"/>
                <w:szCs w:val="21"/>
              </w:rPr>
              <w:t xml:space="preserve">信誉评审K3：    </w:t>
            </w:r>
            <w:r>
              <w:rPr>
                <w:rFonts w:hint="eastAsia" w:ascii="宋体" w:hAnsi="宋体"/>
                <w:sz w:val="18"/>
                <w:szCs w:val="21"/>
                <w:lang w:val="en-US" w:eastAsia="zh-CN"/>
              </w:rPr>
              <w:t>15</w:t>
            </w:r>
            <w:r>
              <w:rPr>
                <w:rFonts w:hint="eastAsia" w:ascii="宋体" w:hAnsi="宋体"/>
                <w:sz w:val="18"/>
                <w:szCs w:val="21"/>
              </w:rPr>
              <w:t>分</w:t>
            </w:r>
          </w:p>
          <w:p>
            <w:pPr>
              <w:adjustRightInd w:val="0"/>
              <w:snapToGrid w:val="0"/>
              <w:spacing w:line="360" w:lineRule="auto"/>
              <w:rPr>
                <w:rFonts w:hint="eastAsia" w:ascii="宋体" w:hAnsi="宋体"/>
                <w:sz w:val="18"/>
                <w:szCs w:val="21"/>
              </w:rPr>
            </w:pPr>
            <w:r>
              <w:rPr>
                <w:rFonts w:hint="eastAsia" w:ascii="宋体" w:hAnsi="宋体"/>
                <w:sz w:val="18"/>
                <w:szCs w:val="21"/>
              </w:rPr>
              <w:t xml:space="preserve">投标报价K4：    </w:t>
            </w:r>
            <w:r>
              <w:rPr>
                <w:rFonts w:hint="eastAsia" w:ascii="宋体" w:hAnsi="宋体"/>
                <w:sz w:val="18"/>
                <w:szCs w:val="21"/>
                <w:lang w:val="en-US" w:eastAsia="zh-CN"/>
              </w:rPr>
              <w:t>45</w:t>
            </w:r>
            <w:r>
              <w:rPr>
                <w:rFonts w:hint="eastAsia" w:ascii="宋体" w:hAnsi="宋体"/>
                <w:sz w:val="18"/>
                <w:szCs w:val="21"/>
              </w:rPr>
              <w:t>分</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1783" w:hRule="atLeast"/>
          <w:jc w:val="center"/>
        </w:trPr>
        <w:tc>
          <w:tcPr>
            <w:tcW w:w="2050"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2.2.2</w:t>
            </w: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评标基准价</w:t>
            </w:r>
          </w:p>
          <w:p>
            <w:pPr>
              <w:adjustRightInd w:val="0"/>
              <w:snapToGrid w:val="0"/>
              <w:spacing w:line="360" w:lineRule="auto"/>
              <w:rPr>
                <w:rFonts w:hint="eastAsia" w:ascii="宋体" w:hAnsi="宋体"/>
                <w:sz w:val="18"/>
                <w:szCs w:val="21"/>
              </w:rPr>
            </w:pPr>
            <w:r>
              <w:rPr>
                <w:rFonts w:hint="eastAsia" w:ascii="宋体" w:hAnsi="宋体"/>
                <w:sz w:val="18"/>
                <w:szCs w:val="21"/>
              </w:rPr>
              <w:t>计算方法</w:t>
            </w:r>
          </w:p>
        </w:tc>
        <w:tc>
          <w:tcPr>
            <w:tcW w:w="4988" w:type="dxa"/>
            <w:vAlign w:val="center"/>
          </w:tcPr>
          <w:p>
            <w:pPr>
              <w:rPr>
                <w:rFonts w:ascii="宋体" w:hAnsi="宋体"/>
                <w:b/>
                <w:bCs/>
                <w:sz w:val="18"/>
                <w:szCs w:val="21"/>
                <w:lang w:val="pt-BR"/>
              </w:rPr>
            </w:pPr>
            <w:r>
              <w:rPr>
                <w:rFonts w:ascii="宋体" w:hAnsi="宋体"/>
                <w:sz w:val="18"/>
                <w:szCs w:val="18"/>
                <w:lang w:val="pt-BR"/>
              </w:rPr>
              <w:t xml:space="preserve"> </w:t>
            </w:r>
          </w:p>
          <w:p>
            <w:pPr>
              <w:ind w:firstLine="1260" w:firstLineChars="700"/>
              <w:rPr>
                <w:rFonts w:ascii="宋体" w:hAnsi="宋体"/>
                <w:sz w:val="18"/>
                <w:szCs w:val="21"/>
                <w:lang w:val="pt-BR"/>
              </w:rPr>
            </w:pPr>
            <w:r>
              <w:rPr>
                <w:rFonts w:hint="eastAsia" w:ascii="宋体" w:hAnsi="宋体"/>
                <w:sz w:val="18"/>
                <w:szCs w:val="21"/>
                <w:lang w:val="pt-BR"/>
              </w:rPr>
              <w:t>A1+A2+……＋Ai+……＋An</w:t>
            </w:r>
          </w:p>
          <w:p>
            <w:pPr>
              <w:rPr>
                <w:rFonts w:ascii="宋体" w:hAnsi="宋体"/>
                <w:sz w:val="18"/>
              </w:rPr>
            </w:pPr>
            <w:r>
              <w:rPr>
                <w:rFonts w:hAnsi="宋体"/>
                <w:sz w:val="24"/>
              </w:rPr>
              <w:sym w:font="Wingdings" w:char="F0FE"/>
            </w:r>
            <w:r>
              <w:rPr>
                <w:rFonts w:hint="eastAsia" w:ascii="宋体" w:hAnsi="宋体"/>
                <w:sz w:val="18"/>
                <w:szCs w:val="21"/>
              </w:rPr>
              <w:t>基准价=          N               ×（1-</w:t>
            </w:r>
            <w:r>
              <w:rPr>
                <w:rFonts w:hint="eastAsia" w:ascii="宋体" w:hAnsi="宋体"/>
                <w:sz w:val="18"/>
              </w:rPr>
              <w:t>β</w:t>
            </w:r>
            <w:r>
              <w:rPr>
                <w:rFonts w:hint="eastAsia" w:ascii="宋体" w:hAnsi="宋体"/>
                <w:sz w:val="18"/>
                <w:szCs w:val="21"/>
              </w:rPr>
              <w:t>）</w:t>
            </w:r>
          </w:p>
          <w:p>
            <w:pPr>
              <w:spacing w:line="360" w:lineRule="auto"/>
              <w:rPr>
                <w:rFonts w:hint="eastAsia" w:ascii="宋体" w:hAnsi="宋体"/>
                <w:sz w:val="18"/>
                <w:szCs w:val="21"/>
              </w:rPr>
            </w:pPr>
            <w:r>
              <w:rPr>
                <w:rFonts w:hint="eastAsia" w:ascii="宋体" w:hAnsi="宋体"/>
                <w:sz w:val="18"/>
              </w:rPr>
              <w:t>i=1…i…n; Ai为进入基准价计算的最终投标价； N为进入基准价计算的最终投标价的个数；β为下浮点数，下浮点数为</w:t>
            </w:r>
            <w:r>
              <w:rPr>
                <w:rFonts w:hint="eastAsia" w:ascii="宋体" w:hAnsi="宋体"/>
                <w:sz w:val="18"/>
                <w:szCs w:val="18"/>
              </w:rPr>
              <w:t>1%、1.5%、2%、</w:t>
            </w:r>
            <w:r>
              <w:rPr>
                <w:rFonts w:hint="eastAsia" w:ascii="宋体" w:hAnsi="宋体"/>
                <w:sz w:val="18"/>
              </w:rPr>
              <w:t>2.5%、3%，由招标人在开标现场随机抽取确定。</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1281" w:hRule="atLeast"/>
          <w:jc w:val="center"/>
        </w:trPr>
        <w:tc>
          <w:tcPr>
            <w:tcW w:w="2050"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2.2.3</w:t>
            </w: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投标报价的偏差率</w:t>
            </w:r>
          </w:p>
          <w:p>
            <w:pPr>
              <w:adjustRightInd w:val="0"/>
              <w:snapToGrid w:val="0"/>
              <w:spacing w:line="360" w:lineRule="auto"/>
              <w:rPr>
                <w:rFonts w:hint="eastAsia" w:ascii="宋体" w:hAnsi="宋体"/>
                <w:sz w:val="18"/>
                <w:szCs w:val="21"/>
              </w:rPr>
            </w:pPr>
            <w:r>
              <w:rPr>
                <w:rFonts w:hint="eastAsia" w:ascii="宋体" w:hAnsi="宋体"/>
                <w:sz w:val="18"/>
                <w:szCs w:val="21"/>
              </w:rPr>
              <w:t>计算公式</w:t>
            </w:r>
          </w:p>
        </w:tc>
        <w:tc>
          <w:tcPr>
            <w:tcW w:w="4988" w:type="dxa"/>
            <w:vAlign w:val="center"/>
          </w:tcPr>
          <w:p>
            <w:pPr>
              <w:adjustRightInd w:val="0"/>
              <w:snapToGrid w:val="0"/>
              <w:spacing w:line="360" w:lineRule="auto"/>
              <w:rPr>
                <w:rFonts w:hint="eastAsia" w:ascii="宋体" w:hAnsi="宋体"/>
                <w:sz w:val="18"/>
                <w:szCs w:val="21"/>
              </w:rPr>
            </w:pPr>
            <w:r>
              <w:rPr>
                <w:rFonts w:ascii="宋体" w:hAnsi="宋体"/>
                <w:sz w:val="24"/>
              </w:rPr>
              <w:sym w:font="Wingdings" w:char="F0FE"/>
            </w:r>
            <w:r>
              <w:rPr>
                <w:rFonts w:hint="eastAsia" w:ascii="宋体" w:hAnsi="宋体"/>
                <w:sz w:val="18"/>
                <w:szCs w:val="21"/>
              </w:rPr>
              <w:t>偏差率</w:t>
            </w:r>
            <w:r>
              <w:rPr>
                <w:rFonts w:ascii="宋体" w:hAnsi="宋体"/>
                <w:sz w:val="18"/>
                <w:szCs w:val="21"/>
              </w:rPr>
              <w:t>=100%</w:t>
            </w:r>
            <w:r>
              <w:rPr>
                <w:rFonts w:hint="eastAsia" w:ascii="宋体" w:hAnsi="宋体"/>
                <w:sz w:val="18"/>
                <w:szCs w:val="21"/>
              </w:rPr>
              <w:t>×│（最终投标报价－基准价）</w:t>
            </w:r>
            <w:r>
              <w:rPr>
                <w:rFonts w:ascii="宋体" w:hAnsi="宋体"/>
                <w:sz w:val="18"/>
                <w:szCs w:val="21"/>
              </w:rPr>
              <w:t>/</w:t>
            </w:r>
            <w:r>
              <w:rPr>
                <w:rFonts w:hint="eastAsia" w:ascii="宋体" w:hAnsi="宋体"/>
                <w:sz w:val="18"/>
                <w:szCs w:val="21"/>
              </w:rPr>
              <w:t>基准价│</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2050" w:type="dxa"/>
            <w:gridSpan w:val="2"/>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2130"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评分因素</w:t>
            </w:r>
          </w:p>
        </w:tc>
        <w:tc>
          <w:tcPr>
            <w:tcW w:w="4988" w:type="dxa"/>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评分标准</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741"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2.2.4</w:t>
            </w:r>
          </w:p>
          <w:p>
            <w:pPr>
              <w:adjustRightInd w:val="0"/>
              <w:snapToGrid w:val="0"/>
              <w:spacing w:line="360" w:lineRule="auto"/>
              <w:jc w:val="center"/>
              <w:rPr>
                <w:rFonts w:hint="eastAsia" w:ascii="宋体" w:hAnsi="宋体"/>
                <w:sz w:val="18"/>
                <w:szCs w:val="21"/>
              </w:rPr>
            </w:pPr>
            <w:r>
              <w:rPr>
                <w:rFonts w:hint="eastAsia" w:ascii="宋体" w:hAnsi="宋体"/>
                <w:sz w:val="18"/>
                <w:szCs w:val="21"/>
              </w:rPr>
              <w:t>（1）</w:t>
            </w:r>
          </w:p>
        </w:tc>
        <w:tc>
          <w:tcPr>
            <w:tcW w:w="1309"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施工组织</w:t>
            </w:r>
          </w:p>
          <w:p>
            <w:pPr>
              <w:adjustRightInd w:val="0"/>
              <w:snapToGrid w:val="0"/>
              <w:spacing w:line="360" w:lineRule="auto"/>
              <w:jc w:val="center"/>
              <w:rPr>
                <w:rFonts w:hint="eastAsia" w:ascii="宋体" w:hAnsi="宋体"/>
                <w:sz w:val="18"/>
                <w:szCs w:val="21"/>
              </w:rPr>
            </w:pPr>
            <w:r>
              <w:rPr>
                <w:rFonts w:hint="eastAsia" w:ascii="宋体" w:hAnsi="宋体"/>
                <w:sz w:val="18"/>
                <w:szCs w:val="21"/>
              </w:rPr>
              <w:t>设计评分</w:t>
            </w:r>
          </w:p>
          <w:p>
            <w:pPr>
              <w:adjustRightInd w:val="0"/>
              <w:snapToGrid w:val="0"/>
              <w:spacing w:line="360" w:lineRule="auto"/>
              <w:jc w:val="center"/>
              <w:rPr>
                <w:rFonts w:hint="eastAsia" w:ascii="宋体" w:hAnsi="宋体"/>
                <w:sz w:val="18"/>
                <w:szCs w:val="21"/>
              </w:rPr>
            </w:pPr>
            <w:r>
              <w:rPr>
                <w:rFonts w:hint="eastAsia" w:ascii="宋体" w:hAnsi="宋体"/>
                <w:sz w:val="18"/>
                <w:szCs w:val="21"/>
              </w:rPr>
              <w:t>标   准</w:t>
            </w: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内容完整性和编制水平</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3～4/5</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施工方案与技术措施</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21～23/25～28/30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质量管理体系与措施</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10～13/15</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安全管理体系与措施</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10～13/15</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环保管理体系与措施</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6～8/10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工程进度计划与措施</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10～13/15</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17"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资源配备计划</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6～8/10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7118"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详见本章附表3-10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741"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2.2.4</w:t>
            </w:r>
          </w:p>
          <w:p>
            <w:pPr>
              <w:adjustRightInd w:val="0"/>
              <w:snapToGrid w:val="0"/>
              <w:spacing w:line="360" w:lineRule="auto"/>
              <w:jc w:val="center"/>
              <w:rPr>
                <w:rFonts w:hint="eastAsia" w:ascii="宋体" w:hAnsi="宋体"/>
                <w:sz w:val="18"/>
                <w:szCs w:val="21"/>
              </w:rPr>
            </w:pPr>
            <w:r>
              <w:rPr>
                <w:rFonts w:hint="eastAsia" w:ascii="宋体" w:hAnsi="宋体"/>
                <w:sz w:val="18"/>
                <w:szCs w:val="21"/>
              </w:rPr>
              <w:t>（2）</w:t>
            </w:r>
          </w:p>
        </w:tc>
        <w:tc>
          <w:tcPr>
            <w:tcW w:w="1309" w:type="dxa"/>
            <w:vMerge w:val="restart"/>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项目管理</w:t>
            </w:r>
          </w:p>
          <w:p>
            <w:pPr>
              <w:adjustRightInd w:val="0"/>
              <w:snapToGrid w:val="0"/>
              <w:spacing w:line="360" w:lineRule="auto"/>
              <w:jc w:val="center"/>
              <w:rPr>
                <w:rFonts w:hint="eastAsia" w:ascii="宋体" w:hAnsi="宋体"/>
                <w:sz w:val="18"/>
                <w:szCs w:val="21"/>
              </w:rPr>
            </w:pPr>
            <w:r>
              <w:rPr>
                <w:rFonts w:hint="eastAsia" w:ascii="宋体" w:hAnsi="宋体"/>
                <w:sz w:val="18"/>
                <w:szCs w:val="21"/>
              </w:rPr>
              <w:t>机构评分</w:t>
            </w:r>
          </w:p>
          <w:p>
            <w:pPr>
              <w:adjustRightInd w:val="0"/>
              <w:snapToGrid w:val="0"/>
              <w:spacing w:line="360" w:lineRule="auto"/>
              <w:jc w:val="center"/>
              <w:rPr>
                <w:rFonts w:hint="eastAsia" w:ascii="宋体" w:hAnsi="宋体"/>
                <w:sz w:val="18"/>
                <w:szCs w:val="21"/>
              </w:rPr>
            </w:pPr>
            <w:r>
              <w:rPr>
                <w:rFonts w:hint="eastAsia" w:ascii="宋体" w:hAnsi="宋体"/>
                <w:sz w:val="18"/>
                <w:szCs w:val="21"/>
              </w:rPr>
              <w:t>标   准</w:t>
            </w: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项目负责人资格与业绩</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40～48/50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技术负责人资格与业绩</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16～19/20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2130"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其他主要人员</w:t>
            </w:r>
          </w:p>
        </w:tc>
        <w:tc>
          <w:tcPr>
            <w:tcW w:w="498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21～28/30</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jc w:val="center"/>
        </w:trPr>
        <w:tc>
          <w:tcPr>
            <w:tcW w:w="741" w:type="dxa"/>
            <w:vMerge w:val="continue"/>
            <w:vAlign w:val="center"/>
          </w:tcPr>
          <w:p>
            <w:pPr>
              <w:adjustRightInd w:val="0"/>
              <w:snapToGrid w:val="0"/>
              <w:spacing w:line="360" w:lineRule="auto"/>
              <w:jc w:val="center"/>
              <w:rPr>
                <w:rFonts w:hint="eastAsia" w:ascii="宋体" w:hAnsi="宋体"/>
                <w:sz w:val="18"/>
                <w:szCs w:val="21"/>
              </w:rPr>
            </w:pPr>
          </w:p>
        </w:tc>
        <w:tc>
          <w:tcPr>
            <w:tcW w:w="1309" w:type="dxa"/>
            <w:vMerge w:val="continue"/>
            <w:vAlign w:val="center"/>
          </w:tcPr>
          <w:p>
            <w:pPr>
              <w:adjustRightInd w:val="0"/>
              <w:snapToGrid w:val="0"/>
              <w:spacing w:line="360" w:lineRule="auto"/>
              <w:jc w:val="center"/>
              <w:rPr>
                <w:rFonts w:hint="eastAsia" w:ascii="宋体" w:hAnsi="宋体"/>
                <w:sz w:val="18"/>
                <w:szCs w:val="21"/>
              </w:rPr>
            </w:pPr>
          </w:p>
        </w:tc>
        <w:tc>
          <w:tcPr>
            <w:tcW w:w="7118"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详见本章附表3-11</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741"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2.2.4</w:t>
            </w:r>
          </w:p>
          <w:p>
            <w:pPr>
              <w:adjustRightInd w:val="0"/>
              <w:snapToGrid w:val="0"/>
              <w:spacing w:line="360" w:lineRule="auto"/>
              <w:jc w:val="center"/>
              <w:rPr>
                <w:rFonts w:hint="eastAsia" w:ascii="宋体" w:hAnsi="宋体"/>
                <w:sz w:val="18"/>
                <w:szCs w:val="21"/>
              </w:rPr>
            </w:pPr>
            <w:r>
              <w:rPr>
                <w:rFonts w:hint="eastAsia" w:ascii="宋体" w:hAnsi="宋体"/>
                <w:sz w:val="18"/>
                <w:szCs w:val="21"/>
              </w:rPr>
              <w:t>（3）</w:t>
            </w:r>
          </w:p>
        </w:tc>
        <w:tc>
          <w:tcPr>
            <w:tcW w:w="1309"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信誉评审</w:t>
            </w:r>
          </w:p>
        </w:tc>
        <w:tc>
          <w:tcPr>
            <w:tcW w:w="7118" w:type="dxa"/>
            <w:gridSpan w:val="2"/>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详见本章附表3-12，其中加分项目以投标人提供的证明材料为准，未提供证明材料或证明材料提供不全或不符合要求的，不加分；扣分项目以建设行政主管部门发布的文件为准。</w:t>
            </w:r>
          </w:p>
        </w:tc>
      </w:tr>
      <w:tr>
        <w:tblPrEx>
          <w:tblBorders>
            <w:top w:val="single" w:color="auto" w:sz="12" w:space="0"/>
            <w:left w:val="single" w:color="000000" w:sz="12" w:space="0"/>
            <w:bottom w:val="single" w:color="auto"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741"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2.2.4</w:t>
            </w:r>
          </w:p>
          <w:p>
            <w:pPr>
              <w:adjustRightInd w:val="0"/>
              <w:snapToGrid w:val="0"/>
              <w:spacing w:line="360" w:lineRule="auto"/>
              <w:jc w:val="center"/>
              <w:rPr>
                <w:rFonts w:hint="eastAsia" w:ascii="宋体" w:hAnsi="宋体"/>
                <w:sz w:val="18"/>
                <w:szCs w:val="21"/>
              </w:rPr>
            </w:pPr>
            <w:r>
              <w:rPr>
                <w:rFonts w:hint="eastAsia" w:ascii="宋体" w:hAnsi="宋体"/>
                <w:sz w:val="18"/>
                <w:szCs w:val="21"/>
              </w:rPr>
              <w:t>（4）</w:t>
            </w:r>
          </w:p>
        </w:tc>
        <w:tc>
          <w:tcPr>
            <w:tcW w:w="1309"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投标报价</w:t>
            </w:r>
          </w:p>
          <w:p>
            <w:pPr>
              <w:adjustRightInd w:val="0"/>
              <w:snapToGrid w:val="0"/>
              <w:spacing w:line="360" w:lineRule="auto"/>
              <w:jc w:val="center"/>
              <w:rPr>
                <w:rFonts w:hint="eastAsia" w:ascii="宋体" w:hAnsi="宋体"/>
                <w:sz w:val="18"/>
                <w:szCs w:val="21"/>
              </w:rPr>
            </w:pPr>
            <w:r>
              <w:rPr>
                <w:rFonts w:hint="eastAsia" w:ascii="宋体" w:hAnsi="宋体"/>
                <w:sz w:val="18"/>
                <w:szCs w:val="21"/>
              </w:rPr>
              <w:t>评分标准</w:t>
            </w:r>
          </w:p>
        </w:tc>
        <w:tc>
          <w:tcPr>
            <w:tcW w:w="7118" w:type="dxa"/>
            <w:gridSpan w:val="2"/>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详见本章附表3-14</w:t>
            </w:r>
          </w:p>
        </w:tc>
      </w:tr>
    </w:tbl>
    <w:p>
      <w:pPr>
        <w:adjustRightInd w:val="0"/>
        <w:snapToGrid w:val="0"/>
        <w:spacing w:line="360" w:lineRule="auto"/>
        <w:rPr>
          <w:rFonts w:ascii="宋体" w:hAnsi="宋体"/>
        </w:rPr>
      </w:pPr>
    </w:p>
    <w:p>
      <w:pPr>
        <w:adjustRightInd w:val="0"/>
        <w:snapToGrid w:val="0"/>
        <w:spacing w:line="360" w:lineRule="auto"/>
        <w:rPr>
          <w:rFonts w:ascii="宋体" w:hAnsi="宋体"/>
        </w:rPr>
      </w:pPr>
      <w:r>
        <w:rPr>
          <w:rFonts w:ascii="宋体" w:hAnsi="宋体"/>
        </w:rPr>
        <w:br w:type="page"/>
      </w:r>
    </w:p>
    <w:tbl>
      <w:tblPr>
        <w:tblStyle w:val="42"/>
        <w:tblW w:w="90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698"/>
        <w:gridCol w:w="6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2439" w:type="dxa"/>
            <w:gridSpan w:val="2"/>
            <w:tcBorders>
              <w:top w:val="single" w:color="000000" w:sz="12" w:space="0"/>
              <w:left w:val="single" w:color="000000" w:sz="12" w:space="0"/>
            </w:tcBorders>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条款号</w:t>
            </w:r>
          </w:p>
        </w:tc>
        <w:tc>
          <w:tcPr>
            <w:tcW w:w="6655" w:type="dxa"/>
            <w:tcBorders>
              <w:top w:val="single" w:color="000000" w:sz="12" w:space="0"/>
              <w:right w:val="single" w:color="000000" w:sz="12" w:space="0"/>
            </w:tcBorders>
            <w:vAlign w:val="center"/>
          </w:tcPr>
          <w:p>
            <w:pPr>
              <w:adjustRightInd w:val="0"/>
              <w:snapToGrid w:val="0"/>
              <w:spacing w:line="360" w:lineRule="auto"/>
              <w:jc w:val="center"/>
              <w:rPr>
                <w:rFonts w:hint="eastAsia" w:ascii="宋体" w:hAnsi="宋体"/>
                <w:b/>
                <w:bCs/>
                <w:sz w:val="18"/>
                <w:szCs w:val="21"/>
              </w:rPr>
            </w:pPr>
            <w:r>
              <w:rPr>
                <w:rFonts w:hint="eastAsia" w:ascii="宋体" w:hAnsi="宋体"/>
                <w:b/>
                <w:bCs/>
                <w:sz w:val="18"/>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jc w:val="center"/>
        </w:trPr>
        <w:tc>
          <w:tcPr>
            <w:tcW w:w="741" w:type="dxa"/>
            <w:tcBorders>
              <w:left w:val="single" w:color="000000" w:sz="12" w:space="0"/>
            </w:tcBorders>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3</w:t>
            </w:r>
          </w:p>
        </w:tc>
        <w:tc>
          <w:tcPr>
            <w:tcW w:w="169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评标程序</w:t>
            </w:r>
          </w:p>
        </w:tc>
        <w:tc>
          <w:tcPr>
            <w:tcW w:w="6655" w:type="dxa"/>
            <w:tcBorders>
              <w:right w:val="single" w:color="000000" w:sz="12" w:space="0"/>
            </w:tcBorders>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详见本章附件3-A：评标详细程序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741" w:type="dxa"/>
            <w:tcBorders>
              <w:left w:val="single" w:color="000000" w:sz="12" w:space="0"/>
            </w:tcBorders>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3.1.2</w:t>
            </w:r>
          </w:p>
        </w:tc>
        <w:tc>
          <w:tcPr>
            <w:tcW w:w="1698" w:type="dxa"/>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废标条件</w:t>
            </w:r>
          </w:p>
        </w:tc>
        <w:tc>
          <w:tcPr>
            <w:tcW w:w="6655" w:type="dxa"/>
            <w:tcBorders>
              <w:right w:val="single" w:color="000000" w:sz="12" w:space="0"/>
            </w:tcBorders>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详见本章附件3-B：废标条件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jc w:val="center"/>
        </w:trPr>
        <w:tc>
          <w:tcPr>
            <w:tcW w:w="741" w:type="dxa"/>
            <w:tcBorders>
              <w:left w:val="single" w:color="000000" w:sz="12" w:space="0"/>
            </w:tcBorders>
            <w:vAlign w:val="center"/>
          </w:tcPr>
          <w:p>
            <w:pPr>
              <w:adjustRightInd w:val="0"/>
              <w:snapToGrid w:val="0"/>
              <w:spacing w:line="360" w:lineRule="auto"/>
              <w:jc w:val="center"/>
              <w:rPr>
                <w:rFonts w:hint="eastAsia" w:ascii="宋体" w:hAnsi="宋体"/>
                <w:sz w:val="18"/>
                <w:szCs w:val="21"/>
              </w:rPr>
            </w:pPr>
            <w:r>
              <w:rPr>
                <w:rFonts w:hint="eastAsia" w:ascii="宋体" w:hAnsi="宋体"/>
                <w:sz w:val="18"/>
                <w:szCs w:val="21"/>
              </w:rPr>
              <w:t>3.2.2</w:t>
            </w:r>
          </w:p>
        </w:tc>
        <w:tc>
          <w:tcPr>
            <w:tcW w:w="1698" w:type="dxa"/>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判断投标报价是否低于其成本</w:t>
            </w:r>
          </w:p>
        </w:tc>
        <w:tc>
          <w:tcPr>
            <w:tcW w:w="6655" w:type="dxa"/>
            <w:tcBorders>
              <w:right w:val="single" w:color="000000" w:sz="12" w:space="0"/>
            </w:tcBorders>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详见本章附件3-C：投标人成本评审办法</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689" w:hRule="atLeast"/>
          <w:jc w:val="center"/>
        </w:trPr>
        <w:tc>
          <w:tcPr>
            <w:tcW w:w="2439" w:type="dxa"/>
            <w:gridSpan w:val="2"/>
            <w:tcBorders>
              <w:top w:val="single" w:color="000000" w:sz="4" w:space="0"/>
              <w:left w:val="single" w:color="000000" w:sz="12" w:space="0"/>
              <w:bottom w:val="single" w:color="000000" w:sz="4" w:space="0"/>
              <w:right w:val="single" w:color="000000" w:sz="4" w:space="0"/>
            </w:tcBorders>
            <w:vAlign w:val="center"/>
          </w:tcPr>
          <w:p>
            <w:pPr>
              <w:adjustRightInd w:val="0"/>
              <w:snapToGrid w:val="0"/>
              <w:spacing w:line="360" w:lineRule="auto"/>
              <w:rPr>
                <w:rFonts w:hint="eastAsia" w:ascii="宋体" w:hAnsi="宋体"/>
                <w:sz w:val="18"/>
              </w:rPr>
            </w:pPr>
            <w:r>
              <w:rPr>
                <w:rFonts w:hint="eastAsia" w:ascii="宋体" w:hAnsi="宋体"/>
                <w:sz w:val="18"/>
              </w:rPr>
              <w:t>核验原件的具体要求</w:t>
            </w:r>
          </w:p>
        </w:tc>
        <w:tc>
          <w:tcPr>
            <w:tcW w:w="6655" w:type="dxa"/>
            <w:tcBorders>
              <w:top w:val="single" w:color="000000" w:sz="4" w:space="0"/>
              <w:left w:val="nil"/>
              <w:bottom w:val="single" w:color="000000" w:sz="4" w:space="0"/>
              <w:right w:val="single" w:color="000000" w:sz="12" w:space="0"/>
            </w:tcBorders>
            <w:vAlign w:val="center"/>
          </w:tcPr>
          <w:p>
            <w:pPr>
              <w:adjustRightInd w:val="0"/>
              <w:snapToGrid w:val="0"/>
              <w:spacing w:line="360" w:lineRule="auto"/>
              <w:rPr>
                <w:rFonts w:hint="eastAsia" w:ascii="宋体" w:hAnsi="宋体"/>
                <w:sz w:val="18"/>
              </w:rPr>
            </w:pPr>
            <w:r>
              <w:rPr>
                <w:rFonts w:hint="eastAsia" w:ascii="宋体" w:hAnsi="宋体"/>
                <w:sz w:val="18"/>
                <w:szCs w:val="21"/>
              </w:rPr>
              <w:t>没有提供原件或原件提供不全的或原件与复印件内容不一致的，则为不合格投标人。</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689" w:hRule="atLeast"/>
          <w:jc w:val="center"/>
        </w:trPr>
        <w:tc>
          <w:tcPr>
            <w:tcW w:w="2439" w:type="dxa"/>
            <w:gridSpan w:val="2"/>
            <w:tcBorders>
              <w:top w:val="single" w:color="000000" w:sz="4" w:space="0"/>
              <w:left w:val="single" w:color="000000" w:sz="12" w:space="0"/>
              <w:bottom w:val="single" w:color="000000" w:sz="4" w:space="0"/>
              <w:right w:val="single" w:color="000000" w:sz="4" w:space="0"/>
            </w:tcBorders>
            <w:vAlign w:val="center"/>
          </w:tcPr>
          <w:p>
            <w:pPr>
              <w:adjustRightInd w:val="0"/>
              <w:snapToGrid w:val="0"/>
              <w:spacing w:line="360" w:lineRule="auto"/>
              <w:rPr>
                <w:rFonts w:hint="eastAsia" w:ascii="宋体" w:hAnsi="宋体"/>
                <w:sz w:val="18"/>
              </w:rPr>
            </w:pPr>
            <w:r>
              <w:rPr>
                <w:rFonts w:hint="eastAsia" w:ascii="宋体" w:hAnsi="宋体"/>
                <w:sz w:val="18"/>
              </w:rPr>
              <w:t>实行开标前资格审查的，在评标时对资格评审的要求</w:t>
            </w:r>
          </w:p>
        </w:tc>
        <w:tc>
          <w:tcPr>
            <w:tcW w:w="6655" w:type="dxa"/>
            <w:tcBorders>
              <w:top w:val="single" w:color="000000" w:sz="4" w:space="0"/>
              <w:left w:val="nil"/>
              <w:bottom w:val="single" w:color="000000" w:sz="4" w:space="0"/>
              <w:right w:val="single" w:color="000000" w:sz="12" w:space="0"/>
            </w:tcBorders>
            <w:vAlign w:val="center"/>
          </w:tcPr>
          <w:p>
            <w:pPr>
              <w:adjustRightInd w:val="0"/>
              <w:snapToGrid w:val="0"/>
              <w:spacing w:line="360" w:lineRule="auto"/>
              <w:rPr>
                <w:rFonts w:hint="eastAsia" w:ascii="宋体" w:hAnsi="宋体"/>
                <w:sz w:val="18"/>
                <w:szCs w:val="21"/>
              </w:rPr>
            </w:pPr>
            <w:r>
              <w:rPr>
                <w:rFonts w:hint="eastAsia" w:ascii="宋体" w:hAnsi="宋体"/>
                <w:sz w:val="18"/>
                <w:szCs w:val="21"/>
              </w:rPr>
              <w:t>已实行开标前资格审查，且同一内容已审查并没有更新的，可不对以上“第2.1.2项原件与复印件查验、第2.1.3项资格评审”二项内容进行评审。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689" w:hRule="atLeast"/>
          <w:jc w:val="center"/>
        </w:trPr>
        <w:tc>
          <w:tcPr>
            <w:tcW w:w="2439" w:type="dxa"/>
            <w:gridSpan w:val="2"/>
            <w:tcBorders>
              <w:top w:val="single" w:color="000000" w:sz="4" w:space="0"/>
              <w:left w:val="single" w:color="000000" w:sz="12" w:space="0"/>
              <w:bottom w:val="single" w:color="000000" w:sz="12" w:space="0"/>
              <w:right w:val="single" w:color="000000" w:sz="4" w:space="0"/>
            </w:tcBorders>
            <w:vAlign w:val="center"/>
          </w:tcPr>
          <w:p>
            <w:pPr>
              <w:adjustRightInd w:val="0"/>
              <w:snapToGrid w:val="0"/>
              <w:spacing w:line="360" w:lineRule="auto"/>
              <w:rPr>
                <w:rFonts w:hint="eastAsia" w:ascii="宋体" w:hAnsi="宋体"/>
                <w:sz w:val="18"/>
              </w:rPr>
            </w:pPr>
            <w:r>
              <w:rPr>
                <w:rFonts w:hint="eastAsia" w:ascii="宋体" w:hAnsi="宋体"/>
                <w:sz w:val="18"/>
              </w:rPr>
              <w:t>联合体投标人可量化审查因素指标考核标准</w:t>
            </w:r>
          </w:p>
        </w:tc>
        <w:tc>
          <w:tcPr>
            <w:tcW w:w="6655" w:type="dxa"/>
            <w:tcBorders>
              <w:top w:val="single" w:color="000000" w:sz="4" w:space="0"/>
              <w:left w:val="nil"/>
              <w:bottom w:val="single" w:color="000000" w:sz="12" w:space="0"/>
              <w:right w:val="single" w:color="000000" w:sz="12" w:space="0"/>
            </w:tcBorders>
            <w:vAlign w:val="center"/>
          </w:tcPr>
          <w:p>
            <w:pPr>
              <w:adjustRightInd w:val="0"/>
              <w:snapToGrid w:val="0"/>
              <w:spacing w:line="360" w:lineRule="auto"/>
              <w:rPr>
                <w:rFonts w:hint="eastAsia" w:ascii="宋体" w:hAnsi="宋体"/>
                <w:sz w:val="18"/>
                <w:szCs w:val="18"/>
              </w:rPr>
            </w:pPr>
            <w:r>
              <w:rPr>
                <w:rFonts w:hint="eastAsia" w:ascii="宋体" w:hAnsi="宋体"/>
                <w:sz w:val="18"/>
                <w:szCs w:val="18"/>
              </w:rPr>
              <w:t>联合体投标人的可量化审查因素（如类似项目经历、工程获奖情况、企业安全认证、不良行为记录情况等）的指标考核，除类似项目经历可以按照牵头人的计算外，企业工程获奖情况、企业安全认证、不良行为记录情况等分别考核联合体各个成员的指标，在此基础上，以联合体协议中约定的各个成员的分工占合同总工作量的比例作为权重，加权折算各个成员的考核结果，作为联合体投标人的考核结果。</w:t>
            </w:r>
          </w:p>
        </w:tc>
      </w:tr>
    </w:tbl>
    <w:p>
      <w:pPr>
        <w:adjustRightInd w:val="0"/>
        <w:snapToGrid w:val="0"/>
        <w:spacing w:line="360" w:lineRule="auto"/>
        <w:rPr>
          <w:rFonts w:ascii="宋体" w:hAnsi="宋体"/>
        </w:rPr>
      </w:pPr>
    </w:p>
    <w:p>
      <w:pPr>
        <w:adjustRightInd w:val="0"/>
        <w:snapToGrid w:val="0"/>
        <w:spacing w:line="360" w:lineRule="auto"/>
        <w:rPr>
          <w:rFonts w:hint="eastAsia" w:ascii="宋体" w:hAnsi="宋体"/>
        </w:rPr>
      </w:pPr>
      <w:r>
        <w:rPr>
          <w:rFonts w:ascii="宋体" w:hAnsi="宋体"/>
        </w:rPr>
        <w:br w:type="page"/>
      </w:r>
      <w:bookmarkStart w:id="151" w:name="_Toc300678127"/>
    </w:p>
    <w:p>
      <w:pPr>
        <w:adjustRightInd w:val="0"/>
        <w:snapToGrid w:val="0"/>
        <w:spacing w:line="360" w:lineRule="auto"/>
        <w:jc w:val="center"/>
        <w:rPr>
          <w:rFonts w:hint="eastAsia" w:ascii="宋体" w:hAnsi="宋体"/>
          <w:bCs/>
          <w:sz w:val="30"/>
        </w:rPr>
      </w:pPr>
      <w:r>
        <w:rPr>
          <w:rFonts w:hint="eastAsia" w:ascii="宋体" w:hAnsi="宋体"/>
          <w:bCs/>
          <w:sz w:val="30"/>
        </w:rPr>
        <w:t>评标办法（综合评估法Ⅱ）正文部分</w:t>
      </w:r>
      <w:bookmarkEnd w:id="151"/>
    </w:p>
    <w:p>
      <w:pPr>
        <w:adjustRightInd w:val="0"/>
        <w:snapToGrid w:val="0"/>
        <w:spacing w:line="360" w:lineRule="auto"/>
        <w:rPr>
          <w:rFonts w:hint="eastAsia" w:ascii="宋体" w:hAnsi="宋体"/>
          <w:bCs/>
          <w:sz w:val="30"/>
        </w:rPr>
      </w:pPr>
    </w:p>
    <w:p>
      <w:pPr>
        <w:pStyle w:val="4"/>
        <w:keepNext/>
        <w:keepLines/>
        <w:widowControl w:val="0"/>
        <w:adjustRightInd w:val="0"/>
        <w:snapToGrid w:val="0"/>
        <w:jc w:val="left"/>
        <w:rPr>
          <w:rFonts w:hint="eastAsia" w:ascii="宋体" w:hAnsi="宋体"/>
          <w:b w:val="0"/>
          <w:bCs w:val="0"/>
          <w:sz w:val="28"/>
          <w:szCs w:val="28"/>
        </w:rPr>
      </w:pPr>
      <w:bookmarkStart w:id="152" w:name="_Toc14964020"/>
      <w:bookmarkStart w:id="153" w:name="_Toc300678128"/>
      <w:bookmarkStart w:id="154" w:name="_Toc11765181"/>
      <w:r>
        <w:rPr>
          <w:rFonts w:hint="eastAsia" w:ascii="宋体" w:hAnsi="宋体"/>
          <w:b w:val="0"/>
          <w:bCs w:val="0"/>
          <w:sz w:val="28"/>
          <w:szCs w:val="28"/>
        </w:rPr>
        <w:t>1.评标方法</w:t>
      </w:r>
      <w:bookmarkEnd w:id="152"/>
      <w:bookmarkEnd w:id="153"/>
      <w:bookmarkEnd w:id="154"/>
    </w:p>
    <w:p>
      <w:pPr>
        <w:adjustRightInd w:val="0"/>
        <w:snapToGrid w:val="0"/>
        <w:spacing w:line="360" w:lineRule="auto"/>
        <w:ind w:firstLine="420" w:firstLineChars="200"/>
        <w:rPr>
          <w:rFonts w:hint="eastAsia" w:ascii="宋体" w:hAnsi="宋体"/>
          <w:szCs w:val="21"/>
        </w:rPr>
      </w:pPr>
      <w:r>
        <w:rPr>
          <w:rFonts w:hint="eastAsia" w:ascii="宋体" w:hAnsi="宋体"/>
          <w:szCs w:val="21"/>
        </w:rPr>
        <w:t>本次评标按照湖南省住房及城乡建设厅</w:t>
      </w:r>
      <w:r>
        <w:rPr>
          <w:rFonts w:hint="eastAsia" w:ascii="宋体" w:hAnsi="宋体"/>
          <w:szCs w:val="21"/>
          <w:u w:val="single"/>
        </w:rPr>
        <w:t>湘建监督[2018]238号</w:t>
      </w:r>
      <w:r>
        <w:rPr>
          <w:rFonts w:hint="eastAsia" w:ascii="宋体" w:hAnsi="宋体"/>
          <w:szCs w:val="21"/>
        </w:rPr>
        <w:t>文件《湖南省房屋建筑和市政工程施工招标评标活动管理规定》采用综合评估法Ⅱ。评标委员会对满足招标文件实质性要求的投标文件，按照本章第2.2 款规定的评分标准进行打分，并按得分由高到低顺序推荐中标候选人，或根据招标人授权直接确定中标人，但投标报价低于其成本的除外。综合评分相等时，以投标报价低的优先；投标报价也相等的，由招标人自行确定。</w:t>
      </w:r>
    </w:p>
    <w:p>
      <w:pPr>
        <w:adjustRightInd w:val="0"/>
        <w:snapToGrid w:val="0"/>
        <w:spacing w:line="360" w:lineRule="auto"/>
        <w:ind w:firstLine="420" w:firstLineChars="200"/>
        <w:rPr>
          <w:rFonts w:hint="eastAsia" w:ascii="宋体" w:hAnsi="宋体"/>
          <w:szCs w:val="21"/>
        </w:rPr>
      </w:pPr>
    </w:p>
    <w:p>
      <w:pPr>
        <w:pStyle w:val="4"/>
        <w:keepNext/>
        <w:keepLines/>
        <w:widowControl w:val="0"/>
        <w:adjustRightInd w:val="0"/>
        <w:snapToGrid w:val="0"/>
        <w:jc w:val="left"/>
        <w:rPr>
          <w:rFonts w:hint="eastAsia" w:ascii="宋体" w:hAnsi="宋体"/>
          <w:b w:val="0"/>
          <w:bCs w:val="0"/>
          <w:sz w:val="28"/>
          <w:szCs w:val="28"/>
        </w:rPr>
      </w:pPr>
      <w:bookmarkStart w:id="155" w:name="_Toc11765182"/>
      <w:bookmarkStart w:id="156" w:name="_Toc300678129"/>
      <w:bookmarkStart w:id="157" w:name="_Toc14964021"/>
      <w:r>
        <w:rPr>
          <w:rFonts w:hint="eastAsia" w:ascii="宋体" w:hAnsi="宋体"/>
          <w:b w:val="0"/>
          <w:bCs w:val="0"/>
          <w:sz w:val="28"/>
          <w:szCs w:val="28"/>
        </w:rPr>
        <w:t>2.评审标准</w:t>
      </w:r>
      <w:bookmarkEnd w:id="155"/>
      <w:bookmarkEnd w:id="156"/>
      <w:bookmarkEnd w:id="157"/>
    </w:p>
    <w:p>
      <w:pPr>
        <w:pStyle w:val="6"/>
        <w:adjustRightInd w:val="0"/>
        <w:snapToGrid w:val="0"/>
        <w:rPr>
          <w:rFonts w:hint="eastAsia" w:ascii="宋体" w:hAnsi="宋体"/>
          <w:b w:val="0"/>
          <w:bCs w:val="0"/>
          <w:sz w:val="24"/>
        </w:rPr>
      </w:pPr>
      <w:bookmarkStart w:id="158" w:name="_Toc300678130"/>
      <w:r>
        <w:rPr>
          <w:rFonts w:hint="eastAsia" w:ascii="宋体" w:hAnsi="宋体"/>
          <w:b w:val="0"/>
          <w:bCs w:val="0"/>
          <w:sz w:val="24"/>
        </w:rPr>
        <w:t>2.1 初步评审标准</w:t>
      </w:r>
      <w:bookmarkEnd w:id="158"/>
    </w:p>
    <w:p>
      <w:pPr>
        <w:adjustRightInd w:val="0"/>
        <w:snapToGrid w:val="0"/>
        <w:spacing w:line="360" w:lineRule="auto"/>
        <w:ind w:firstLine="420" w:firstLineChars="200"/>
        <w:rPr>
          <w:rFonts w:hint="eastAsia" w:ascii="宋体" w:hAnsi="宋体"/>
        </w:rPr>
      </w:pPr>
      <w:r>
        <w:rPr>
          <w:rFonts w:ascii="宋体" w:hAnsi="宋体"/>
        </w:rPr>
        <w:t>2.1.1 形式评审标准：见评标办法前附表。</w:t>
      </w:r>
    </w:p>
    <w:p>
      <w:pPr>
        <w:adjustRightInd w:val="0"/>
        <w:snapToGrid w:val="0"/>
        <w:spacing w:line="360" w:lineRule="auto"/>
        <w:ind w:firstLine="420" w:firstLineChars="200"/>
        <w:rPr>
          <w:rFonts w:hint="eastAsia" w:ascii="宋体" w:hAnsi="宋体"/>
        </w:rPr>
      </w:pPr>
      <w:r>
        <w:rPr>
          <w:rFonts w:hint="eastAsia" w:ascii="宋体" w:hAnsi="宋体"/>
        </w:rPr>
        <w:t>2.1.2 原件与复印件查验标准：见评标办法前附表（适用于开标后资格审查）。</w:t>
      </w:r>
    </w:p>
    <w:p>
      <w:pPr>
        <w:adjustRightInd w:val="0"/>
        <w:snapToGrid w:val="0"/>
        <w:spacing w:line="360" w:lineRule="auto"/>
        <w:ind w:firstLine="420" w:firstLineChars="200"/>
        <w:rPr>
          <w:rFonts w:ascii="宋体" w:hAnsi="宋体"/>
        </w:rPr>
      </w:pPr>
      <w:r>
        <w:rPr>
          <w:rFonts w:ascii="宋体" w:hAnsi="宋体"/>
        </w:rPr>
        <w:t>2.1.</w:t>
      </w:r>
      <w:r>
        <w:rPr>
          <w:rFonts w:hint="eastAsia" w:ascii="宋体" w:hAnsi="宋体"/>
        </w:rPr>
        <w:t>3</w:t>
      </w:r>
      <w:r>
        <w:rPr>
          <w:rFonts w:ascii="宋体" w:hAnsi="宋体"/>
        </w:rPr>
        <w:t xml:space="preserve"> 资格评审标准：见评标办法前附表</w:t>
      </w:r>
      <w:r>
        <w:rPr>
          <w:rFonts w:hint="eastAsia" w:ascii="宋体" w:hAnsi="宋体"/>
        </w:rPr>
        <w:t>（适用于开标后资格审查）</w:t>
      </w:r>
      <w:r>
        <w:rPr>
          <w:rFonts w:ascii="宋体" w:hAnsi="宋体"/>
        </w:rPr>
        <w:t>。</w:t>
      </w:r>
    </w:p>
    <w:p>
      <w:pPr>
        <w:adjustRightInd w:val="0"/>
        <w:snapToGrid w:val="0"/>
        <w:spacing w:line="360" w:lineRule="auto"/>
        <w:ind w:firstLine="420" w:firstLineChars="200"/>
        <w:rPr>
          <w:rFonts w:hint="eastAsia" w:ascii="宋体" w:hAnsi="宋体"/>
        </w:rPr>
      </w:pPr>
      <w:r>
        <w:rPr>
          <w:rFonts w:ascii="宋体" w:hAnsi="宋体"/>
        </w:rPr>
        <w:t>2.1.</w:t>
      </w:r>
      <w:r>
        <w:rPr>
          <w:rFonts w:hint="eastAsia" w:ascii="宋体" w:hAnsi="宋体"/>
        </w:rPr>
        <w:t>4</w:t>
      </w:r>
      <w:r>
        <w:rPr>
          <w:rFonts w:ascii="宋体" w:hAnsi="宋体"/>
        </w:rPr>
        <w:t xml:space="preserve"> 响应性评审标准：见评标办法前附表。</w:t>
      </w:r>
    </w:p>
    <w:p>
      <w:pPr>
        <w:adjustRightInd w:val="0"/>
        <w:snapToGrid w:val="0"/>
        <w:spacing w:line="360" w:lineRule="auto"/>
        <w:ind w:firstLine="420" w:firstLineChars="200"/>
        <w:rPr>
          <w:rFonts w:hint="eastAsia" w:ascii="宋体" w:hAnsi="宋体"/>
        </w:rPr>
      </w:pPr>
      <w:r>
        <w:rPr>
          <w:rFonts w:ascii="宋体" w:hAnsi="宋体"/>
        </w:rPr>
        <w:t>2.1.</w:t>
      </w:r>
      <w:r>
        <w:rPr>
          <w:rFonts w:hint="eastAsia" w:ascii="宋体" w:hAnsi="宋体"/>
        </w:rPr>
        <w:t>5</w:t>
      </w:r>
      <w:r>
        <w:rPr>
          <w:rFonts w:ascii="宋体" w:hAnsi="宋体"/>
        </w:rPr>
        <w:t xml:space="preserve"> 施工组织设计和项目管理机构评审标准：见评标办法前附表。</w:t>
      </w:r>
    </w:p>
    <w:p>
      <w:pPr>
        <w:pStyle w:val="6"/>
        <w:adjustRightInd w:val="0"/>
        <w:snapToGrid w:val="0"/>
        <w:rPr>
          <w:rFonts w:hint="eastAsia" w:ascii="宋体" w:hAnsi="宋体"/>
          <w:b w:val="0"/>
          <w:bCs w:val="0"/>
          <w:sz w:val="24"/>
        </w:rPr>
      </w:pPr>
      <w:bookmarkStart w:id="159" w:name="_Toc300678131"/>
      <w:r>
        <w:rPr>
          <w:rFonts w:hint="eastAsia" w:ascii="宋体" w:hAnsi="宋体"/>
          <w:b w:val="0"/>
          <w:bCs w:val="0"/>
          <w:sz w:val="24"/>
        </w:rPr>
        <w:t>2.2 分值构成与评分标准</w:t>
      </w:r>
      <w:bookmarkEnd w:id="159"/>
    </w:p>
    <w:p>
      <w:pPr>
        <w:adjustRightInd w:val="0"/>
        <w:snapToGrid w:val="0"/>
        <w:spacing w:line="360" w:lineRule="auto"/>
        <w:ind w:firstLine="420" w:firstLineChars="200"/>
        <w:rPr>
          <w:rFonts w:hint="eastAsia" w:ascii="宋体" w:hAnsi="宋体"/>
          <w:szCs w:val="21"/>
        </w:rPr>
      </w:pPr>
      <w:r>
        <w:rPr>
          <w:rFonts w:hint="eastAsia" w:ascii="宋体" w:hAnsi="宋体"/>
          <w:szCs w:val="21"/>
        </w:rPr>
        <w:t>2.2.1 分值构成</w:t>
      </w:r>
    </w:p>
    <w:p>
      <w:pPr>
        <w:adjustRightInd w:val="0"/>
        <w:snapToGrid w:val="0"/>
        <w:spacing w:line="360" w:lineRule="auto"/>
        <w:ind w:firstLine="420" w:firstLineChars="200"/>
        <w:rPr>
          <w:rFonts w:hint="eastAsia" w:ascii="宋体" w:hAnsi="宋体"/>
          <w:szCs w:val="21"/>
        </w:rPr>
      </w:pPr>
      <w:r>
        <w:rPr>
          <w:rFonts w:hint="eastAsia" w:ascii="宋体" w:hAnsi="宋体"/>
          <w:szCs w:val="21"/>
        </w:rPr>
        <w:t>（l）施工组织设计：见评标办法前附表；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（2）项目管理机构：见评标办法前附表；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（3）信誉评分：见评标办法前附表；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（4）投标报价：见评标办法前附表。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2.2.2 评标基准价计算</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评标基准价计算方法：见评标办法前附表。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2.2.3 投标报价的偏差率计算</w:t>
      </w:r>
    </w:p>
    <w:p>
      <w:pPr>
        <w:adjustRightInd w:val="0"/>
        <w:snapToGrid w:val="0"/>
        <w:spacing w:line="360" w:lineRule="auto"/>
        <w:ind w:firstLine="420" w:firstLineChars="200"/>
        <w:rPr>
          <w:rFonts w:hint="eastAsia" w:ascii="宋体" w:hAnsi="宋体"/>
          <w:szCs w:val="21"/>
        </w:rPr>
      </w:pPr>
      <w:r>
        <w:rPr>
          <w:rFonts w:hint="eastAsia" w:ascii="宋体" w:hAnsi="宋体"/>
          <w:szCs w:val="21"/>
        </w:rPr>
        <w:t>投标报价的偏差率计算公式：见评标办法前附表。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2.2.4 评分标准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（1）施工组织设计评分标准：见评标办法前附表；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（2）项目管理机构评分标准：见评标办法前附表；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（3）信誉评分标准：见评标办法前附表；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（4）投标报价评分标准：见评标办法前附表。</w:t>
      </w:r>
    </w:p>
    <w:p>
      <w:pPr>
        <w:adjustRightInd w:val="0"/>
        <w:snapToGrid w:val="0"/>
        <w:spacing w:line="360" w:lineRule="auto"/>
        <w:ind w:firstLine="420" w:firstLineChars="200"/>
        <w:rPr>
          <w:rFonts w:hint="eastAsia" w:ascii="宋体" w:hAnsi="宋体"/>
          <w:szCs w:val="21"/>
        </w:rPr>
      </w:pPr>
    </w:p>
    <w:p>
      <w:pPr>
        <w:pStyle w:val="4"/>
        <w:keepNext/>
        <w:keepLines/>
        <w:widowControl w:val="0"/>
        <w:adjustRightInd w:val="0"/>
        <w:snapToGrid w:val="0"/>
        <w:jc w:val="left"/>
        <w:rPr>
          <w:rFonts w:hint="eastAsia" w:ascii="宋体" w:hAnsi="宋体"/>
          <w:b w:val="0"/>
          <w:bCs w:val="0"/>
          <w:sz w:val="28"/>
          <w:szCs w:val="28"/>
        </w:rPr>
      </w:pPr>
      <w:bookmarkStart w:id="160" w:name="_Toc11765183"/>
      <w:bookmarkStart w:id="161" w:name="_Toc14964022"/>
      <w:bookmarkStart w:id="162" w:name="_Toc300678132"/>
      <w:r>
        <w:rPr>
          <w:rFonts w:hint="eastAsia" w:ascii="宋体" w:hAnsi="宋体"/>
          <w:b w:val="0"/>
          <w:bCs w:val="0"/>
          <w:sz w:val="28"/>
          <w:szCs w:val="28"/>
        </w:rPr>
        <w:t>3.评标程序</w:t>
      </w:r>
      <w:bookmarkEnd w:id="160"/>
      <w:bookmarkEnd w:id="161"/>
      <w:bookmarkEnd w:id="162"/>
    </w:p>
    <w:p>
      <w:pPr>
        <w:pStyle w:val="6"/>
        <w:adjustRightInd w:val="0"/>
        <w:snapToGrid w:val="0"/>
        <w:rPr>
          <w:rFonts w:hint="eastAsia" w:ascii="宋体" w:hAnsi="宋体"/>
          <w:b w:val="0"/>
          <w:bCs w:val="0"/>
          <w:sz w:val="24"/>
        </w:rPr>
      </w:pPr>
      <w:bookmarkStart w:id="163" w:name="_Toc300678133"/>
      <w:r>
        <w:rPr>
          <w:rFonts w:hint="eastAsia" w:ascii="宋体" w:hAnsi="宋体"/>
          <w:b w:val="0"/>
          <w:bCs w:val="0"/>
          <w:sz w:val="24"/>
        </w:rPr>
        <w:t>3.1 初步评审</w:t>
      </w:r>
      <w:bookmarkEnd w:id="163"/>
    </w:p>
    <w:p>
      <w:pPr>
        <w:adjustRightInd w:val="0"/>
        <w:snapToGrid w:val="0"/>
        <w:spacing w:line="360" w:lineRule="auto"/>
        <w:ind w:firstLine="420" w:firstLineChars="200"/>
        <w:rPr>
          <w:rFonts w:hint="eastAsia" w:ascii="宋体" w:hAnsi="宋体"/>
        </w:rPr>
      </w:pPr>
      <w:r>
        <w:rPr>
          <w:rFonts w:ascii="宋体" w:hAnsi="宋体"/>
        </w:rPr>
        <w:t>3.1.1 评标委员会</w:t>
      </w:r>
      <w:r>
        <w:rPr>
          <w:rFonts w:hint="eastAsia" w:ascii="宋体" w:hAnsi="宋体"/>
        </w:rPr>
        <w:t>对</w:t>
      </w:r>
      <w:r>
        <w:rPr>
          <w:rFonts w:ascii="宋体" w:hAnsi="宋体"/>
        </w:rPr>
        <w:t>投标人</w:t>
      </w:r>
      <w:r>
        <w:rPr>
          <w:rFonts w:hint="eastAsia" w:ascii="宋体" w:hAnsi="宋体"/>
        </w:rPr>
        <w:t>根据本文件第二章投标人须知前附表第3.1.1项</w:t>
      </w:r>
      <w:r>
        <w:rPr>
          <w:rFonts w:ascii="宋体" w:hAnsi="宋体"/>
        </w:rPr>
        <w:t>规定提交的有关证明和证件的原件，</w:t>
      </w:r>
      <w:r>
        <w:rPr>
          <w:rFonts w:hint="eastAsia" w:ascii="宋体" w:hAnsi="宋体"/>
        </w:rPr>
        <w:t>进行审查</w:t>
      </w:r>
      <w:r>
        <w:rPr>
          <w:rFonts w:ascii="宋体" w:hAnsi="宋体"/>
        </w:rPr>
        <w:t>核验。评标委员会依据本章第2.1款规定的标准对投标文件进行初步评审。有一项不符合评审标准的，作废标处理。</w:t>
      </w:r>
      <w:r>
        <w:rPr>
          <w:rFonts w:hint="eastAsia" w:ascii="宋体" w:hAnsi="宋体"/>
        </w:rPr>
        <w:t>（适用于开标后资格审查的）</w:t>
      </w:r>
    </w:p>
    <w:p>
      <w:pPr>
        <w:adjustRightInd w:val="0"/>
        <w:snapToGrid w:val="0"/>
        <w:spacing w:line="360" w:lineRule="auto"/>
        <w:ind w:firstLine="420" w:firstLineChars="200"/>
        <w:rPr>
          <w:rFonts w:ascii="宋体" w:hAnsi="宋体"/>
        </w:rPr>
      </w:pPr>
      <w:r>
        <w:rPr>
          <w:rFonts w:hint="eastAsia" w:ascii="宋体" w:hAnsi="宋体"/>
        </w:rPr>
        <w:t>3.1.1 评标委员会依据本章第2.1.1项、第2.1.4项、第2.1.5项规定的标准对投标文件进行初步评审。有一项不符合评审标准的，作废标处理。当投标人资格申请文件的内容发生重大变化时，其变化后的资格条件不得低于原有资格条件要求，评标委员会依据本章第2.1.2项、第2.1.3项规定的标准对其更新资料进行评审。（适用于开标前资格审查）</w:t>
      </w:r>
    </w:p>
    <w:p>
      <w:pPr>
        <w:adjustRightInd w:val="0"/>
        <w:snapToGrid w:val="0"/>
        <w:spacing w:line="360" w:lineRule="auto"/>
        <w:ind w:firstLine="420" w:firstLineChars="200"/>
        <w:rPr>
          <w:rFonts w:ascii="宋体" w:hAnsi="宋体"/>
        </w:rPr>
      </w:pPr>
      <w:r>
        <w:rPr>
          <w:rFonts w:ascii="宋体" w:hAnsi="宋体"/>
        </w:rPr>
        <w:t>3.1.2 投标人有以下情形之一的，其投标作废标处理：</w:t>
      </w:r>
    </w:p>
    <w:p>
      <w:pPr>
        <w:adjustRightInd w:val="0"/>
        <w:snapToGrid w:val="0"/>
        <w:spacing w:line="360" w:lineRule="auto"/>
        <w:ind w:firstLine="420" w:firstLineChars="200"/>
        <w:rPr>
          <w:rFonts w:ascii="宋体" w:hAnsi="宋体"/>
        </w:rPr>
      </w:pPr>
      <w:r>
        <w:rPr>
          <w:rFonts w:ascii="宋体" w:hAnsi="宋体"/>
        </w:rPr>
        <w:t>（1）第二章“投标人须知”第 1.4.3 项规定的任何一种情形的；</w:t>
      </w:r>
    </w:p>
    <w:p>
      <w:pPr>
        <w:adjustRightInd w:val="0"/>
        <w:snapToGrid w:val="0"/>
        <w:spacing w:line="360" w:lineRule="auto"/>
        <w:ind w:firstLine="420" w:firstLineChars="200"/>
        <w:rPr>
          <w:rFonts w:ascii="宋体" w:hAnsi="宋体"/>
        </w:rPr>
      </w:pPr>
      <w:r>
        <w:rPr>
          <w:rFonts w:ascii="宋体" w:hAnsi="宋体"/>
        </w:rPr>
        <w:t>（2）</w:t>
      </w:r>
      <w:r>
        <w:rPr>
          <w:rFonts w:hint="eastAsia" w:ascii="宋体" w:hAnsi="宋体"/>
          <w:szCs w:val="21"/>
        </w:rPr>
        <w:t>以他人名义投标的；以行贿手段谋取中标的；</w:t>
      </w:r>
    </w:p>
    <w:p>
      <w:pPr>
        <w:adjustRightInd w:val="0"/>
        <w:snapToGrid w:val="0"/>
        <w:spacing w:line="360" w:lineRule="auto"/>
        <w:ind w:firstLine="420" w:firstLineChars="200"/>
        <w:rPr>
          <w:rFonts w:ascii="宋体" w:hAnsi="宋体"/>
        </w:rPr>
      </w:pPr>
      <w:r>
        <w:rPr>
          <w:rFonts w:ascii="宋体" w:hAnsi="宋体"/>
        </w:rPr>
        <w:t>（3）串通投标或弄虚作假或有其他违法行为的；</w:t>
      </w:r>
    </w:p>
    <w:p>
      <w:pPr>
        <w:adjustRightInd w:val="0"/>
        <w:snapToGrid w:val="0"/>
        <w:spacing w:line="360" w:lineRule="auto"/>
        <w:ind w:firstLine="420" w:firstLineChars="200"/>
        <w:rPr>
          <w:rFonts w:ascii="宋体" w:hAnsi="宋体"/>
        </w:rPr>
      </w:pPr>
      <w:r>
        <w:rPr>
          <w:rFonts w:hint="eastAsia" w:ascii="宋体" w:hAnsi="宋体"/>
        </w:rPr>
        <w:t>（4）</w:t>
      </w:r>
      <w:r>
        <w:rPr>
          <w:rFonts w:ascii="宋体" w:hAnsi="宋体"/>
        </w:rPr>
        <w:t>不按评标委员会要求澄清、说明或补正的。</w:t>
      </w:r>
    </w:p>
    <w:p>
      <w:pPr>
        <w:adjustRightInd w:val="0"/>
        <w:snapToGrid w:val="0"/>
        <w:spacing w:line="360" w:lineRule="auto"/>
        <w:ind w:firstLine="420" w:firstLineChars="200"/>
        <w:rPr>
          <w:rFonts w:ascii="宋体" w:hAnsi="宋体"/>
        </w:rPr>
      </w:pPr>
      <w:r>
        <w:rPr>
          <w:rFonts w:ascii="宋体" w:hAnsi="宋体"/>
        </w:rPr>
        <w:t>3.</w:t>
      </w:r>
      <w:r>
        <w:rPr>
          <w:rFonts w:hint="eastAsia" w:ascii="宋体" w:hAnsi="宋体"/>
        </w:rPr>
        <w:t>1</w:t>
      </w:r>
      <w:r>
        <w:rPr>
          <w:rFonts w:ascii="宋体" w:hAnsi="宋体"/>
        </w:rPr>
        <w:t>.</w:t>
      </w:r>
      <w:r>
        <w:rPr>
          <w:rFonts w:hint="eastAsia" w:ascii="宋体" w:hAnsi="宋体"/>
        </w:rPr>
        <w:t>3</w:t>
      </w:r>
      <w:r>
        <w:rPr>
          <w:rFonts w:ascii="宋体" w:hAnsi="宋体"/>
        </w:rPr>
        <w:t xml:space="preserve"> 评标委员会</w:t>
      </w:r>
      <w:r>
        <w:rPr>
          <w:rFonts w:hint="eastAsia" w:ascii="宋体" w:hAnsi="宋体"/>
        </w:rPr>
        <w:t>检查投标人投标报价是否</w:t>
      </w:r>
      <w:r>
        <w:rPr>
          <w:rFonts w:ascii="宋体" w:hAnsi="宋体"/>
        </w:rPr>
        <w:t>有算术错误，</w:t>
      </w:r>
      <w:r>
        <w:rPr>
          <w:rFonts w:hint="eastAsia" w:ascii="宋体" w:hAnsi="宋体"/>
          <w:szCs w:val="21"/>
        </w:rPr>
        <w:t>算术性错误分析和修正</w:t>
      </w:r>
      <w:r>
        <w:rPr>
          <w:rFonts w:ascii="宋体" w:hAnsi="宋体"/>
        </w:rPr>
        <w:t>按以下原则进行，修正的价格经投标人书面确认后具有约束力。投标人不接受修正价格的，其投标作废标处理。</w:t>
      </w:r>
    </w:p>
    <w:p>
      <w:pPr>
        <w:adjustRightInd w:val="0"/>
        <w:snapToGrid w:val="0"/>
        <w:spacing w:line="360" w:lineRule="auto"/>
        <w:ind w:firstLine="420" w:firstLineChars="200"/>
        <w:rPr>
          <w:rFonts w:ascii="宋体" w:hAnsi="宋体"/>
        </w:rPr>
      </w:pPr>
      <w:r>
        <w:rPr>
          <w:rFonts w:hint="eastAsia" w:ascii="宋体" w:hAnsi="宋体"/>
        </w:rPr>
        <w:t>（1）</w:t>
      </w:r>
      <w:r>
        <w:rPr>
          <w:rFonts w:ascii="宋体" w:hAnsi="宋体"/>
        </w:rPr>
        <w:t>投标文件中的大写金额与小写金额不一致的，以大写金额为准；</w:t>
      </w:r>
    </w:p>
    <w:p>
      <w:pPr>
        <w:adjustRightInd w:val="0"/>
        <w:snapToGrid w:val="0"/>
        <w:spacing w:line="360" w:lineRule="auto"/>
        <w:ind w:firstLine="420" w:firstLineChars="200"/>
        <w:rPr>
          <w:rFonts w:hint="eastAsia" w:ascii="宋体" w:hAnsi="宋体"/>
        </w:rPr>
      </w:pPr>
      <w:r>
        <w:rPr>
          <w:rFonts w:hint="eastAsia" w:ascii="宋体" w:hAnsi="宋体"/>
        </w:rPr>
        <w:t>（2）</w:t>
      </w:r>
      <w:r>
        <w:rPr>
          <w:rFonts w:ascii="宋体" w:hAnsi="宋体"/>
        </w:rPr>
        <w:t>总价金额与依据单价计算出的结果不一致的，以单价金额为准修正总价，但单价金额小数点有明显错误的除外。</w:t>
      </w:r>
    </w:p>
    <w:p>
      <w:pPr>
        <w:pStyle w:val="6"/>
        <w:adjustRightInd w:val="0"/>
        <w:snapToGrid w:val="0"/>
        <w:rPr>
          <w:rFonts w:hint="eastAsia" w:ascii="宋体" w:hAnsi="宋体"/>
          <w:b w:val="0"/>
          <w:bCs w:val="0"/>
          <w:sz w:val="24"/>
        </w:rPr>
      </w:pPr>
      <w:bookmarkStart w:id="164" w:name="_Toc300678134"/>
      <w:r>
        <w:rPr>
          <w:rFonts w:hint="eastAsia" w:ascii="宋体" w:hAnsi="宋体"/>
          <w:b w:val="0"/>
          <w:bCs w:val="0"/>
          <w:sz w:val="24"/>
        </w:rPr>
        <w:t>3.2 详细评审</w:t>
      </w:r>
      <w:bookmarkEnd w:id="164"/>
    </w:p>
    <w:p>
      <w:pPr>
        <w:adjustRightInd w:val="0"/>
        <w:snapToGrid w:val="0"/>
        <w:spacing w:line="360" w:lineRule="auto"/>
        <w:ind w:firstLine="420" w:firstLineChars="200"/>
        <w:rPr>
          <w:rFonts w:hint="eastAsia" w:ascii="宋体" w:hAnsi="宋体"/>
          <w:szCs w:val="21"/>
        </w:rPr>
      </w:pPr>
      <w:r>
        <w:rPr>
          <w:rFonts w:hint="eastAsia" w:ascii="宋体" w:hAnsi="宋体"/>
          <w:szCs w:val="21"/>
        </w:rPr>
        <w:t>3.2.1 评标委员会按本章第2.2 款规定的量化因素和分值进行打分，并计算出综合评估得分。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（1）按本章第2.2.4（1）目规定的评审因素和分值对施工组织设计计算出得分A ；</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（2）按本章第2.2.4（2）目规定的评审因素和分值对项目管理机构计算出得分B；</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（3）按本章第2.2.4（3）目规定的评审因素和分值对信誉计算出得分C；</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（4）按本章第2.2.4（4）目规定的评审因素和分值对投标报价计算出得分D 。</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3.2.2 评分分值计算保留小数点后两位，小数点后第三位“四舍五入”。</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3.2.3 投标人得分=A+B+C+D 。</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由评标委员会认定该投标人以低于成本报价竞标，其投标作废标处理。</w:t>
      </w:r>
    </w:p>
    <w:p>
      <w:pPr>
        <w:pStyle w:val="6"/>
        <w:adjustRightInd w:val="0"/>
        <w:snapToGrid w:val="0"/>
        <w:rPr>
          <w:rFonts w:hint="eastAsia" w:ascii="宋体" w:hAnsi="宋体"/>
          <w:b w:val="0"/>
          <w:bCs w:val="0"/>
          <w:sz w:val="24"/>
        </w:rPr>
      </w:pPr>
      <w:bookmarkStart w:id="165" w:name="_Toc300678135"/>
      <w:r>
        <w:rPr>
          <w:rFonts w:hint="eastAsia" w:ascii="宋体" w:hAnsi="宋体"/>
          <w:b w:val="0"/>
          <w:bCs w:val="0"/>
          <w:sz w:val="24"/>
        </w:rPr>
        <w:t>3.3 投标文件的澄清和补正</w:t>
      </w:r>
      <w:bookmarkEnd w:id="165"/>
    </w:p>
    <w:p>
      <w:pPr>
        <w:adjustRightInd w:val="0"/>
        <w:snapToGrid w:val="0"/>
        <w:spacing w:line="360" w:lineRule="auto"/>
        <w:ind w:firstLine="420" w:firstLineChars="200"/>
        <w:rPr>
          <w:rFonts w:hint="eastAsia" w:ascii="宋体" w:hAnsi="宋体"/>
          <w:szCs w:val="21"/>
        </w:rPr>
      </w:pPr>
      <w:r>
        <w:rPr>
          <w:rFonts w:hint="eastAsia" w:ascii="宋体" w:hAnsi="宋体"/>
          <w:szCs w:val="21"/>
        </w:rPr>
        <w:t>3.3.1 在评标过程中，评标委员会可以书面形式要求投标人对所提交投标文件中不明确的内容进行书面澄清或说明，或者对细微偏差进行补正。评标委员会不接受投标人主动提出的澄清、说明或补正。</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3.3.2 澄清、说明和补正不得改变投标文件的实质性内容（算术性错误修正的除外）。投标人的书面澄清、说明和补正属于投标文件的组成部分。</w:t>
      </w:r>
    </w:p>
    <w:p>
      <w:pPr>
        <w:adjustRightInd w:val="0"/>
        <w:snapToGrid w:val="0"/>
        <w:spacing w:line="360" w:lineRule="auto"/>
        <w:ind w:firstLine="420" w:firstLineChars="200"/>
        <w:rPr>
          <w:rFonts w:ascii="宋体" w:hAnsi="宋体"/>
          <w:szCs w:val="21"/>
        </w:rPr>
      </w:pPr>
      <w:r>
        <w:rPr>
          <w:rFonts w:hint="eastAsia" w:ascii="宋体" w:hAnsi="宋体"/>
          <w:szCs w:val="21"/>
        </w:rPr>
        <w:t>3.3.3 评标委员会对投标人提交的澄清、说明或补正有疑问的，可以要求投标人进一步澄清、说明或补正，直至满足评标委员会的要求。</w:t>
      </w:r>
    </w:p>
    <w:p>
      <w:pPr>
        <w:pStyle w:val="6"/>
        <w:adjustRightInd w:val="0"/>
        <w:snapToGrid w:val="0"/>
        <w:rPr>
          <w:rFonts w:hint="eastAsia" w:ascii="宋体" w:hAnsi="宋体"/>
          <w:b w:val="0"/>
          <w:bCs w:val="0"/>
          <w:sz w:val="24"/>
        </w:rPr>
      </w:pPr>
      <w:bookmarkStart w:id="166" w:name="_Toc300678136"/>
      <w:r>
        <w:rPr>
          <w:rFonts w:hint="eastAsia" w:ascii="宋体" w:hAnsi="宋体"/>
          <w:b w:val="0"/>
          <w:bCs w:val="0"/>
          <w:sz w:val="24"/>
        </w:rPr>
        <w:t>3.4 评标结果</w:t>
      </w:r>
      <w:bookmarkEnd w:id="166"/>
    </w:p>
    <w:p>
      <w:pPr>
        <w:adjustRightInd w:val="0"/>
        <w:snapToGrid w:val="0"/>
        <w:spacing w:line="360" w:lineRule="auto"/>
        <w:ind w:firstLine="420" w:firstLineChars="200"/>
        <w:rPr>
          <w:rFonts w:hint="eastAsia" w:ascii="宋体" w:hAnsi="宋体"/>
          <w:szCs w:val="21"/>
        </w:rPr>
      </w:pPr>
      <w:r>
        <w:rPr>
          <w:rFonts w:hint="eastAsia" w:ascii="宋体" w:hAnsi="宋体"/>
          <w:szCs w:val="21"/>
        </w:rPr>
        <w:t>3.4.1 除第二章“投标人须知”前附表授权直接确定中标人外，评标委员会按照得分高到低的顺序推荐中标候选人。</w:t>
      </w:r>
    </w:p>
    <w:p>
      <w:pPr>
        <w:adjustRightInd w:val="0"/>
        <w:snapToGrid w:val="0"/>
        <w:spacing w:line="360" w:lineRule="auto"/>
        <w:rPr>
          <w:rFonts w:hint="eastAsia" w:ascii="宋体" w:hAnsi="宋体"/>
          <w:szCs w:val="21"/>
        </w:rPr>
      </w:pPr>
      <w:r>
        <w:rPr>
          <w:rFonts w:hint="eastAsia" w:ascii="宋体" w:hAnsi="宋体"/>
          <w:szCs w:val="21"/>
        </w:rPr>
        <w:t xml:space="preserve">    3.4.2 评标委员会完成评标后，由应当向招标人提交书面评标报告。</w:t>
      </w:r>
    </w:p>
    <w:p>
      <w:pPr>
        <w:adjustRightInd w:val="0"/>
        <w:snapToGrid w:val="0"/>
        <w:spacing w:line="360" w:lineRule="auto"/>
        <w:ind w:firstLine="420" w:firstLineChars="200"/>
        <w:rPr>
          <w:rFonts w:hint="eastAsia" w:ascii="宋体" w:hAnsi="宋体"/>
          <w:b/>
          <w:bCs/>
          <w:sz w:val="24"/>
        </w:rPr>
      </w:pPr>
      <w:bookmarkStart w:id="167" w:name="_Toc300678137"/>
      <w:r>
        <w:rPr>
          <w:rFonts w:ascii="宋体" w:hAnsi="宋体"/>
          <w:szCs w:val="21"/>
        </w:rPr>
        <w:br w:type="page"/>
      </w:r>
    </w:p>
    <w:p>
      <w:pPr>
        <w:pStyle w:val="6"/>
        <w:adjustRightInd w:val="0"/>
        <w:snapToGrid w:val="0"/>
        <w:rPr>
          <w:rFonts w:hint="eastAsia" w:ascii="宋体" w:hAnsi="宋体"/>
          <w:b w:val="0"/>
          <w:bCs w:val="0"/>
          <w:sz w:val="24"/>
        </w:rPr>
      </w:pPr>
      <w:r>
        <w:rPr>
          <w:rFonts w:hint="eastAsia" w:ascii="宋体" w:hAnsi="宋体"/>
          <w:b w:val="0"/>
          <w:bCs w:val="0"/>
          <w:sz w:val="24"/>
        </w:rPr>
        <w:t>附件3-A：评标详细程序</w:t>
      </w:r>
      <w:bookmarkEnd w:id="167"/>
    </w:p>
    <w:p>
      <w:pPr>
        <w:adjustRightInd w:val="0"/>
        <w:snapToGrid w:val="0"/>
        <w:spacing w:line="360" w:lineRule="auto"/>
        <w:jc w:val="center"/>
        <w:rPr>
          <w:rFonts w:hint="eastAsia" w:ascii="宋体" w:hAnsi="宋体"/>
          <w:sz w:val="28"/>
          <w:szCs w:val="28"/>
        </w:rPr>
      </w:pPr>
      <w:r>
        <w:rPr>
          <w:rFonts w:hint="eastAsia" w:ascii="宋体" w:hAnsi="宋体"/>
          <w:sz w:val="28"/>
          <w:szCs w:val="28"/>
        </w:rPr>
        <w:t>评标详细程序</w:t>
      </w:r>
    </w:p>
    <w:p>
      <w:pPr>
        <w:adjustRightInd w:val="0"/>
        <w:snapToGrid w:val="0"/>
        <w:spacing w:line="360" w:lineRule="auto"/>
        <w:rPr>
          <w:rFonts w:hint="eastAsia" w:ascii="宋体" w:hAnsi="宋体"/>
          <w:sz w:val="24"/>
        </w:rPr>
      </w:pPr>
      <w:r>
        <w:rPr>
          <w:rFonts w:hint="eastAsia" w:ascii="宋体" w:hAnsi="宋体"/>
          <w:sz w:val="24"/>
        </w:rPr>
        <w:t>A0.总  则</w:t>
      </w:r>
    </w:p>
    <w:p>
      <w:pPr>
        <w:adjustRightInd w:val="0"/>
        <w:snapToGrid w:val="0"/>
        <w:spacing w:line="360" w:lineRule="auto"/>
        <w:ind w:firstLine="420" w:firstLineChars="200"/>
        <w:rPr>
          <w:rFonts w:hint="eastAsia" w:ascii="宋体" w:hAnsi="宋体"/>
          <w:szCs w:val="21"/>
        </w:rPr>
      </w:pPr>
      <w:r>
        <w:rPr>
          <w:rFonts w:hint="eastAsia" w:ascii="宋体" w:hAnsi="宋体"/>
          <w:szCs w:val="21"/>
        </w:rPr>
        <w:t>本附件是本章“评标办法”的组成部分，是对本章第3条所规定的评标程序的进一些细化，评标委员会应当按照本附件所规定的详细程序开展并完成评标工作。</w:t>
      </w:r>
    </w:p>
    <w:p>
      <w:pPr>
        <w:adjustRightInd w:val="0"/>
        <w:snapToGrid w:val="0"/>
        <w:spacing w:line="360" w:lineRule="auto"/>
        <w:rPr>
          <w:rFonts w:hint="eastAsia" w:ascii="宋体" w:hAnsi="宋体"/>
          <w:sz w:val="24"/>
        </w:rPr>
      </w:pPr>
      <w:r>
        <w:rPr>
          <w:rFonts w:hint="eastAsia" w:ascii="宋体" w:hAnsi="宋体"/>
          <w:sz w:val="24"/>
        </w:rPr>
        <w:t>A1.基本程序</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评标活动将按以下五个步骤进行：</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（1）评标准备；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（2）初步评审；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（3）详细评审；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（4）澄清、说明或补正；</w:t>
      </w:r>
    </w:p>
    <w:p>
      <w:pPr>
        <w:adjustRightInd w:val="0"/>
        <w:snapToGrid w:val="0"/>
        <w:spacing w:line="360" w:lineRule="auto"/>
        <w:ind w:firstLine="420" w:firstLineChars="200"/>
        <w:rPr>
          <w:rFonts w:hint="eastAsia" w:ascii="宋体" w:hAnsi="宋体"/>
          <w:szCs w:val="21"/>
        </w:rPr>
      </w:pPr>
      <w:r>
        <w:rPr>
          <w:rFonts w:hint="eastAsia" w:ascii="宋体" w:hAnsi="宋体"/>
          <w:szCs w:val="21"/>
        </w:rPr>
        <w:t>（5）推荐中标候选人或者直接确定中标人及提交评标报告。</w:t>
      </w:r>
    </w:p>
    <w:p>
      <w:pPr>
        <w:adjustRightInd w:val="0"/>
        <w:snapToGrid w:val="0"/>
        <w:spacing w:line="360" w:lineRule="auto"/>
        <w:rPr>
          <w:rFonts w:hint="eastAsia" w:ascii="宋体" w:hAnsi="宋体"/>
          <w:sz w:val="24"/>
        </w:rPr>
      </w:pPr>
      <w:r>
        <w:rPr>
          <w:rFonts w:hint="eastAsia" w:ascii="宋体" w:hAnsi="宋体"/>
          <w:sz w:val="24"/>
        </w:rPr>
        <w:t>A2.评标准备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A2.1 评标委员会成员签到</w:t>
      </w:r>
    </w:p>
    <w:p>
      <w:pPr>
        <w:adjustRightInd w:val="0"/>
        <w:snapToGrid w:val="0"/>
        <w:spacing w:line="360" w:lineRule="auto"/>
        <w:ind w:firstLine="420" w:firstLineChars="200"/>
        <w:rPr>
          <w:rFonts w:hint="eastAsia" w:ascii="宋体" w:hAnsi="宋体"/>
        </w:rPr>
      </w:pPr>
      <w:r>
        <w:rPr>
          <w:rFonts w:hint="eastAsia" w:ascii="宋体" w:hAnsi="宋体"/>
        </w:rPr>
        <w:t>评标委员会成员到达评标现场时应在签到表上签到以证明其出席。评标委员会签到表见附表3-2。</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A2.2 评标委员会的分工</w:t>
      </w:r>
    </w:p>
    <w:p>
      <w:pPr>
        <w:adjustRightInd w:val="0"/>
        <w:snapToGrid w:val="0"/>
        <w:spacing w:line="360" w:lineRule="auto"/>
        <w:ind w:firstLine="420" w:firstLineChars="200"/>
        <w:rPr>
          <w:rFonts w:hint="eastAsia" w:ascii="宋体" w:hAnsi="宋体"/>
        </w:rPr>
      </w:pPr>
      <w:r>
        <w:rPr>
          <w:rFonts w:hint="eastAsia" w:ascii="宋体" w:hAnsi="宋体"/>
        </w:rPr>
        <w:t>评标委员会首先推选一名评标委员会主任。招标人也可以直接指定评标委员会主任。评标委员会主任负责评标活动的组织领导工作。评标委员会主任在与其他评标委员会成员协商的基础上，可以将评标委员会划分为技术组和商务组，但最终评审结果须全体评标委员会一致认可。</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A2.3 熟悉文件资料</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A2.3.1 评标委员会主任应组织评标委员会成员认真研究招标文件，了解和熟悉招标目的、招标范围、主要合同条件、技术标准和要求、质量标准和工期要求，掌握评标标准和方法，熟悉本章及附件中包括的评标表格的使用，如果本章及附件所附的表格不能满足评标所需时，评标委员会应补充编制评标所需的表格，尤其是用于详细分析计算的表格。未在招标文件中规定的标准和方法不得作为评标的依据。</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A2.3.2 招标人或招标代理机构应向评标委员会提供评标所需的信息和数据，包括招标文件、未在开标会上当场拒绝的各投标文件、开标会记录、资格审查文件及各投标人在资格审查阶段递交的资格申请文件（适用于开标前资格审查的）、标底（如有）、工程所在地工程造价管理部门颁布的工程造价信息、定额（如作为计价依据时）、有关的法律、法规、规章、国家标准以及招标人或评标委员会认为必要的其他信息和数据。</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A2.4 暗标编号（适用于对施工组织设计进行暗标评审的）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第二章“投标人须知”前附表第10.3款要求对施工组织设计采用“暗标”评审方式且第八章“投标文件格式”中对施工组织设计的编制有暗标要求，则在开标仪式中，由招标人指定专人负责编制投标文件暗标编码。暗标编码按随机方式编制。在评标委员会全体成员均完成暗标部分评审并对评审结果进行汇总和签字确认后，评标委员会方可启开暗标封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A2.5 对投标文件进行基础性数据分析和整理工作（清标）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A2.5.1 在不改变投标人投标文件实质性内容的前提下，评标委员会应当对投标文件进行基础性数据分析和整理（本章中简称为“清标”），从而发现并提取其中可能存在的对招标范围理解的偏差、投标报价的算术性错误、错漏项、投标报价构成不合理、不平衡报价等存在明显异常的问题，并就这些问题整理形成清标成果。评标委员会对清标成果审议后，决定需要投标人进行书面澄清、说明或补正的问题，形成质疑问卷，向投标人发出问题澄清通知（包括质疑问卷）。</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A2.5.2 投标人接到评标委员会发出的问题澄清通知后，应按评标委员会的要求提供书面澄清资料并按要求进行密封，在规定的时间递交到指定地点。投标人递交的书面澄清资料由评标委员会开启。</w:t>
      </w:r>
    </w:p>
    <w:p>
      <w:pPr>
        <w:adjustRightInd w:val="0"/>
        <w:snapToGrid w:val="0"/>
        <w:spacing w:line="360" w:lineRule="auto"/>
        <w:rPr>
          <w:rFonts w:hint="eastAsia" w:ascii="宋体" w:hAnsi="宋体"/>
          <w:sz w:val="24"/>
        </w:rPr>
      </w:pPr>
      <w:r>
        <w:rPr>
          <w:rFonts w:hint="eastAsia" w:ascii="宋体" w:hAnsi="宋体"/>
          <w:sz w:val="24"/>
        </w:rPr>
        <w:t>A3初步评审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A3.1 形式评审</w:t>
      </w:r>
    </w:p>
    <w:p>
      <w:pPr>
        <w:adjustRightInd w:val="0"/>
        <w:snapToGrid w:val="0"/>
        <w:spacing w:line="360" w:lineRule="auto"/>
        <w:ind w:firstLine="420" w:firstLineChars="200"/>
        <w:rPr>
          <w:rFonts w:hint="eastAsia" w:ascii="宋体" w:hAnsi="宋体"/>
        </w:rPr>
      </w:pPr>
      <w:r>
        <w:rPr>
          <w:rFonts w:hint="eastAsia" w:ascii="宋体" w:hAnsi="宋体"/>
        </w:rPr>
        <w:t>评标委员会根据评标办法前附表中规定的评审因素和评审标准，对投标人的投标文件进行形式评审，并使用附表3-3记录评审结果。</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A3.2 资格评审</w:t>
      </w:r>
    </w:p>
    <w:p>
      <w:pPr>
        <w:adjustRightInd w:val="0"/>
        <w:snapToGrid w:val="0"/>
        <w:spacing w:line="360" w:lineRule="auto"/>
        <w:ind w:firstLine="420" w:firstLineChars="200"/>
        <w:rPr>
          <w:rFonts w:hint="eastAsia" w:ascii="宋体" w:hAnsi="宋体"/>
        </w:rPr>
      </w:pPr>
      <w:r>
        <w:rPr>
          <w:rFonts w:hint="eastAsia" w:ascii="宋体" w:hAnsi="宋体"/>
        </w:rPr>
        <w:t>A3.2.1 评标委员会根据评标办法前附表中规定的评审因素和评审标准，对投标人的投标文件进行资格评审，并使用附表3-4、附表3-5记录评审结果。（适用于开标后资格审查的）</w:t>
      </w:r>
    </w:p>
    <w:p>
      <w:pPr>
        <w:adjustRightInd w:val="0"/>
        <w:snapToGrid w:val="0"/>
        <w:spacing w:line="360" w:lineRule="auto"/>
        <w:ind w:firstLine="420" w:firstLineChars="200"/>
        <w:rPr>
          <w:rFonts w:hint="eastAsia" w:ascii="宋体" w:hAnsi="宋体"/>
        </w:rPr>
      </w:pPr>
      <w:r>
        <w:rPr>
          <w:rFonts w:hint="eastAsia" w:ascii="宋体" w:hAnsi="宋体"/>
        </w:rPr>
        <w:t>A3.2.1 当投标人资格申请文件的内容发生重大变化时，评标委员会依据资格审查文件中规定的标准和方法，对照投标人资格申请文件中的资料以及在开标前更新的资料，对其更新的资料进行评审，其变化后的资格条件不得低于原有资格条件要求。（适用于开标前资格审查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A3.3 响应性评审</w:t>
      </w:r>
    </w:p>
    <w:p>
      <w:pPr>
        <w:adjustRightInd w:val="0"/>
        <w:snapToGrid w:val="0"/>
        <w:spacing w:line="360" w:lineRule="auto"/>
        <w:ind w:firstLine="420" w:firstLineChars="200"/>
        <w:rPr>
          <w:rFonts w:hint="eastAsia" w:ascii="宋体" w:hAnsi="宋体"/>
        </w:rPr>
      </w:pPr>
      <w:r>
        <w:rPr>
          <w:rFonts w:hint="eastAsia" w:ascii="宋体" w:hAnsi="宋体"/>
        </w:rPr>
        <w:t>A3.3.1 评标委员会根据评标办法前附表中规定的评审因素和评审标准，对投标人的投标文件进行响应性评审，并使用附表3-6记录评审结果。</w:t>
      </w:r>
    </w:p>
    <w:p>
      <w:pPr>
        <w:adjustRightInd w:val="0"/>
        <w:snapToGrid w:val="0"/>
        <w:spacing w:line="360" w:lineRule="auto"/>
        <w:ind w:firstLine="420" w:firstLineChars="200"/>
        <w:rPr>
          <w:rFonts w:hint="eastAsia" w:ascii="宋体" w:hAnsi="宋体"/>
        </w:rPr>
      </w:pPr>
      <w:r>
        <w:rPr>
          <w:rFonts w:hint="eastAsia" w:ascii="宋体" w:hAnsi="宋体"/>
        </w:rPr>
        <w:t>A3.3.2 投标人投标价格不得超出（不含等于）按照第二章“投标人须知”前附表第10.2款载明的招标控制价，凡投标人的投标价格超出招标控制价的，该投标人的投标文件不能通过响应性评审。（适用于设立招标控制价的情形）</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A3.4 判断投标是否为废标</w:t>
      </w:r>
    </w:p>
    <w:p>
      <w:pPr>
        <w:adjustRightInd w:val="0"/>
        <w:snapToGrid w:val="0"/>
        <w:spacing w:line="360" w:lineRule="auto"/>
        <w:ind w:firstLine="420" w:firstLineChars="200"/>
        <w:rPr>
          <w:rFonts w:hint="eastAsia" w:ascii="宋体" w:hAnsi="宋体"/>
        </w:rPr>
      </w:pPr>
      <w:r>
        <w:rPr>
          <w:rFonts w:hint="eastAsia" w:ascii="宋体" w:hAnsi="宋体"/>
        </w:rPr>
        <w:t>A3.4.1 判断投标人的投标是否为废标的全部条件（包括本章第3.1.2项中规定的条件），在本章附件3-B中集中列示。</w:t>
      </w:r>
    </w:p>
    <w:p>
      <w:pPr>
        <w:adjustRightInd w:val="0"/>
        <w:snapToGrid w:val="0"/>
        <w:spacing w:line="360" w:lineRule="auto"/>
        <w:ind w:firstLine="420" w:firstLineChars="200"/>
        <w:rPr>
          <w:rFonts w:hint="eastAsia" w:ascii="宋体" w:hAnsi="宋体"/>
        </w:rPr>
      </w:pPr>
      <w:r>
        <w:rPr>
          <w:rFonts w:hint="eastAsia" w:ascii="宋体" w:hAnsi="宋体"/>
        </w:rPr>
        <w:t>A3.4.2 本章附件3-B集中列示的废标条件不应与第二章“投标人须知”和本章正文部分包括的废标条件抵触，如果出现相互矛盾的情况，以第二章“投标人须知”和本章正文部分的规定为准。</w:t>
      </w:r>
    </w:p>
    <w:p>
      <w:pPr>
        <w:adjustRightInd w:val="0"/>
        <w:snapToGrid w:val="0"/>
        <w:spacing w:line="360" w:lineRule="auto"/>
        <w:ind w:firstLine="420" w:firstLineChars="200"/>
        <w:rPr>
          <w:rFonts w:hint="eastAsia" w:ascii="宋体" w:hAnsi="宋体"/>
        </w:rPr>
      </w:pPr>
      <w:r>
        <w:rPr>
          <w:rFonts w:hint="eastAsia" w:ascii="宋体" w:hAnsi="宋体"/>
        </w:rPr>
        <w:t>A3.4.3 评标委员会在评标（包括初步评审和详细评审）过程中，依据本章附件3-B中规定的废标条件判断投标人的投标是否为废标。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A3.5 算术错误修正</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评标委员会依据本章中规定的相关原则对投标报价中存在的算术错误进行修正，并根据算术错误修正结果计算评标价。</w:t>
      </w:r>
      <w:r>
        <w:rPr>
          <w:rFonts w:hint="eastAsia" w:ascii="宋体" w:hAnsi="宋体"/>
        </w:rPr>
        <w:t>评标委员会对算术错误的修正应向投标人作书面澄清。投标人对修正结果应书面确认。投标人对修正结果有不同意见或未作书面确认的，评标委员会应重新复核修正结果，再次按上述程序分别进行确认、复核。</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A3.6 澄清、说明或补正</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在初步评审过程中，评标委员会应当就投标文件中不明确的内容要求投标人进行澄清、说明或者补正。投标人对此以书面形式予以澄清、说明或者补正。澄清、说明或补正根据本章第3.3款的规定执行。</w:t>
      </w:r>
    </w:p>
    <w:p>
      <w:pPr>
        <w:adjustRightInd w:val="0"/>
        <w:snapToGrid w:val="0"/>
        <w:spacing w:line="360" w:lineRule="auto"/>
        <w:rPr>
          <w:rFonts w:hint="eastAsia" w:ascii="宋体" w:hAnsi="宋体"/>
          <w:sz w:val="24"/>
        </w:rPr>
      </w:pPr>
      <w:r>
        <w:rPr>
          <w:rFonts w:hint="eastAsia" w:ascii="宋体" w:hAnsi="宋体"/>
          <w:sz w:val="24"/>
        </w:rPr>
        <w:t>A4．详细评审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只有通过了初步评审、被判定为合格的投标人方可进入详细评审。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A4.1 详细评审的程序</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A4.1.1 评标委员会按照本章第3.2款中规定的程序进行详细评审：</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（1）施工组织设计评审和评分；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（2）项目管理机构评审和评分；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（3）信誉评审和评分；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（4）投标报价评审和评分，并对明显低于其他投标报价的投标报价，或者在设有标底时明显低于标底的投标报价，判断是否低于其个别成本；</w:t>
      </w:r>
    </w:p>
    <w:p>
      <w:pPr>
        <w:adjustRightInd w:val="0"/>
        <w:snapToGrid w:val="0"/>
        <w:spacing w:line="360" w:lineRule="auto"/>
        <w:ind w:firstLine="420" w:firstLineChars="200"/>
        <w:rPr>
          <w:rFonts w:hint="eastAsia" w:ascii="宋体" w:hAnsi="宋体"/>
          <w:szCs w:val="21"/>
        </w:rPr>
      </w:pPr>
      <w:r>
        <w:rPr>
          <w:rFonts w:hint="eastAsia" w:ascii="宋体" w:hAnsi="宋体"/>
          <w:szCs w:val="21"/>
        </w:rPr>
        <w:t>（5）汇总评分结果。</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A4.2 施工组织设计评审和评分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A4.2.1 按照评标办法前附表中规定的分值设定、各项评分因素、评分标准，对施工组织设计进行评审和评分，施工组织设计的得分记录为</w:t>
      </w:r>
      <w:r>
        <w:rPr>
          <w:rFonts w:hint="eastAsia" w:ascii="宋体" w:hAnsi="宋体"/>
          <w:b/>
          <w:szCs w:val="21"/>
        </w:rPr>
        <w:t>A</w:t>
      </w:r>
      <w:r>
        <w:rPr>
          <w:rFonts w:hint="eastAsia" w:ascii="宋体" w:hAnsi="宋体"/>
          <w:szCs w:val="21"/>
        </w:rPr>
        <w:t>。</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A4.3 项目管理机构评审和评分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A4.3.1 按照评标办法前附表中规定的分值设定、各项评分因素、评分标准，对项目管理机构进行评审和评分，项目管理机构的得分记录为</w:t>
      </w:r>
      <w:r>
        <w:rPr>
          <w:rFonts w:hint="eastAsia" w:ascii="宋体" w:hAnsi="宋体"/>
          <w:b/>
          <w:szCs w:val="21"/>
        </w:rPr>
        <w:t>B</w:t>
      </w:r>
      <w:r>
        <w:rPr>
          <w:rFonts w:hint="eastAsia" w:ascii="宋体" w:hAnsi="宋体"/>
          <w:szCs w:val="21"/>
        </w:rPr>
        <w:t>。</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A4.4 信誉评审和评分</w:t>
      </w:r>
    </w:p>
    <w:p>
      <w:pPr>
        <w:adjustRightInd w:val="0"/>
        <w:snapToGrid w:val="0"/>
        <w:spacing w:line="360" w:lineRule="auto"/>
        <w:rPr>
          <w:rFonts w:hint="eastAsia" w:ascii="宋体" w:hAnsi="宋体"/>
          <w:szCs w:val="21"/>
        </w:rPr>
      </w:pPr>
      <w:r>
        <w:rPr>
          <w:rFonts w:hint="eastAsia" w:ascii="宋体" w:hAnsi="宋体"/>
          <w:szCs w:val="21"/>
        </w:rPr>
        <w:t xml:space="preserve">    根据评标办法前附表中规定的分值设定、各项评分因素和相应的评分标准，对信誉进行评审和评分，信誉得分记录为</w:t>
      </w:r>
      <w:r>
        <w:rPr>
          <w:rFonts w:hint="eastAsia" w:ascii="宋体" w:hAnsi="宋体"/>
          <w:b/>
          <w:szCs w:val="21"/>
        </w:rPr>
        <w:t>C</w:t>
      </w:r>
      <w:r>
        <w:rPr>
          <w:rFonts w:hint="eastAsia" w:ascii="宋体" w:hAnsi="宋体"/>
          <w:szCs w:val="21"/>
        </w:rPr>
        <w:t>。</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A4.5 投标报价评审和评分（仅按投标总报价进行评分）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A4.5.1 按照评标办法前附表中规定的方法计算“评标基准价”。</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A4.5.2 按照评标办法前附表中规定的方法，计算各个已通过了初步评审、施工组织设计评审和项目管理机构评审并且经过评审认定为不低于其成本的投标报价的“偏差率”。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A4.5.3 按照评标办法前附表中规定的评分标准，对照投标报价的偏差率，分别对各个投标报价进行评分，投标报价的得分记录为</w:t>
      </w:r>
      <w:r>
        <w:rPr>
          <w:rFonts w:hint="eastAsia" w:ascii="宋体" w:hAnsi="宋体"/>
          <w:b/>
          <w:szCs w:val="21"/>
        </w:rPr>
        <w:t>D</w:t>
      </w:r>
      <w:r>
        <w:rPr>
          <w:rFonts w:hint="eastAsia" w:ascii="宋体" w:hAnsi="宋体"/>
          <w:szCs w:val="21"/>
        </w:rPr>
        <w:t>。</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A4.6 判断投标报价是否低于成本</w:t>
      </w:r>
    </w:p>
    <w:p>
      <w:pPr>
        <w:adjustRightInd w:val="0"/>
        <w:snapToGrid w:val="0"/>
        <w:spacing w:line="360" w:lineRule="auto"/>
        <w:ind w:firstLine="420" w:firstLineChars="200"/>
        <w:rPr>
          <w:rFonts w:hint="eastAsia" w:ascii="宋体" w:hAnsi="宋体"/>
        </w:rPr>
      </w:pPr>
      <w:r>
        <w:rPr>
          <w:rFonts w:hint="eastAsia" w:ascii="宋体" w:hAnsi="宋体"/>
        </w:rPr>
        <w:t>根据本章第3.2.4项的规定，评标委员会根据本章附件3-C中规定标准和方法，判断投标报价是否低于其成本。由评标委员会认定投标人以低于成本竞标的，其投标作废标处理。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A4.7 澄清、说明或补正</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在详细评审过程中，评标委员会应当就投标文件中不明确的内容要求投标人进行澄清、说明或者补正。投标人对此以书面形式予以澄清、说明或者补正。澄清、说明或补正根据本章第3.3款的规定执行。</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A4.8 汇总评分结果</w:t>
      </w:r>
    </w:p>
    <w:p>
      <w:pPr>
        <w:adjustRightInd w:val="0"/>
        <w:snapToGrid w:val="0"/>
        <w:spacing w:line="360" w:lineRule="auto"/>
        <w:ind w:firstLine="420" w:firstLineChars="200"/>
        <w:rPr>
          <w:rFonts w:hint="eastAsia" w:ascii="宋体" w:hAnsi="宋体"/>
          <w:szCs w:val="21"/>
        </w:rPr>
      </w:pPr>
      <w:r>
        <w:rPr>
          <w:rFonts w:hint="eastAsia" w:ascii="宋体" w:hAnsi="宋体"/>
          <w:bCs/>
          <w:szCs w:val="21"/>
        </w:rPr>
        <w:t xml:space="preserve">A4.8.1 </w:t>
      </w:r>
      <w:r>
        <w:rPr>
          <w:rFonts w:hint="eastAsia" w:ascii="宋体" w:hAnsi="宋体"/>
          <w:szCs w:val="21"/>
        </w:rPr>
        <w:t>评标委员会成员应按照附表3-15的格式填写详细评审评分汇总表。</w:t>
      </w:r>
    </w:p>
    <w:p>
      <w:pPr>
        <w:adjustRightInd w:val="0"/>
        <w:snapToGrid w:val="0"/>
        <w:spacing w:line="360" w:lineRule="auto"/>
        <w:ind w:firstLine="420" w:firstLineChars="200"/>
        <w:rPr>
          <w:rFonts w:hint="eastAsia" w:ascii="宋体" w:hAnsi="宋体"/>
          <w:szCs w:val="21"/>
        </w:rPr>
      </w:pPr>
      <w:r>
        <w:rPr>
          <w:rFonts w:hint="eastAsia" w:ascii="宋体" w:hAnsi="宋体"/>
          <w:bCs/>
          <w:szCs w:val="21"/>
        </w:rPr>
        <w:t xml:space="preserve">A4.8.2 </w:t>
      </w:r>
      <w:r>
        <w:rPr>
          <w:rFonts w:hint="eastAsia" w:ascii="宋体" w:hAnsi="宋体"/>
          <w:szCs w:val="21"/>
        </w:rPr>
        <w:t>详细评审工作全部结束后，按照附表3-16的格式汇总各个评标委员会成员的详细评审评分结果，并按照详细评审最终得分由高至低的次序对投标人进行排序。</w:t>
      </w:r>
    </w:p>
    <w:p>
      <w:pPr>
        <w:adjustRightInd w:val="0"/>
        <w:snapToGrid w:val="0"/>
        <w:spacing w:line="360" w:lineRule="auto"/>
        <w:rPr>
          <w:rFonts w:hint="eastAsia" w:ascii="宋体" w:hAnsi="宋体"/>
          <w:b/>
          <w:szCs w:val="21"/>
        </w:rPr>
      </w:pPr>
      <w:r>
        <w:rPr>
          <w:rFonts w:hint="eastAsia" w:ascii="宋体" w:hAnsi="宋体"/>
          <w:bCs/>
          <w:sz w:val="24"/>
          <w:szCs w:val="21"/>
        </w:rPr>
        <w:t>A5.推荐中标候选人</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A5.1 推荐中标候选人</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A5.1.1 除第二章“投标人须知”前附表第7．1款授权直接确定中标人外，评标委员会在推荐中标候选人时，应遵照以下原则:</w:t>
      </w:r>
    </w:p>
    <w:p>
      <w:pPr>
        <w:adjustRightInd w:val="0"/>
        <w:snapToGrid w:val="0"/>
        <w:spacing w:line="360" w:lineRule="auto"/>
        <w:rPr>
          <w:rFonts w:hint="eastAsia" w:ascii="宋体" w:hAnsi="宋体"/>
          <w:szCs w:val="21"/>
        </w:rPr>
      </w:pPr>
      <w:r>
        <w:rPr>
          <w:rFonts w:hint="eastAsia" w:ascii="宋体" w:hAnsi="宋体"/>
          <w:szCs w:val="21"/>
        </w:rPr>
        <w:t xml:space="preserve">    （1）评标委员会按照最终得分由高至低的次序排列，并根据第二章“投标人须知”前附表第7.1款规定的中标候选人数量，将排序在前的投标人推荐为中标候选人。</w:t>
      </w:r>
    </w:p>
    <w:p>
      <w:pPr>
        <w:adjustRightInd w:val="0"/>
        <w:snapToGrid w:val="0"/>
        <w:spacing w:line="360" w:lineRule="auto"/>
        <w:rPr>
          <w:rFonts w:hint="eastAsia" w:ascii="宋体" w:hAnsi="宋体"/>
          <w:szCs w:val="21"/>
        </w:rPr>
      </w:pPr>
      <w:r>
        <w:rPr>
          <w:rFonts w:hint="eastAsia" w:ascii="宋体" w:hAnsi="宋体"/>
          <w:szCs w:val="21"/>
        </w:rPr>
        <w:t xml:space="preserve">    （2）如果评标委员会根据本章的规定作废标处理后，有效投标不足三个，且少于第二章“投标人须知”前附表第7.1款规定的中标候选人数量的，则评标委员会可以将所有有效投标按最终得分由高至低的次序作为中标候选人向招标人推荐。如果因有效投标不足三个使得投标明显缺乏竞争的，评标委员会可以建议招标人重新招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A5.1.2 投标人数量少于三个或者所有投标被否决的，招标人应当依法重新招标。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A5.2编制评标报告</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评标委员会根据本章第3.4.2项的规定向招标人提交评标报告。评标报告应当由全体评标委员会成员签字，并于评标结束时抄送有关行政监督部门。评标报告应当包括以下内容：</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（1）基本情况和数据表；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（2）评标委员会成员名单；</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（3）开标记录；</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（4）符合要求的投标一览表；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（5）废标情况说明；</w:t>
      </w:r>
    </w:p>
    <w:p>
      <w:pPr>
        <w:adjustRightInd w:val="0"/>
        <w:snapToGrid w:val="0"/>
        <w:spacing w:line="360" w:lineRule="auto"/>
        <w:ind w:firstLine="420" w:firstLineChars="200"/>
        <w:rPr>
          <w:rFonts w:hint="eastAsia" w:ascii="宋体" w:hAnsi="宋体"/>
          <w:szCs w:val="21"/>
        </w:rPr>
      </w:pPr>
      <w:r>
        <w:rPr>
          <w:rFonts w:hint="eastAsia" w:ascii="宋体" w:hAnsi="宋体"/>
          <w:szCs w:val="21"/>
        </w:rPr>
        <w:t>（6）评标标准、评标方法或者评标因素一览表；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（7）经评审的价格一览表（包括评标委员会在评标过程中所形成的所有记载评标结果、结论的表格、说明、记录等文件）；</w:t>
      </w:r>
    </w:p>
    <w:p>
      <w:pPr>
        <w:adjustRightInd w:val="0"/>
        <w:snapToGrid w:val="0"/>
        <w:spacing w:line="360" w:lineRule="auto"/>
        <w:ind w:firstLine="420" w:firstLineChars="200"/>
        <w:rPr>
          <w:rFonts w:hint="eastAsia" w:ascii="宋体" w:hAnsi="宋体"/>
          <w:szCs w:val="21"/>
        </w:rPr>
      </w:pPr>
      <w:r>
        <w:rPr>
          <w:rFonts w:hint="eastAsia" w:ascii="宋体" w:hAnsi="宋体"/>
          <w:szCs w:val="21"/>
        </w:rPr>
        <w:t>（8）经评审的投标人排序；</w:t>
      </w:r>
    </w:p>
    <w:p>
      <w:pPr>
        <w:adjustRightInd w:val="0"/>
        <w:snapToGrid w:val="0"/>
        <w:spacing w:line="360" w:lineRule="auto"/>
        <w:ind w:firstLine="420" w:firstLineChars="200"/>
        <w:rPr>
          <w:rFonts w:hint="eastAsia" w:ascii="宋体" w:hAnsi="宋体"/>
          <w:szCs w:val="21"/>
        </w:rPr>
      </w:pPr>
      <w:r>
        <w:rPr>
          <w:rFonts w:hint="eastAsia" w:ascii="宋体" w:hAnsi="宋体"/>
          <w:szCs w:val="21"/>
        </w:rPr>
        <w:t>（9）推荐的中标候选人名单（如果第二章“投标人须知”前附表授权评标委员会直接确定中标人，则为“确定的中标人”）与签订合同前要处理的事宜；</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（10）澄清、说明、补正事项纪要。</w:t>
      </w:r>
    </w:p>
    <w:p>
      <w:pPr>
        <w:adjustRightInd w:val="0"/>
        <w:snapToGrid w:val="0"/>
        <w:spacing w:line="360" w:lineRule="auto"/>
        <w:rPr>
          <w:rFonts w:hint="eastAsia" w:ascii="宋体" w:hAnsi="宋体"/>
          <w:bCs/>
          <w:sz w:val="24"/>
          <w:szCs w:val="21"/>
        </w:rPr>
      </w:pPr>
      <w:r>
        <w:rPr>
          <w:rFonts w:hint="eastAsia" w:ascii="宋体" w:hAnsi="宋体"/>
          <w:bCs/>
          <w:sz w:val="24"/>
          <w:szCs w:val="21"/>
        </w:rPr>
        <w:t>A6.特殊情况的处置程序</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A6.1 暗标评审的评审程序规定（适用于对施工组织设计进行暗标评审的）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如果第二章“投标人须知”前附表第10.3款要求对施工组织设计采用“暗标”评审方式且第八章“投标文件格式”中对施工组织设计的编制有暗标要求，评标委员会需对施工组织设计进行暗标评审的，则评标委员会需将施工组织设计（暗标）评审提前到初步评审之前进行。施工组织设计评审结果完成后再进行形式评审、资格评审、响应性评审和项目管理机构评审、信誉评审、投标报价评审。全部评审完成后再拆开技术标封底，技术标编号与投标人名称之间的对应关系。</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A6.2 关于评标活动暂停</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A6.2.1 评标委员会应当执行连续评标的原则，按评标办法中规定的程序、内容、方法、标准完成全部评标工作。除特殊情况外，评标活动不得暂停。</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A6.2.2 发生评标暂停情况时，评标委员会应当封存全部投标文件和评标记录，待特殊情况的影响结束且具备继续评标的条件时，由原评标委员会继续评标。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A6.3 关于评标中途更换评委</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A6.3.1 除非发生下列情况之一，评标委员会成员不得在评标中途更换：</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（1）因不可抗拒的客观原因，不能到场或需在评标中途退出评标活动。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（2）根据法律法规规定，某个或某几个评标委员会成员需要回避。</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A6.3.2 退出评标的评标委员会成员，其已完成的评标行为无效。由招标人根据本招标文件规定的评标委员会成员生产方式另行确定替代者进行评标。</w:t>
      </w:r>
    </w:p>
    <w:p>
      <w:pPr>
        <w:adjustRightInd w:val="0"/>
        <w:snapToGrid w:val="0"/>
        <w:spacing w:line="360" w:lineRule="auto"/>
        <w:ind w:firstLine="420" w:firstLineChars="200"/>
        <w:rPr>
          <w:rFonts w:hint="eastAsia" w:ascii="宋体" w:hAnsi="宋体"/>
          <w:szCs w:val="21"/>
        </w:rPr>
      </w:pPr>
      <w:r>
        <w:rPr>
          <w:rFonts w:hint="eastAsia" w:ascii="宋体" w:hAnsi="宋体"/>
          <w:szCs w:val="21"/>
        </w:rPr>
        <w:t>A6.4 记名投票</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在任何评标环节中，需评标委员会就某项定性的评审结论做出表决的，由评标委员会全体成员按照少数服从多数的原则，以记名投票方式表决。</w:t>
      </w:r>
    </w:p>
    <w:p>
      <w:pPr>
        <w:adjustRightInd w:val="0"/>
        <w:snapToGrid w:val="0"/>
        <w:spacing w:line="360" w:lineRule="auto"/>
        <w:rPr>
          <w:rFonts w:hint="eastAsia" w:ascii="宋体" w:hAnsi="宋体"/>
          <w:sz w:val="24"/>
        </w:rPr>
      </w:pPr>
      <w:r>
        <w:rPr>
          <w:rFonts w:hint="eastAsia" w:ascii="宋体" w:hAnsi="宋体"/>
          <w:sz w:val="24"/>
        </w:rPr>
        <w:t>A7.补充条款</w:t>
      </w:r>
    </w:p>
    <w:p>
      <w:pPr>
        <w:adjustRightInd w:val="0"/>
        <w:snapToGrid w:val="0"/>
        <w:spacing w:line="360" w:lineRule="auto"/>
        <w:ind w:firstLine="420" w:firstLineChars="200"/>
        <w:rPr>
          <w:rFonts w:ascii="宋体" w:hAnsi="宋体"/>
        </w:rPr>
      </w:pPr>
      <w:r>
        <w:rPr>
          <w:rFonts w:hint="eastAsia" w:ascii="宋体" w:hAnsi="宋体"/>
        </w:rPr>
        <w:t>……</w:t>
      </w:r>
      <w:bookmarkStart w:id="168" w:name="_Toc300678138"/>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adjustRightInd w:val="0"/>
        <w:snapToGrid w:val="0"/>
        <w:spacing w:line="360" w:lineRule="auto"/>
        <w:ind w:firstLine="482" w:firstLineChars="200"/>
        <w:rPr>
          <w:rFonts w:hint="eastAsia" w:ascii="宋体" w:hAnsi="宋体"/>
          <w:b/>
          <w:bCs/>
          <w:sz w:val="24"/>
        </w:rPr>
      </w:pPr>
    </w:p>
    <w:p>
      <w:pPr>
        <w:pStyle w:val="6"/>
        <w:adjustRightInd w:val="0"/>
        <w:snapToGrid w:val="0"/>
        <w:rPr>
          <w:rFonts w:hint="eastAsia" w:ascii="宋体" w:hAnsi="宋体"/>
          <w:b w:val="0"/>
          <w:bCs w:val="0"/>
          <w:sz w:val="24"/>
        </w:rPr>
      </w:pPr>
      <w:r>
        <w:rPr>
          <w:rFonts w:hint="eastAsia" w:ascii="宋体" w:hAnsi="宋体"/>
          <w:b w:val="0"/>
          <w:bCs w:val="0"/>
          <w:sz w:val="24"/>
        </w:rPr>
        <w:t>附件3-B：废标条件</w:t>
      </w:r>
      <w:bookmarkEnd w:id="168"/>
    </w:p>
    <w:p>
      <w:pPr>
        <w:adjustRightInd w:val="0"/>
        <w:snapToGrid w:val="0"/>
        <w:spacing w:line="360" w:lineRule="auto"/>
        <w:ind w:firstLine="560" w:firstLineChars="200"/>
        <w:jc w:val="center"/>
        <w:rPr>
          <w:rFonts w:hint="eastAsia" w:ascii="宋体" w:hAnsi="宋体"/>
          <w:sz w:val="28"/>
          <w:szCs w:val="28"/>
        </w:rPr>
      </w:pPr>
      <w:r>
        <w:rPr>
          <w:rFonts w:hint="eastAsia" w:ascii="宋体" w:hAnsi="宋体"/>
          <w:sz w:val="28"/>
          <w:szCs w:val="28"/>
        </w:rPr>
        <w:t>废标条件</w:t>
      </w:r>
    </w:p>
    <w:p>
      <w:pPr>
        <w:adjustRightInd w:val="0"/>
        <w:snapToGrid w:val="0"/>
        <w:spacing w:line="360" w:lineRule="auto"/>
        <w:rPr>
          <w:rFonts w:hint="eastAsia" w:ascii="宋体" w:hAnsi="宋体"/>
          <w:sz w:val="24"/>
        </w:rPr>
      </w:pPr>
      <w:r>
        <w:rPr>
          <w:rFonts w:hint="eastAsia" w:ascii="宋体" w:hAnsi="宋体"/>
          <w:sz w:val="24"/>
        </w:rPr>
        <w:t>B0.总  则</w:t>
      </w:r>
    </w:p>
    <w:p>
      <w:pPr>
        <w:adjustRightInd w:val="0"/>
        <w:snapToGrid w:val="0"/>
        <w:spacing w:line="360" w:lineRule="auto"/>
        <w:ind w:firstLine="420" w:firstLineChars="200"/>
        <w:rPr>
          <w:rFonts w:hint="eastAsia" w:ascii="宋体" w:hAnsi="宋体"/>
          <w:szCs w:val="21"/>
        </w:rPr>
      </w:pPr>
      <w:r>
        <w:rPr>
          <w:rFonts w:hint="eastAsia" w:ascii="宋体" w:hAnsi="宋体"/>
          <w:szCs w:val="21"/>
        </w:rPr>
        <w:t>本附件所集中列示的废标条件，是本章“评标办法”的组成部分，是对第二章“投标人须知”和本章正文部分所规定的废标条件的总结和补充，如果出现相互矛盾的情况，以第二章“投标人须知”和本章正文部分的规定为准。</w:t>
      </w:r>
    </w:p>
    <w:p>
      <w:pPr>
        <w:adjustRightInd w:val="0"/>
        <w:snapToGrid w:val="0"/>
        <w:spacing w:line="360" w:lineRule="auto"/>
        <w:rPr>
          <w:rFonts w:hint="eastAsia" w:ascii="宋体" w:hAnsi="宋体"/>
          <w:sz w:val="24"/>
        </w:rPr>
      </w:pPr>
      <w:r>
        <w:rPr>
          <w:rFonts w:hint="eastAsia" w:ascii="宋体" w:hAnsi="宋体"/>
          <w:sz w:val="24"/>
        </w:rPr>
        <w:t>B1．废标条件</w:t>
      </w:r>
    </w:p>
    <w:p>
      <w:pPr>
        <w:adjustRightInd w:val="0"/>
        <w:snapToGrid w:val="0"/>
        <w:spacing w:line="360" w:lineRule="auto"/>
        <w:ind w:firstLine="420" w:firstLineChars="200"/>
        <w:rPr>
          <w:rFonts w:hint="eastAsia" w:ascii="宋体" w:hAnsi="宋体"/>
          <w:szCs w:val="21"/>
        </w:rPr>
      </w:pPr>
      <w:r>
        <w:rPr>
          <w:rFonts w:hint="eastAsia" w:ascii="宋体" w:hAnsi="宋体"/>
          <w:szCs w:val="21"/>
        </w:rPr>
        <w:t>投标人或其投标文件有下列情形之一的，其投标作废标处理：</w:t>
      </w:r>
    </w:p>
    <w:p>
      <w:pPr>
        <w:adjustRightInd w:val="0"/>
        <w:snapToGrid w:val="0"/>
        <w:spacing w:line="360" w:lineRule="auto"/>
        <w:ind w:firstLine="420" w:firstLineChars="200"/>
        <w:rPr>
          <w:rFonts w:hint="eastAsia" w:ascii="宋体" w:hAnsi="宋体"/>
        </w:rPr>
      </w:pPr>
      <w:r>
        <w:rPr>
          <w:rFonts w:hint="eastAsia" w:ascii="宋体" w:hAnsi="宋体"/>
        </w:rPr>
        <w:t>B1.1 有第二章“投标人须知”第1.4.3项规定的任何一种情形的。</w:t>
      </w:r>
    </w:p>
    <w:p>
      <w:pPr>
        <w:adjustRightInd w:val="0"/>
        <w:snapToGrid w:val="0"/>
        <w:spacing w:line="360" w:lineRule="auto"/>
        <w:ind w:firstLine="420" w:firstLineChars="200"/>
        <w:rPr>
          <w:rFonts w:hint="eastAsia" w:ascii="宋体" w:hAnsi="宋体"/>
        </w:rPr>
      </w:pPr>
      <w:r>
        <w:rPr>
          <w:rFonts w:hint="eastAsia" w:ascii="宋体" w:hAnsi="宋体"/>
        </w:rPr>
        <w:t>B1.2 有串通投标或弄虚作假或有其他违法行为的。</w:t>
      </w:r>
    </w:p>
    <w:p>
      <w:pPr>
        <w:adjustRightInd w:val="0"/>
        <w:snapToGrid w:val="0"/>
        <w:spacing w:line="360" w:lineRule="auto"/>
        <w:ind w:firstLine="420" w:firstLineChars="200"/>
        <w:rPr>
          <w:rFonts w:hint="eastAsia" w:ascii="宋体" w:hAnsi="宋体"/>
        </w:rPr>
      </w:pPr>
      <w:r>
        <w:rPr>
          <w:rFonts w:hint="eastAsia" w:ascii="宋体" w:hAnsi="宋体"/>
        </w:rPr>
        <w:t>B1.3 不按评标委员会要求澄清、说明或补正的。</w:t>
      </w:r>
    </w:p>
    <w:p>
      <w:pPr>
        <w:adjustRightInd w:val="0"/>
        <w:snapToGrid w:val="0"/>
        <w:spacing w:line="360" w:lineRule="auto"/>
        <w:ind w:firstLine="420" w:firstLineChars="200"/>
        <w:rPr>
          <w:rFonts w:hint="eastAsia" w:ascii="宋体" w:hAnsi="宋体"/>
        </w:rPr>
      </w:pPr>
      <w:r>
        <w:rPr>
          <w:rFonts w:hint="eastAsia" w:ascii="宋体" w:hAnsi="宋体"/>
        </w:rPr>
        <w:t>B1.4 在形式评审、资格评审、响应性评审中，评标委员会认定投标人的投标文件不符合评标办法前附表中规定的任何一项评审标准的。</w:t>
      </w:r>
    </w:p>
    <w:p>
      <w:pPr>
        <w:adjustRightInd w:val="0"/>
        <w:snapToGrid w:val="0"/>
        <w:spacing w:line="360" w:lineRule="auto"/>
        <w:ind w:firstLine="420" w:firstLineChars="200"/>
        <w:rPr>
          <w:rFonts w:hint="eastAsia" w:ascii="宋体" w:hAnsi="宋体"/>
        </w:rPr>
      </w:pPr>
      <w:r>
        <w:rPr>
          <w:rFonts w:hint="eastAsia" w:ascii="宋体" w:hAnsi="宋体"/>
        </w:rPr>
        <w:t>B1.5 当投标人资格申请文件的内容发生重大变化时，其在投标文件中更新的资料，未能通过资格评审的（适用于开标前资格审查的）。</w:t>
      </w:r>
    </w:p>
    <w:p>
      <w:pPr>
        <w:adjustRightInd w:val="0"/>
        <w:snapToGrid w:val="0"/>
        <w:spacing w:line="360" w:lineRule="auto"/>
        <w:ind w:firstLine="420" w:firstLineChars="200"/>
        <w:rPr>
          <w:rFonts w:hint="eastAsia" w:ascii="宋体" w:hAnsi="宋体"/>
        </w:rPr>
      </w:pPr>
      <w:r>
        <w:rPr>
          <w:rFonts w:hint="eastAsia" w:ascii="宋体" w:hAnsi="宋体"/>
        </w:rPr>
        <w:t>B1.6 在施工组织设计和项目管理机构评审中，评标委员会认定投标人的投标未能通过此项评审的。</w:t>
      </w:r>
    </w:p>
    <w:p>
      <w:pPr>
        <w:adjustRightInd w:val="0"/>
        <w:snapToGrid w:val="0"/>
        <w:spacing w:line="360" w:lineRule="auto"/>
        <w:ind w:firstLine="420" w:firstLineChars="200"/>
        <w:rPr>
          <w:rFonts w:hint="eastAsia" w:ascii="宋体" w:hAnsi="宋体"/>
        </w:rPr>
      </w:pPr>
      <w:r>
        <w:rPr>
          <w:rFonts w:hint="eastAsia" w:ascii="宋体" w:hAnsi="宋体"/>
        </w:rPr>
        <w:t>B1.7评标委员会认定投标人以低于成本报价竞标的。</w:t>
      </w:r>
    </w:p>
    <w:p>
      <w:pPr>
        <w:adjustRightInd w:val="0"/>
        <w:snapToGrid w:val="0"/>
        <w:spacing w:line="360" w:lineRule="auto"/>
        <w:ind w:firstLine="420" w:firstLineChars="200"/>
        <w:rPr>
          <w:rFonts w:hint="eastAsia" w:ascii="宋体" w:hAnsi="宋体"/>
        </w:rPr>
      </w:pPr>
      <w:r>
        <w:rPr>
          <w:rFonts w:hint="eastAsia" w:ascii="宋体" w:hAnsi="宋体"/>
        </w:rPr>
        <w:t>B1.8 投标人未按第二章“投标人须知”第10.6款规定出席开标会的。</w:t>
      </w:r>
    </w:p>
    <w:p>
      <w:pPr>
        <w:adjustRightInd w:val="0"/>
        <w:snapToGrid w:val="0"/>
        <w:spacing w:line="360" w:lineRule="auto"/>
        <w:ind w:firstLine="420" w:firstLineChars="200"/>
        <w:rPr>
          <w:rFonts w:hint="eastAsia" w:ascii="宋体" w:hAnsi="宋体"/>
        </w:rPr>
      </w:pPr>
      <w:r>
        <w:rPr>
          <w:rFonts w:hint="eastAsia" w:ascii="宋体" w:hAnsi="宋体"/>
        </w:rPr>
        <w:t>B1.9 投标报价有算术错误的，评标委员会按本章第3.1.3项规定对投标报价进行修正，投标人不接受修正价格的。</w:t>
      </w:r>
    </w:p>
    <w:p>
      <w:pPr>
        <w:adjustRightInd w:val="0"/>
        <w:snapToGrid w:val="0"/>
        <w:spacing w:line="360" w:lineRule="auto"/>
        <w:ind w:firstLine="420" w:firstLineChars="200"/>
        <w:rPr>
          <w:rFonts w:hint="eastAsia" w:ascii="宋体" w:hAnsi="宋体"/>
        </w:rPr>
      </w:pPr>
      <w:r>
        <w:rPr>
          <w:rFonts w:hint="eastAsia" w:ascii="宋体" w:hAnsi="宋体"/>
        </w:rPr>
        <w:t>B1.10 投标人递交两份或多份内容不同的投标文件的。</w:t>
      </w:r>
    </w:p>
    <w:p>
      <w:pPr>
        <w:adjustRightInd w:val="0"/>
        <w:snapToGrid w:val="0"/>
        <w:spacing w:line="360" w:lineRule="auto"/>
        <w:ind w:firstLine="420" w:firstLineChars="200"/>
        <w:rPr>
          <w:rFonts w:hint="eastAsia" w:ascii="宋体" w:hAnsi="宋体"/>
        </w:rPr>
      </w:pPr>
      <w:r>
        <w:rPr>
          <w:rFonts w:hint="eastAsia" w:ascii="宋体" w:hAnsi="宋体"/>
        </w:rPr>
        <w:t>B1.11 投标人不能提供合法的、真实的材料证明其投标文件的真实性或证明其为合格投标人的。</w:t>
      </w:r>
    </w:p>
    <w:p>
      <w:pPr>
        <w:adjustRightInd w:val="0"/>
        <w:snapToGrid w:val="0"/>
        <w:spacing w:line="360" w:lineRule="auto"/>
        <w:ind w:firstLine="420" w:firstLineChars="200"/>
        <w:rPr>
          <w:rFonts w:hint="eastAsia" w:ascii="宋体" w:hAnsi="宋体"/>
        </w:rPr>
      </w:pPr>
      <w:r>
        <w:rPr>
          <w:rFonts w:hint="eastAsia" w:ascii="宋体" w:hAnsi="宋体"/>
        </w:rPr>
        <w:t>B1.12未按规定提供原件或原件提供不全的。</w:t>
      </w:r>
    </w:p>
    <w:p>
      <w:pPr>
        <w:adjustRightInd w:val="0"/>
        <w:snapToGrid w:val="0"/>
        <w:spacing w:line="360" w:lineRule="auto"/>
        <w:ind w:firstLine="420" w:firstLineChars="200"/>
        <w:rPr>
          <w:rFonts w:hint="eastAsia" w:ascii="宋体" w:hAnsi="宋体"/>
        </w:rPr>
      </w:pPr>
      <w:r>
        <w:rPr>
          <w:rFonts w:hint="eastAsia" w:ascii="宋体" w:hAnsi="宋体"/>
        </w:rPr>
        <w:t>……</w:t>
      </w:r>
    </w:p>
    <w:p>
      <w:pPr>
        <w:adjustRightInd w:val="0"/>
        <w:snapToGrid w:val="0"/>
        <w:spacing w:line="360" w:lineRule="auto"/>
        <w:rPr>
          <w:rFonts w:hint="eastAsia" w:ascii="宋体" w:hAnsi="宋体"/>
          <w:szCs w:val="21"/>
        </w:rPr>
      </w:pPr>
      <w:r>
        <w:rPr>
          <w:rFonts w:ascii="宋体" w:hAnsi="宋体"/>
          <w:szCs w:val="21"/>
        </w:rPr>
        <w:br w:type="page"/>
      </w:r>
    </w:p>
    <w:p>
      <w:pPr>
        <w:pStyle w:val="6"/>
        <w:adjustRightInd w:val="0"/>
        <w:snapToGrid w:val="0"/>
        <w:rPr>
          <w:rFonts w:hint="eastAsia" w:ascii="宋体" w:hAnsi="宋体"/>
          <w:b w:val="0"/>
          <w:bCs w:val="0"/>
          <w:sz w:val="24"/>
        </w:rPr>
      </w:pPr>
      <w:bookmarkStart w:id="169" w:name="_Toc300678139"/>
      <w:r>
        <w:rPr>
          <w:rFonts w:hint="eastAsia" w:ascii="宋体" w:hAnsi="宋体"/>
          <w:b w:val="0"/>
          <w:bCs w:val="0"/>
          <w:sz w:val="24"/>
        </w:rPr>
        <w:t>附件3-C：投标人成本评审办法</w:t>
      </w:r>
      <w:bookmarkEnd w:id="169"/>
    </w:p>
    <w:p>
      <w:pPr>
        <w:adjustRightInd w:val="0"/>
        <w:snapToGrid w:val="0"/>
        <w:spacing w:line="360" w:lineRule="auto"/>
        <w:jc w:val="center"/>
        <w:rPr>
          <w:rFonts w:hint="eastAsia" w:ascii="宋体" w:hAnsi="宋体"/>
          <w:sz w:val="28"/>
          <w:szCs w:val="28"/>
        </w:rPr>
      </w:pPr>
      <w:r>
        <w:rPr>
          <w:rFonts w:hint="eastAsia" w:ascii="宋体" w:hAnsi="宋体"/>
          <w:sz w:val="28"/>
          <w:szCs w:val="28"/>
        </w:rPr>
        <w:t>投标人成本评审办法</w:t>
      </w:r>
    </w:p>
    <w:p>
      <w:pPr>
        <w:adjustRightInd w:val="0"/>
        <w:snapToGrid w:val="0"/>
        <w:spacing w:line="360" w:lineRule="auto"/>
        <w:rPr>
          <w:rFonts w:hint="eastAsia" w:ascii="宋体" w:hAnsi="宋体"/>
          <w:sz w:val="24"/>
        </w:rPr>
      </w:pPr>
      <w:r>
        <w:rPr>
          <w:rFonts w:hint="eastAsia" w:ascii="宋体" w:hAnsi="宋体"/>
          <w:sz w:val="24"/>
        </w:rPr>
        <w:t>C0.总  则</w:t>
      </w:r>
    </w:p>
    <w:p>
      <w:pPr>
        <w:adjustRightInd w:val="0"/>
        <w:snapToGrid w:val="0"/>
        <w:spacing w:line="360" w:lineRule="auto"/>
        <w:ind w:firstLine="420" w:firstLineChars="200"/>
        <w:rPr>
          <w:rFonts w:hint="eastAsia" w:ascii="宋体" w:hAnsi="宋体"/>
        </w:rPr>
      </w:pPr>
      <w:r>
        <w:rPr>
          <w:rFonts w:hint="eastAsia" w:ascii="宋体" w:hAnsi="宋体"/>
        </w:rPr>
        <w:t>本附件是本章“评标办法”的组成部分，评标委员会按照本章第3.2.2项的规定，对投标人投标报价是否低于其成本进行评审和判断时，适用本附件所规定的办法。</w:t>
      </w:r>
    </w:p>
    <w:p>
      <w:pPr>
        <w:adjustRightInd w:val="0"/>
        <w:snapToGrid w:val="0"/>
        <w:spacing w:line="360" w:lineRule="auto"/>
        <w:rPr>
          <w:rFonts w:hint="eastAsia" w:ascii="宋体" w:hAnsi="宋体"/>
          <w:sz w:val="24"/>
        </w:rPr>
      </w:pPr>
      <w:r>
        <w:rPr>
          <w:rFonts w:hint="eastAsia" w:ascii="宋体" w:hAnsi="宋体"/>
          <w:sz w:val="24"/>
        </w:rPr>
        <w:t>C1.评审程序</w:t>
      </w:r>
    </w:p>
    <w:p>
      <w:pPr>
        <w:adjustRightInd w:val="0"/>
        <w:snapToGrid w:val="0"/>
        <w:spacing w:line="360" w:lineRule="auto"/>
        <w:rPr>
          <w:rFonts w:ascii="宋体" w:hAnsi="宋体"/>
          <w:bCs/>
        </w:rPr>
      </w:pPr>
      <w:r>
        <w:rPr>
          <w:rFonts w:hint="eastAsia" w:ascii="宋体" w:hAnsi="宋体"/>
          <w:bCs/>
        </w:rPr>
        <w:t>C1.1 启动成本评审工作的前提条件</w:t>
      </w:r>
    </w:p>
    <w:p>
      <w:pPr>
        <w:adjustRightInd w:val="0"/>
        <w:snapToGrid w:val="0"/>
        <w:spacing w:line="360" w:lineRule="auto"/>
        <w:ind w:firstLine="420" w:firstLineChars="200"/>
        <w:rPr>
          <w:rFonts w:ascii="宋体" w:hAnsi="宋体"/>
        </w:rPr>
      </w:pPr>
      <w:r>
        <w:rPr>
          <w:rFonts w:hint="eastAsia" w:ascii="宋体" w:hAnsi="宋体"/>
        </w:rPr>
        <w:t>在满足下列两项条件的前提下，评标委员会应当启动并进行本办法所规定的评审，以判别投标人的投标报价是否低于其成本：</w:t>
      </w:r>
    </w:p>
    <w:p>
      <w:pPr>
        <w:adjustRightInd w:val="0"/>
        <w:snapToGrid w:val="0"/>
        <w:spacing w:line="360" w:lineRule="auto"/>
        <w:ind w:firstLine="420" w:firstLineChars="200"/>
        <w:rPr>
          <w:rFonts w:ascii="宋体" w:hAnsi="宋体"/>
        </w:rPr>
      </w:pPr>
      <w:r>
        <w:rPr>
          <w:rFonts w:hint="eastAsia" w:ascii="宋体" w:hAnsi="宋体"/>
        </w:rPr>
        <w:t>C1.1.1 投标人的投标文件已经通过本章“评标办法”规定的“初步评审”，不存在应当废标的情形；</w:t>
      </w:r>
    </w:p>
    <w:p>
      <w:pPr>
        <w:adjustRightInd w:val="0"/>
        <w:snapToGrid w:val="0"/>
        <w:spacing w:line="360" w:lineRule="auto"/>
        <w:ind w:firstLine="420" w:firstLineChars="200"/>
        <w:rPr>
          <w:rFonts w:ascii="宋体" w:hAnsi="宋体"/>
        </w:rPr>
      </w:pPr>
      <w:r>
        <w:rPr>
          <w:rFonts w:hint="eastAsia" w:ascii="宋体" w:hAnsi="宋体"/>
        </w:rPr>
        <w:t>C1.1.2</w:t>
      </w:r>
      <w:r>
        <w:rPr>
          <w:rFonts w:hint="eastAsia" w:ascii="宋体" w:hAnsi="宋体"/>
          <w:kern w:val="0"/>
        </w:rPr>
        <w:t>投标人的投标报价低于（不含）有效报价的投标报价算术平均值5%</w:t>
      </w:r>
    </w:p>
    <w:p>
      <w:pPr>
        <w:adjustRightInd w:val="0"/>
        <w:snapToGrid w:val="0"/>
        <w:spacing w:line="360" w:lineRule="auto"/>
        <w:rPr>
          <w:rFonts w:ascii="宋体" w:hAnsi="宋体"/>
          <w:bCs/>
        </w:rPr>
      </w:pPr>
      <w:r>
        <w:rPr>
          <w:rFonts w:hint="eastAsia" w:ascii="宋体" w:hAnsi="宋体"/>
          <w:bCs/>
        </w:rPr>
        <w:t>C1.2判断投标报价是否低于成本</w:t>
      </w:r>
    </w:p>
    <w:p>
      <w:pPr>
        <w:adjustRightInd w:val="0"/>
        <w:snapToGrid w:val="0"/>
        <w:spacing w:line="360" w:lineRule="auto"/>
        <w:ind w:firstLine="420" w:firstLineChars="200"/>
        <w:rPr>
          <w:rFonts w:ascii="宋体" w:hAnsi="宋体"/>
          <w:szCs w:val="21"/>
        </w:rPr>
      </w:pPr>
      <w:r>
        <w:rPr>
          <w:rFonts w:hint="eastAsia" w:ascii="宋体" w:hAnsi="宋体"/>
          <w:kern w:val="0"/>
        </w:rPr>
        <w:t>对低于投标人有效报价的投标报价算术平均值5%的投标报价，除招标文件另有规定外，评标委员会可以通过以下方法之一对投标报价作出评审结论：</w:t>
      </w:r>
    </w:p>
    <w:p>
      <w:pPr>
        <w:adjustRightInd w:val="0"/>
        <w:snapToGrid w:val="0"/>
        <w:spacing w:line="360" w:lineRule="auto"/>
        <w:ind w:firstLine="420" w:firstLineChars="200"/>
        <w:rPr>
          <w:rFonts w:ascii="宋体" w:hAnsi="宋体"/>
          <w:b/>
          <w:bCs/>
        </w:rPr>
      </w:pPr>
      <w:r>
        <w:rPr>
          <w:rFonts w:hint="eastAsia" w:ascii="宋体" w:hAnsi="宋体"/>
          <w:kern w:val="0"/>
        </w:rPr>
        <w:t>招标人将低于投标人有效报价的投标报价算术平均值6%的投标报价确定为成本价，低于该成本价的为无效报价，按废标处理。</w:t>
      </w:r>
    </w:p>
    <w:p>
      <w:pPr>
        <w:spacing w:after="240" w:line="360" w:lineRule="auto"/>
        <w:rPr>
          <w:kern w:val="0"/>
        </w:rPr>
      </w:pPr>
      <w:r>
        <w:rPr>
          <w:kern w:val="0"/>
        </w:rPr>
        <w:br w:type="page"/>
      </w:r>
    </w:p>
    <w:p>
      <w:pPr>
        <w:pStyle w:val="6"/>
        <w:rPr>
          <w:rFonts w:ascii="黑体" w:hAnsi="黑体" w:eastAsia="黑体"/>
          <w:b w:val="0"/>
          <w:bCs w:val="0"/>
          <w:sz w:val="24"/>
        </w:rPr>
      </w:pPr>
      <w:bookmarkStart w:id="170" w:name="_Toc300678105"/>
      <w:r>
        <w:rPr>
          <w:rFonts w:hint="eastAsia" w:ascii="黑体" w:hAnsi="黑体" w:eastAsia="黑体"/>
          <w:b w:val="0"/>
          <w:bCs w:val="0"/>
          <w:sz w:val="24"/>
        </w:rPr>
        <w:t>附件3-D：计算机辅助评标方法</w:t>
      </w:r>
      <w:bookmarkEnd w:id="170"/>
    </w:p>
    <w:p>
      <w:pPr>
        <w:spacing w:beforeLines="100" w:afterLines="150" w:line="440" w:lineRule="exact"/>
        <w:jc w:val="center"/>
        <w:rPr>
          <w:rFonts w:ascii="黑体" w:hAnsi="宋体" w:eastAsia="黑体"/>
          <w:sz w:val="28"/>
          <w:szCs w:val="28"/>
        </w:rPr>
      </w:pPr>
      <w:r>
        <w:rPr>
          <w:rFonts w:hint="eastAsia" w:ascii="黑体" w:hAnsi="宋体" w:eastAsia="黑体"/>
          <w:sz w:val="28"/>
          <w:szCs w:val="28"/>
        </w:rPr>
        <w:t>计算机辅助评标方法</w:t>
      </w:r>
    </w:p>
    <w:p>
      <w:pPr>
        <w:spacing w:line="360" w:lineRule="auto"/>
        <w:ind w:firstLine="420" w:firstLineChars="200"/>
      </w:pPr>
      <w:r>
        <w:rPr>
          <w:rFonts w:hint="eastAsia"/>
        </w:rPr>
        <w:t>备注：本附件的具体内容由招标人根据各地和招标项目的具体情况自行编写。</w:t>
      </w:r>
      <w:bookmarkStart w:id="171" w:name="_Toc300678106"/>
    </w:p>
    <w:p>
      <w:pPr>
        <w:spacing w:line="360" w:lineRule="auto"/>
        <w:ind w:firstLine="420" w:firstLineChars="200"/>
        <w:rPr>
          <w:rFonts w:ascii="黑体" w:hAnsi="黑体" w:eastAsia="黑体"/>
          <w:b/>
          <w:bCs/>
          <w:sz w:val="24"/>
        </w:rPr>
      </w:pPr>
      <w:r>
        <w:br w:type="page"/>
      </w:r>
    </w:p>
    <w:p>
      <w:pPr>
        <w:pStyle w:val="6"/>
        <w:spacing w:line="400" w:lineRule="exact"/>
        <w:rPr>
          <w:rFonts w:ascii="黑体" w:hAnsi="黑体" w:eastAsia="黑体"/>
          <w:b w:val="0"/>
          <w:bCs w:val="0"/>
          <w:sz w:val="24"/>
        </w:rPr>
      </w:pPr>
      <w:r>
        <w:rPr>
          <w:rFonts w:hint="eastAsia" w:ascii="黑体" w:hAnsi="黑体" w:eastAsia="黑体"/>
          <w:b w:val="0"/>
          <w:bCs w:val="0"/>
          <w:sz w:val="24"/>
        </w:rPr>
        <w:t>附表3-1：基本情况和数据表</w:t>
      </w:r>
      <w:bookmarkEnd w:id="171"/>
    </w:p>
    <w:p>
      <w:pPr>
        <w:spacing w:beforeLines="150" w:afterLines="150" w:line="400" w:lineRule="exact"/>
        <w:jc w:val="center"/>
        <w:rPr>
          <w:rFonts w:ascii="黑体" w:eastAsia="黑体"/>
          <w:sz w:val="28"/>
          <w:szCs w:val="28"/>
        </w:rPr>
      </w:pPr>
      <w:r>
        <w:rPr>
          <w:rFonts w:hint="eastAsia" w:ascii="黑体" w:eastAsia="黑体"/>
          <w:sz w:val="28"/>
          <w:szCs w:val="28"/>
        </w:rPr>
        <w:t>基本情况和数据表</w:t>
      </w:r>
    </w:p>
    <w:tbl>
      <w:tblPr>
        <w:tblStyle w:val="42"/>
        <w:tblW w:w="828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2121"/>
        <w:gridCol w:w="55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91"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序号</w:t>
            </w:r>
          </w:p>
        </w:tc>
        <w:tc>
          <w:tcPr>
            <w:tcW w:w="2121" w:type="dxa"/>
            <w:vAlign w:val="center"/>
          </w:tcPr>
          <w:p>
            <w:pPr>
              <w:snapToGrid w:val="0"/>
              <w:jc w:val="center"/>
              <w:rPr>
                <w:rFonts w:ascii="宋体" w:hAnsi="宋体"/>
                <w:sz w:val="18"/>
                <w:szCs w:val="21"/>
              </w:rPr>
            </w:pPr>
            <w:r>
              <w:rPr>
                <w:rFonts w:hint="eastAsia" w:ascii="宋体" w:hAnsi="宋体"/>
                <w:sz w:val="18"/>
                <w:szCs w:val="21"/>
              </w:rPr>
              <w:t>名  称</w:t>
            </w:r>
          </w:p>
        </w:tc>
        <w:tc>
          <w:tcPr>
            <w:tcW w:w="5504" w:type="dxa"/>
            <w:vAlign w:val="center"/>
          </w:tcPr>
          <w:p>
            <w:pPr>
              <w:snapToGrid w:val="0"/>
              <w:jc w:val="center"/>
              <w:rPr>
                <w:rFonts w:ascii="宋体" w:hAnsi="宋体"/>
                <w:sz w:val="18"/>
                <w:szCs w:val="21"/>
              </w:rPr>
            </w:pPr>
            <w:r>
              <w:rPr>
                <w:rFonts w:hint="eastAsia" w:ascii="宋体" w:hAnsi="宋体"/>
                <w:sz w:val="18"/>
                <w:szCs w:val="21"/>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w:t>
            </w:r>
          </w:p>
        </w:tc>
        <w:tc>
          <w:tcPr>
            <w:tcW w:w="2121" w:type="dxa"/>
            <w:vAlign w:val="center"/>
          </w:tcPr>
          <w:p>
            <w:pPr>
              <w:adjustRightInd w:val="0"/>
              <w:snapToGrid w:val="0"/>
              <w:jc w:val="center"/>
              <w:rPr>
                <w:rFonts w:ascii="宋体" w:hAnsi="宋体"/>
                <w:sz w:val="18"/>
                <w:szCs w:val="21"/>
              </w:rPr>
            </w:pPr>
            <w:r>
              <w:rPr>
                <w:rFonts w:hint="eastAsia" w:ascii="宋体" w:hAnsi="宋体"/>
                <w:sz w:val="18"/>
              </w:rPr>
              <w:t>工程名称</w:t>
            </w:r>
          </w:p>
        </w:tc>
        <w:tc>
          <w:tcPr>
            <w:tcW w:w="5504" w:type="dxa"/>
            <w:vAlign w:val="center"/>
          </w:tcPr>
          <w:p>
            <w:pPr>
              <w:snapToGrid w:val="0"/>
              <w:jc w:val="left"/>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2</w:t>
            </w:r>
          </w:p>
        </w:tc>
        <w:tc>
          <w:tcPr>
            <w:tcW w:w="2121" w:type="dxa"/>
            <w:vAlign w:val="center"/>
          </w:tcPr>
          <w:p>
            <w:pPr>
              <w:adjustRightInd w:val="0"/>
              <w:snapToGrid w:val="0"/>
              <w:jc w:val="center"/>
              <w:rPr>
                <w:rFonts w:ascii="宋体" w:hAnsi="宋体"/>
                <w:sz w:val="18"/>
                <w:szCs w:val="21"/>
              </w:rPr>
            </w:pPr>
            <w:r>
              <w:rPr>
                <w:rFonts w:hint="eastAsia" w:ascii="宋体" w:hAnsi="宋体"/>
                <w:sz w:val="18"/>
              </w:rPr>
              <w:t>建设地点</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3</w:t>
            </w:r>
          </w:p>
        </w:tc>
        <w:tc>
          <w:tcPr>
            <w:tcW w:w="2121" w:type="dxa"/>
            <w:vAlign w:val="center"/>
          </w:tcPr>
          <w:p>
            <w:pPr>
              <w:adjustRightInd w:val="0"/>
              <w:snapToGrid w:val="0"/>
              <w:jc w:val="center"/>
              <w:rPr>
                <w:rFonts w:ascii="宋体" w:hAnsi="宋体"/>
                <w:sz w:val="18"/>
                <w:szCs w:val="21"/>
              </w:rPr>
            </w:pPr>
            <w:r>
              <w:rPr>
                <w:rFonts w:hint="eastAsia" w:ascii="宋体" w:hAnsi="宋体"/>
                <w:sz w:val="18"/>
              </w:rPr>
              <w:t>结构类型及层数</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4</w:t>
            </w:r>
          </w:p>
        </w:tc>
        <w:tc>
          <w:tcPr>
            <w:tcW w:w="2121" w:type="dxa"/>
            <w:vAlign w:val="center"/>
          </w:tcPr>
          <w:p>
            <w:pPr>
              <w:adjustRightInd w:val="0"/>
              <w:snapToGrid w:val="0"/>
              <w:jc w:val="center"/>
              <w:rPr>
                <w:rFonts w:ascii="宋体" w:hAnsi="宋体"/>
                <w:sz w:val="18"/>
                <w:szCs w:val="21"/>
              </w:rPr>
            </w:pPr>
            <w:r>
              <w:rPr>
                <w:rFonts w:hint="eastAsia" w:ascii="宋体" w:hAnsi="宋体"/>
                <w:sz w:val="18"/>
              </w:rPr>
              <w:t>建筑面积</w:t>
            </w:r>
          </w:p>
        </w:tc>
        <w:tc>
          <w:tcPr>
            <w:tcW w:w="5504" w:type="dxa"/>
            <w:vAlign w:val="center"/>
          </w:tcPr>
          <w:p>
            <w:pPr>
              <w:snapToGrid w:val="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5</w:t>
            </w:r>
          </w:p>
        </w:tc>
        <w:tc>
          <w:tcPr>
            <w:tcW w:w="2121" w:type="dxa"/>
            <w:vAlign w:val="center"/>
          </w:tcPr>
          <w:p>
            <w:pPr>
              <w:adjustRightInd w:val="0"/>
              <w:snapToGrid w:val="0"/>
              <w:jc w:val="center"/>
              <w:rPr>
                <w:rFonts w:ascii="宋体" w:hAnsi="宋体"/>
                <w:sz w:val="18"/>
                <w:szCs w:val="21"/>
              </w:rPr>
            </w:pPr>
            <w:r>
              <w:rPr>
                <w:rFonts w:hint="eastAsia" w:ascii="宋体" w:hAnsi="宋体"/>
                <w:sz w:val="18"/>
              </w:rPr>
              <w:t>要求质量标准</w:t>
            </w:r>
          </w:p>
        </w:tc>
        <w:tc>
          <w:tcPr>
            <w:tcW w:w="5504" w:type="dxa"/>
            <w:vAlign w:val="center"/>
          </w:tcPr>
          <w:p>
            <w:pPr>
              <w:snapToGrid w:val="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6</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承包方式</w:t>
            </w:r>
          </w:p>
        </w:tc>
        <w:tc>
          <w:tcPr>
            <w:tcW w:w="5504" w:type="dxa"/>
            <w:vAlign w:val="center"/>
          </w:tcPr>
          <w:p>
            <w:pPr>
              <w:snapToGrid w:val="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7</w:t>
            </w:r>
          </w:p>
        </w:tc>
        <w:tc>
          <w:tcPr>
            <w:tcW w:w="2121" w:type="dxa"/>
            <w:vAlign w:val="center"/>
          </w:tcPr>
          <w:p>
            <w:pPr>
              <w:adjustRightInd w:val="0"/>
              <w:snapToGrid w:val="0"/>
              <w:jc w:val="center"/>
              <w:rPr>
                <w:rFonts w:ascii="宋体" w:hAnsi="宋体"/>
                <w:sz w:val="18"/>
                <w:szCs w:val="21"/>
              </w:rPr>
            </w:pPr>
            <w:r>
              <w:rPr>
                <w:rFonts w:hint="eastAsia" w:ascii="宋体" w:hAnsi="宋体"/>
                <w:sz w:val="18"/>
              </w:rPr>
              <w:t>要求工期</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8</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招标范围</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9</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招标方式</w:t>
            </w:r>
          </w:p>
        </w:tc>
        <w:tc>
          <w:tcPr>
            <w:tcW w:w="5504" w:type="dxa"/>
            <w:vAlign w:val="center"/>
          </w:tcPr>
          <w:p>
            <w:pPr>
              <w:snapToGrid w:val="0"/>
              <w:jc w:val="left"/>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10</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投标文件递交地点</w:t>
            </w:r>
          </w:p>
        </w:tc>
        <w:tc>
          <w:tcPr>
            <w:tcW w:w="5504" w:type="dxa"/>
            <w:vAlign w:val="center"/>
          </w:tcPr>
          <w:p>
            <w:pPr>
              <w:snapToGrid w:val="0"/>
              <w:jc w:val="left"/>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11</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投标截止时间</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12</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收到投标文件的数量</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13</w:t>
            </w:r>
          </w:p>
        </w:tc>
        <w:tc>
          <w:tcPr>
            <w:tcW w:w="2121" w:type="dxa"/>
            <w:vAlign w:val="center"/>
          </w:tcPr>
          <w:p>
            <w:pPr>
              <w:adjustRightInd w:val="0"/>
              <w:snapToGrid w:val="0"/>
              <w:jc w:val="center"/>
              <w:rPr>
                <w:rFonts w:ascii="宋体" w:hAnsi="宋体"/>
                <w:sz w:val="18"/>
              </w:rPr>
            </w:pPr>
            <w:r>
              <w:rPr>
                <w:rFonts w:hint="eastAsia" w:ascii="宋体" w:hAnsi="宋体"/>
                <w:sz w:val="18"/>
              </w:rPr>
              <w:t>开标时间</w:t>
            </w:r>
          </w:p>
          <w:p>
            <w:pPr>
              <w:adjustRightInd w:val="0"/>
              <w:snapToGrid w:val="0"/>
              <w:jc w:val="center"/>
              <w:rPr>
                <w:rFonts w:ascii="宋体" w:hAnsi="宋体"/>
                <w:sz w:val="18"/>
                <w:szCs w:val="21"/>
              </w:rPr>
            </w:pPr>
            <w:r>
              <w:rPr>
                <w:rFonts w:hint="eastAsia" w:ascii="宋体" w:hAnsi="宋体"/>
                <w:sz w:val="18"/>
              </w:rPr>
              <w:t>开标地址</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14</w:t>
            </w:r>
          </w:p>
        </w:tc>
        <w:tc>
          <w:tcPr>
            <w:tcW w:w="2121" w:type="dxa"/>
            <w:vAlign w:val="center"/>
          </w:tcPr>
          <w:p>
            <w:pPr>
              <w:adjustRightInd w:val="0"/>
              <w:snapToGrid w:val="0"/>
              <w:jc w:val="center"/>
              <w:rPr>
                <w:rFonts w:ascii="宋体" w:hAnsi="宋体"/>
                <w:sz w:val="18"/>
                <w:szCs w:val="21"/>
              </w:rPr>
            </w:pPr>
            <w:r>
              <w:rPr>
                <w:rFonts w:hint="eastAsia" w:ascii="宋体" w:hAnsi="宋体"/>
                <w:sz w:val="18"/>
              </w:rPr>
              <w:t>资金来源</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15</w:t>
            </w:r>
          </w:p>
        </w:tc>
        <w:tc>
          <w:tcPr>
            <w:tcW w:w="2121" w:type="dxa"/>
            <w:vAlign w:val="center"/>
          </w:tcPr>
          <w:p>
            <w:pPr>
              <w:adjustRightInd w:val="0"/>
              <w:snapToGrid w:val="0"/>
              <w:jc w:val="center"/>
              <w:rPr>
                <w:rFonts w:ascii="宋体" w:hAnsi="宋体"/>
                <w:sz w:val="18"/>
              </w:rPr>
            </w:pPr>
            <w:r>
              <w:rPr>
                <w:rFonts w:hint="eastAsia" w:ascii="宋体" w:hAnsi="宋体"/>
                <w:sz w:val="18"/>
              </w:rPr>
              <w:t>投标人和项目负责人</w:t>
            </w:r>
          </w:p>
          <w:p>
            <w:pPr>
              <w:adjustRightInd w:val="0"/>
              <w:snapToGrid w:val="0"/>
              <w:jc w:val="center"/>
              <w:rPr>
                <w:rFonts w:ascii="宋体" w:hAnsi="宋体"/>
                <w:sz w:val="18"/>
              </w:rPr>
            </w:pPr>
            <w:r>
              <w:rPr>
                <w:rFonts w:hint="eastAsia" w:ascii="宋体" w:hAnsi="宋体"/>
                <w:sz w:val="18"/>
              </w:rPr>
              <w:t>资质等级</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16</w:t>
            </w:r>
          </w:p>
        </w:tc>
        <w:tc>
          <w:tcPr>
            <w:tcW w:w="2121" w:type="dxa"/>
            <w:vAlign w:val="center"/>
          </w:tcPr>
          <w:p>
            <w:pPr>
              <w:adjustRightInd w:val="0"/>
              <w:snapToGrid w:val="0"/>
              <w:jc w:val="center"/>
              <w:rPr>
                <w:rFonts w:ascii="宋体" w:hAnsi="宋体"/>
                <w:sz w:val="18"/>
              </w:rPr>
            </w:pPr>
            <w:r>
              <w:rPr>
                <w:rFonts w:hint="eastAsia" w:ascii="宋体" w:hAnsi="宋体"/>
                <w:sz w:val="18"/>
              </w:rPr>
              <w:t>投标保证金</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17</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投标有效期</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18</w:t>
            </w:r>
          </w:p>
        </w:tc>
        <w:tc>
          <w:tcPr>
            <w:tcW w:w="2121" w:type="dxa"/>
            <w:vAlign w:val="center"/>
          </w:tcPr>
          <w:p>
            <w:pPr>
              <w:adjustRightInd w:val="0"/>
              <w:snapToGrid w:val="0"/>
              <w:jc w:val="center"/>
              <w:rPr>
                <w:rFonts w:ascii="宋体" w:hAnsi="宋体"/>
                <w:sz w:val="18"/>
                <w:szCs w:val="21"/>
              </w:rPr>
            </w:pPr>
            <w:r>
              <w:rPr>
                <w:rFonts w:hint="eastAsia" w:ascii="宋体" w:hAnsi="宋体"/>
                <w:sz w:val="18"/>
              </w:rPr>
              <w:t>投标文件份数</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19</w:t>
            </w:r>
          </w:p>
        </w:tc>
        <w:tc>
          <w:tcPr>
            <w:tcW w:w="2121" w:type="dxa"/>
            <w:vAlign w:val="center"/>
          </w:tcPr>
          <w:p>
            <w:pPr>
              <w:adjustRightInd w:val="0"/>
              <w:snapToGrid w:val="0"/>
              <w:ind w:left="2520" w:hanging="2520"/>
              <w:jc w:val="center"/>
              <w:rPr>
                <w:rFonts w:ascii="宋体" w:hAnsi="宋体"/>
                <w:sz w:val="18"/>
                <w:szCs w:val="21"/>
              </w:rPr>
            </w:pPr>
            <w:r>
              <w:rPr>
                <w:rFonts w:hint="eastAsia" w:ascii="宋体" w:hAnsi="宋体"/>
                <w:sz w:val="18"/>
              </w:rPr>
              <w:t>评标办法</w:t>
            </w:r>
          </w:p>
        </w:tc>
        <w:tc>
          <w:tcPr>
            <w:tcW w:w="5504"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3" w:hRule="atLeast"/>
          <w:jc w:val="center"/>
        </w:trPr>
        <w:tc>
          <w:tcPr>
            <w:tcW w:w="655" w:type="dxa"/>
            <w:vAlign w:val="center"/>
          </w:tcPr>
          <w:p>
            <w:pPr>
              <w:snapToGrid w:val="0"/>
              <w:jc w:val="center"/>
              <w:rPr>
                <w:rFonts w:ascii="宋体" w:hAnsi="宋体"/>
                <w:sz w:val="18"/>
                <w:szCs w:val="21"/>
              </w:rPr>
            </w:pPr>
            <w:r>
              <w:rPr>
                <w:rFonts w:hint="eastAsia" w:ascii="宋体" w:hAnsi="宋体"/>
                <w:sz w:val="18"/>
                <w:szCs w:val="21"/>
              </w:rPr>
              <w:t>20</w:t>
            </w:r>
          </w:p>
        </w:tc>
        <w:tc>
          <w:tcPr>
            <w:tcW w:w="2121" w:type="dxa"/>
            <w:vAlign w:val="center"/>
          </w:tcPr>
          <w:p>
            <w:pPr>
              <w:adjustRightInd w:val="0"/>
              <w:snapToGrid w:val="0"/>
              <w:jc w:val="center"/>
              <w:rPr>
                <w:rFonts w:ascii="宋体" w:hAnsi="宋体"/>
                <w:sz w:val="18"/>
                <w:szCs w:val="21"/>
              </w:rPr>
            </w:pPr>
            <w:r>
              <w:rPr>
                <w:rFonts w:hint="eastAsia" w:ascii="宋体" w:hAnsi="宋体"/>
                <w:sz w:val="18"/>
              </w:rPr>
              <w:t>付款方式</w:t>
            </w:r>
          </w:p>
        </w:tc>
        <w:tc>
          <w:tcPr>
            <w:tcW w:w="5504" w:type="dxa"/>
            <w:vAlign w:val="center"/>
          </w:tcPr>
          <w:p>
            <w:pPr>
              <w:snapToGrid w:val="0"/>
              <w:rPr>
                <w:rFonts w:ascii="宋体" w:hAnsi="宋体"/>
                <w:sz w:val="18"/>
                <w:szCs w:val="21"/>
              </w:rPr>
            </w:pPr>
          </w:p>
        </w:tc>
      </w:tr>
    </w:tbl>
    <w:p>
      <w:pPr>
        <w:adjustRightInd w:val="0"/>
        <w:snapToGrid w:val="0"/>
        <w:spacing w:line="440" w:lineRule="exact"/>
        <w:rPr>
          <w:rFonts w:ascii="楷体_GB2312" w:hAnsi="宋体" w:eastAsia="楷体_GB2312"/>
          <w:szCs w:val="21"/>
        </w:rPr>
        <w:sectPr>
          <w:footerReference r:id="rId7" w:type="even"/>
          <w:pgSz w:w="11907" w:h="16840"/>
          <w:pgMar w:top="1304" w:right="1304" w:bottom="1304" w:left="1701" w:header="851" w:footer="992" w:gutter="0"/>
          <w:cols w:space="720" w:num="1"/>
          <w:docGrid w:linePitch="312" w:charSpace="0"/>
        </w:sectPr>
      </w:pPr>
    </w:p>
    <w:p>
      <w:pPr>
        <w:pStyle w:val="6"/>
        <w:spacing w:line="460" w:lineRule="exact"/>
        <w:rPr>
          <w:rFonts w:ascii="黑体" w:hAnsi="黑体" w:eastAsia="黑体"/>
          <w:b w:val="0"/>
          <w:bCs w:val="0"/>
          <w:sz w:val="24"/>
        </w:rPr>
      </w:pPr>
      <w:bookmarkStart w:id="172" w:name="_Toc300678107"/>
      <w:r>
        <w:rPr>
          <w:rFonts w:hint="eastAsia" w:ascii="黑体" w:hAnsi="黑体" w:eastAsia="黑体"/>
          <w:b w:val="0"/>
          <w:bCs w:val="0"/>
          <w:sz w:val="24"/>
        </w:rPr>
        <w:t>附表3-2：评标委员会签到表</w:t>
      </w:r>
      <w:bookmarkEnd w:id="172"/>
    </w:p>
    <w:p>
      <w:pPr>
        <w:spacing w:beforeLines="50" w:afterLines="50" w:line="460" w:lineRule="exact"/>
        <w:jc w:val="center"/>
        <w:rPr>
          <w:rFonts w:ascii="黑体" w:hAnsi="宋体" w:eastAsia="黑体"/>
          <w:sz w:val="28"/>
          <w:szCs w:val="28"/>
        </w:rPr>
      </w:pPr>
      <w:r>
        <w:rPr>
          <w:rFonts w:hint="eastAsia" w:ascii="黑体" w:hAnsi="宋体" w:eastAsia="黑体"/>
          <w:sz w:val="28"/>
          <w:szCs w:val="28"/>
        </w:rPr>
        <w:t>评标委员会签到表</w:t>
      </w:r>
    </w:p>
    <w:p>
      <w:pPr>
        <w:spacing w:afterLines="30" w:line="460" w:lineRule="exact"/>
        <w:rPr>
          <w:rFonts w:ascii="宋体" w:hAnsi="宋体"/>
        </w:rPr>
      </w:pPr>
      <w:r>
        <w:rPr>
          <w:rFonts w:hint="eastAsia" w:ascii="宋体" w:hAnsi="宋体"/>
        </w:rPr>
        <w:t xml:space="preserve"> 工程名称：（项目名称）标段                                                评标时间：      年      月      日</w:t>
      </w:r>
    </w:p>
    <w:tbl>
      <w:tblPr>
        <w:tblStyle w:val="42"/>
        <w:tblW w:w="1327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786"/>
        <w:gridCol w:w="1423"/>
        <w:gridCol w:w="1408"/>
        <w:gridCol w:w="3525"/>
        <w:gridCol w:w="2595"/>
        <w:gridCol w:w="18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序号</w:t>
            </w:r>
          </w:p>
        </w:tc>
        <w:tc>
          <w:tcPr>
            <w:tcW w:w="1786" w:type="dxa"/>
            <w:vAlign w:val="center"/>
          </w:tcPr>
          <w:p>
            <w:pPr>
              <w:spacing w:line="440" w:lineRule="exact"/>
              <w:jc w:val="center"/>
              <w:rPr>
                <w:rFonts w:ascii="宋体" w:hAnsi="宋体"/>
                <w:sz w:val="18"/>
              </w:rPr>
            </w:pPr>
            <w:r>
              <w:rPr>
                <w:rFonts w:hint="eastAsia" w:ascii="宋体" w:hAnsi="宋体"/>
                <w:sz w:val="18"/>
              </w:rPr>
              <w:t>姓名</w:t>
            </w:r>
          </w:p>
        </w:tc>
        <w:tc>
          <w:tcPr>
            <w:tcW w:w="1423" w:type="dxa"/>
            <w:vAlign w:val="center"/>
          </w:tcPr>
          <w:p>
            <w:pPr>
              <w:spacing w:line="440" w:lineRule="exact"/>
              <w:jc w:val="center"/>
              <w:rPr>
                <w:rFonts w:ascii="宋体" w:hAnsi="宋体"/>
                <w:sz w:val="18"/>
              </w:rPr>
            </w:pPr>
            <w:r>
              <w:rPr>
                <w:rFonts w:hint="eastAsia" w:ascii="宋体" w:hAnsi="宋体"/>
                <w:sz w:val="18"/>
              </w:rPr>
              <w:t>职称</w:t>
            </w:r>
          </w:p>
        </w:tc>
        <w:tc>
          <w:tcPr>
            <w:tcW w:w="1408" w:type="dxa"/>
            <w:vAlign w:val="center"/>
          </w:tcPr>
          <w:p>
            <w:pPr>
              <w:spacing w:line="440" w:lineRule="exact"/>
              <w:jc w:val="center"/>
              <w:rPr>
                <w:rFonts w:ascii="宋体" w:hAnsi="宋体"/>
                <w:sz w:val="18"/>
              </w:rPr>
            </w:pPr>
            <w:r>
              <w:rPr>
                <w:rFonts w:hint="eastAsia" w:ascii="宋体" w:hAnsi="宋体"/>
                <w:sz w:val="18"/>
              </w:rPr>
              <w:t>专业类别</w:t>
            </w:r>
          </w:p>
        </w:tc>
        <w:tc>
          <w:tcPr>
            <w:tcW w:w="3525" w:type="dxa"/>
            <w:vAlign w:val="center"/>
          </w:tcPr>
          <w:p>
            <w:pPr>
              <w:spacing w:line="440" w:lineRule="exact"/>
              <w:jc w:val="center"/>
              <w:rPr>
                <w:rFonts w:ascii="宋体" w:hAnsi="宋体"/>
                <w:sz w:val="18"/>
              </w:rPr>
            </w:pPr>
            <w:r>
              <w:rPr>
                <w:rFonts w:hint="eastAsia" w:ascii="宋体" w:hAnsi="宋体"/>
                <w:sz w:val="18"/>
              </w:rPr>
              <w:t>工作单位</w:t>
            </w:r>
          </w:p>
        </w:tc>
        <w:tc>
          <w:tcPr>
            <w:tcW w:w="2595" w:type="dxa"/>
            <w:vAlign w:val="center"/>
          </w:tcPr>
          <w:p>
            <w:pPr>
              <w:spacing w:line="440" w:lineRule="exact"/>
              <w:jc w:val="center"/>
              <w:rPr>
                <w:rFonts w:ascii="宋体" w:hAnsi="宋体"/>
                <w:sz w:val="18"/>
              </w:rPr>
            </w:pPr>
            <w:r>
              <w:rPr>
                <w:rFonts w:hint="eastAsia" w:ascii="宋体" w:hAnsi="宋体"/>
                <w:sz w:val="18"/>
              </w:rPr>
              <w:t>签到时间</w:t>
            </w:r>
          </w:p>
        </w:tc>
        <w:tc>
          <w:tcPr>
            <w:tcW w:w="1800" w:type="dxa"/>
            <w:vAlign w:val="center"/>
          </w:tcPr>
          <w:p>
            <w:pPr>
              <w:spacing w:line="440" w:lineRule="exact"/>
              <w:jc w:val="center"/>
              <w:rPr>
                <w:rFonts w:ascii="宋体" w:hAnsi="宋体"/>
                <w:sz w:val="18"/>
              </w:rPr>
            </w:pPr>
            <w:r>
              <w:rPr>
                <w:rFonts w:hint="eastAsia" w:ascii="宋体" w:hAnsi="宋体"/>
                <w:sz w:val="18"/>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1</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2</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3</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4</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5</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6</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734" w:type="dxa"/>
            <w:vAlign w:val="center"/>
          </w:tcPr>
          <w:p>
            <w:pPr>
              <w:spacing w:line="440" w:lineRule="exact"/>
              <w:jc w:val="center"/>
              <w:rPr>
                <w:rFonts w:ascii="宋体" w:hAnsi="宋体"/>
                <w:sz w:val="18"/>
              </w:rPr>
            </w:pPr>
            <w:r>
              <w:rPr>
                <w:rFonts w:hint="eastAsia" w:ascii="宋体" w:hAnsi="宋体"/>
                <w:sz w:val="18"/>
              </w:rPr>
              <w:t>7</w:t>
            </w:r>
          </w:p>
        </w:tc>
        <w:tc>
          <w:tcPr>
            <w:tcW w:w="1786" w:type="dxa"/>
            <w:vAlign w:val="center"/>
          </w:tcPr>
          <w:p>
            <w:pPr>
              <w:spacing w:line="440" w:lineRule="exact"/>
              <w:jc w:val="center"/>
              <w:rPr>
                <w:rFonts w:ascii="宋体" w:hAnsi="宋体"/>
                <w:sz w:val="18"/>
              </w:rPr>
            </w:pPr>
          </w:p>
        </w:tc>
        <w:tc>
          <w:tcPr>
            <w:tcW w:w="1423" w:type="dxa"/>
          </w:tcPr>
          <w:p>
            <w:pPr>
              <w:spacing w:line="440" w:lineRule="exact"/>
              <w:jc w:val="center"/>
              <w:rPr>
                <w:rFonts w:ascii="宋体" w:hAnsi="宋体"/>
                <w:sz w:val="18"/>
              </w:rPr>
            </w:pPr>
          </w:p>
        </w:tc>
        <w:tc>
          <w:tcPr>
            <w:tcW w:w="1408" w:type="dxa"/>
            <w:vAlign w:val="center"/>
          </w:tcPr>
          <w:p>
            <w:pPr>
              <w:spacing w:line="440" w:lineRule="exact"/>
              <w:jc w:val="center"/>
              <w:rPr>
                <w:rFonts w:ascii="宋体" w:hAnsi="宋体"/>
                <w:sz w:val="18"/>
              </w:rPr>
            </w:pPr>
          </w:p>
        </w:tc>
        <w:tc>
          <w:tcPr>
            <w:tcW w:w="3525" w:type="dxa"/>
            <w:vAlign w:val="center"/>
          </w:tcPr>
          <w:p>
            <w:pPr>
              <w:spacing w:line="440" w:lineRule="exact"/>
              <w:jc w:val="center"/>
              <w:rPr>
                <w:rFonts w:ascii="宋体" w:hAnsi="宋体"/>
                <w:sz w:val="18"/>
              </w:rPr>
            </w:pPr>
          </w:p>
        </w:tc>
        <w:tc>
          <w:tcPr>
            <w:tcW w:w="2595" w:type="dxa"/>
            <w:vAlign w:val="center"/>
          </w:tcPr>
          <w:p>
            <w:pPr>
              <w:spacing w:line="440" w:lineRule="exact"/>
              <w:jc w:val="center"/>
              <w:rPr>
                <w:rFonts w:ascii="宋体" w:hAnsi="宋体"/>
                <w:sz w:val="18"/>
              </w:rPr>
            </w:pPr>
          </w:p>
        </w:tc>
        <w:tc>
          <w:tcPr>
            <w:tcW w:w="1800" w:type="dxa"/>
            <w:vAlign w:val="center"/>
          </w:tcPr>
          <w:p>
            <w:pPr>
              <w:spacing w:line="440" w:lineRule="exact"/>
              <w:jc w:val="center"/>
              <w:rPr>
                <w:rFonts w:ascii="宋体" w:hAnsi="宋体"/>
                <w:sz w:val="18"/>
              </w:rPr>
            </w:pPr>
          </w:p>
        </w:tc>
      </w:tr>
    </w:tbl>
    <w:p>
      <w:pPr>
        <w:spacing w:afterLines="30" w:line="460" w:lineRule="exact"/>
        <w:rPr>
          <w:rFonts w:ascii="宋体" w:hAnsi="宋体"/>
        </w:rPr>
      </w:pPr>
    </w:p>
    <w:p>
      <w:pPr>
        <w:spacing w:beforeLines="50" w:afterLines="50" w:line="440" w:lineRule="exact"/>
        <w:jc w:val="left"/>
        <w:rPr>
          <w:rFonts w:ascii="黑体" w:hAnsi="宋体" w:eastAsia="黑体"/>
          <w:sz w:val="24"/>
        </w:rPr>
      </w:pPr>
    </w:p>
    <w:p>
      <w:pPr>
        <w:spacing w:beforeLines="50" w:afterLines="50" w:line="440" w:lineRule="exact"/>
        <w:jc w:val="left"/>
        <w:rPr>
          <w:rFonts w:ascii="黑体" w:hAnsi="宋体" w:eastAsia="黑体"/>
          <w:sz w:val="24"/>
        </w:rPr>
      </w:pPr>
    </w:p>
    <w:p>
      <w:pPr>
        <w:pStyle w:val="6"/>
        <w:spacing w:line="460" w:lineRule="exact"/>
        <w:rPr>
          <w:rFonts w:ascii="黑体" w:hAnsi="黑体" w:eastAsia="黑体"/>
          <w:b w:val="0"/>
          <w:bCs w:val="0"/>
          <w:sz w:val="24"/>
        </w:rPr>
      </w:pPr>
      <w:bookmarkStart w:id="173" w:name="_Toc300678108"/>
      <w:r>
        <w:rPr>
          <w:rFonts w:hint="eastAsia" w:ascii="黑体" w:hAnsi="黑体" w:eastAsia="黑体"/>
          <w:b w:val="0"/>
          <w:bCs w:val="0"/>
          <w:sz w:val="24"/>
        </w:rPr>
        <w:t>附表3-3：形式评审记录表</w:t>
      </w:r>
      <w:bookmarkEnd w:id="173"/>
    </w:p>
    <w:p>
      <w:pPr>
        <w:spacing w:beforeLines="50" w:afterLines="50" w:line="460" w:lineRule="exact"/>
        <w:jc w:val="center"/>
        <w:rPr>
          <w:rFonts w:ascii="黑体" w:eastAsia="黑体"/>
          <w:sz w:val="28"/>
          <w:szCs w:val="28"/>
        </w:rPr>
      </w:pPr>
      <w:r>
        <w:rPr>
          <w:rFonts w:hint="eastAsia" w:ascii="黑体" w:eastAsia="黑体"/>
          <w:sz w:val="28"/>
          <w:szCs w:val="28"/>
        </w:rPr>
        <w:t>形式评审记录表</w:t>
      </w:r>
    </w:p>
    <w:p>
      <w:pPr>
        <w:spacing w:afterLines="30" w:line="460" w:lineRule="exact"/>
      </w:pPr>
      <w:r>
        <w:rPr>
          <w:rFonts w:hint="eastAsia" w:ascii="宋体" w:hAnsi="宋体"/>
        </w:rPr>
        <w:t xml:space="preserve"> 工程名称：（项目名称）标段</w:t>
      </w:r>
    </w:p>
    <w:tbl>
      <w:tblPr>
        <w:tblStyle w:val="42"/>
        <w:tblW w:w="1390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510"/>
        <w:gridCol w:w="3874"/>
        <w:gridCol w:w="982"/>
        <w:gridCol w:w="982"/>
        <w:gridCol w:w="982"/>
        <w:gridCol w:w="982"/>
        <w:gridCol w:w="982"/>
        <w:gridCol w:w="982"/>
        <w:gridCol w:w="982"/>
        <w:gridCol w:w="9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57" w:type="dxa"/>
            <w:vMerge w:val="restart"/>
            <w:vAlign w:val="center"/>
          </w:tcPr>
          <w:p>
            <w:pPr>
              <w:snapToGrid w:val="0"/>
              <w:jc w:val="center"/>
              <w:rPr>
                <w:rFonts w:ascii="宋体" w:hAnsi="宋体"/>
                <w:sz w:val="18"/>
              </w:rPr>
            </w:pPr>
            <w:r>
              <w:rPr>
                <w:rFonts w:hint="eastAsia" w:ascii="宋体" w:hAnsi="宋体"/>
                <w:sz w:val="18"/>
              </w:rPr>
              <w:t>序号</w:t>
            </w:r>
          </w:p>
        </w:tc>
        <w:tc>
          <w:tcPr>
            <w:tcW w:w="5384" w:type="dxa"/>
            <w:gridSpan w:val="2"/>
            <w:vMerge w:val="restart"/>
            <w:vAlign w:val="center"/>
          </w:tcPr>
          <w:p>
            <w:pPr>
              <w:spacing w:line="440" w:lineRule="exact"/>
              <w:jc w:val="center"/>
              <w:rPr>
                <w:rFonts w:ascii="宋体" w:hAnsi="宋体"/>
                <w:sz w:val="18"/>
              </w:rPr>
            </w:pPr>
            <w:r>
              <w:rPr>
                <w:rFonts w:hint="eastAsia" w:ascii="宋体" w:hAnsi="宋体"/>
                <w:sz w:val="18"/>
              </w:rPr>
              <w:t>评审因素</w:t>
            </w:r>
          </w:p>
        </w:tc>
        <w:tc>
          <w:tcPr>
            <w:tcW w:w="7860" w:type="dxa"/>
            <w:gridSpan w:val="8"/>
            <w:vAlign w:val="center"/>
          </w:tcPr>
          <w:p>
            <w:pPr>
              <w:spacing w:line="440" w:lineRule="exact"/>
              <w:jc w:val="center"/>
              <w:rPr>
                <w:rFonts w:ascii="宋体" w:hAnsi="宋体"/>
                <w:sz w:val="18"/>
              </w:rPr>
            </w:pPr>
            <w:r>
              <w:rPr>
                <w:rFonts w:hint="eastAsia" w:ascii="宋体" w:hAnsi="宋体"/>
                <w:sz w:val="18"/>
              </w:rPr>
              <w:t>投标人名称及评审意见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80" w:hRule="exact"/>
          <w:jc w:val="center"/>
        </w:trPr>
        <w:tc>
          <w:tcPr>
            <w:tcW w:w="657" w:type="dxa"/>
            <w:vMerge w:val="continue"/>
            <w:vAlign w:val="center"/>
          </w:tcPr>
          <w:p>
            <w:pPr>
              <w:spacing w:line="440" w:lineRule="exact"/>
              <w:jc w:val="center"/>
              <w:rPr>
                <w:rFonts w:ascii="宋体" w:hAnsi="宋体"/>
                <w:sz w:val="18"/>
              </w:rPr>
            </w:pPr>
          </w:p>
        </w:tc>
        <w:tc>
          <w:tcPr>
            <w:tcW w:w="5384" w:type="dxa"/>
            <w:gridSpan w:val="2"/>
            <w:vMerge w:val="continue"/>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531" w:hRule="exact"/>
          <w:jc w:val="center"/>
        </w:trPr>
        <w:tc>
          <w:tcPr>
            <w:tcW w:w="657" w:type="dxa"/>
            <w:vAlign w:val="center"/>
          </w:tcPr>
          <w:p>
            <w:pPr>
              <w:spacing w:line="440" w:lineRule="exact"/>
              <w:jc w:val="center"/>
              <w:rPr>
                <w:rFonts w:ascii="宋体" w:hAnsi="宋体"/>
                <w:sz w:val="18"/>
              </w:rPr>
            </w:pPr>
            <w:r>
              <w:rPr>
                <w:rFonts w:hint="eastAsia" w:ascii="宋体" w:hAnsi="宋体"/>
                <w:sz w:val="18"/>
              </w:rPr>
              <w:t>1</w:t>
            </w:r>
          </w:p>
        </w:tc>
        <w:tc>
          <w:tcPr>
            <w:tcW w:w="1510" w:type="dxa"/>
            <w:vAlign w:val="center"/>
          </w:tcPr>
          <w:p>
            <w:pPr>
              <w:jc w:val="center"/>
              <w:rPr>
                <w:rFonts w:ascii="宋体" w:hAnsi="宋体"/>
                <w:sz w:val="18"/>
              </w:rPr>
            </w:pPr>
            <w:r>
              <w:rPr>
                <w:rFonts w:hint="eastAsia" w:ascii="宋体" w:hAnsi="宋体"/>
                <w:sz w:val="18"/>
                <w:szCs w:val="21"/>
              </w:rPr>
              <w:t>投标人名称</w:t>
            </w:r>
          </w:p>
        </w:tc>
        <w:tc>
          <w:tcPr>
            <w:tcW w:w="3874" w:type="dxa"/>
            <w:vAlign w:val="center"/>
          </w:tcPr>
          <w:p>
            <w:pPr>
              <w:adjustRightInd w:val="0"/>
              <w:snapToGrid w:val="0"/>
              <w:rPr>
                <w:rFonts w:ascii="宋体" w:hAnsi="宋体"/>
                <w:sz w:val="18"/>
              </w:rPr>
            </w:pPr>
            <w:r>
              <w:rPr>
                <w:rFonts w:hint="eastAsia" w:ascii="宋体" w:hAnsi="宋体"/>
                <w:sz w:val="18"/>
                <w:szCs w:val="21"/>
              </w:rPr>
              <w:t>与投标报名、营业执照、资质证书、安全生产许可证上的名称是否一致；</w:t>
            </w:r>
            <w:r>
              <w:rPr>
                <w:rFonts w:hint="eastAsia" w:ascii="宋体" w:hAnsi="宋体"/>
                <w:color w:val="000000"/>
                <w:sz w:val="18"/>
                <w:szCs w:val="18"/>
              </w:rPr>
              <w:t>湖南省外企业在“湖南省住房和城乡建设网”查询的名称【或</w:t>
            </w:r>
            <w:r>
              <w:rPr>
                <w:rFonts w:hint="eastAsia" w:ascii="宋体" w:hAnsi="宋体"/>
                <w:color w:val="000000"/>
                <w:sz w:val="18"/>
                <w:szCs w:val="21"/>
              </w:rPr>
              <w:t>省外企业入湘登记证上的名称】</w:t>
            </w:r>
            <w:r>
              <w:rPr>
                <w:rFonts w:hint="eastAsia" w:ascii="宋体" w:hAnsi="宋体"/>
                <w:sz w:val="18"/>
                <w:szCs w:val="21"/>
              </w:rPr>
              <w:t>（仅省外企业）上的名称是否一致</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50" w:hRule="exact"/>
          <w:jc w:val="center"/>
        </w:trPr>
        <w:tc>
          <w:tcPr>
            <w:tcW w:w="657" w:type="dxa"/>
            <w:vAlign w:val="center"/>
          </w:tcPr>
          <w:p>
            <w:pPr>
              <w:spacing w:line="440" w:lineRule="exact"/>
              <w:jc w:val="center"/>
              <w:rPr>
                <w:rFonts w:ascii="宋体" w:hAnsi="宋体"/>
                <w:sz w:val="18"/>
              </w:rPr>
            </w:pPr>
            <w:r>
              <w:rPr>
                <w:rFonts w:hint="eastAsia" w:ascii="宋体" w:hAnsi="宋体"/>
                <w:sz w:val="18"/>
              </w:rPr>
              <w:t>2</w:t>
            </w:r>
          </w:p>
        </w:tc>
        <w:tc>
          <w:tcPr>
            <w:tcW w:w="1510" w:type="dxa"/>
            <w:vAlign w:val="center"/>
          </w:tcPr>
          <w:p>
            <w:pPr>
              <w:jc w:val="center"/>
              <w:rPr>
                <w:rFonts w:ascii="宋体" w:hAnsi="宋体"/>
                <w:sz w:val="18"/>
              </w:rPr>
            </w:pPr>
            <w:r>
              <w:rPr>
                <w:rFonts w:hint="eastAsia" w:ascii="宋体" w:hAnsi="宋体"/>
                <w:sz w:val="18"/>
                <w:szCs w:val="21"/>
              </w:rPr>
              <w:t>投标文件签字盖章</w:t>
            </w:r>
          </w:p>
        </w:tc>
        <w:tc>
          <w:tcPr>
            <w:tcW w:w="3874" w:type="dxa"/>
            <w:vAlign w:val="center"/>
          </w:tcPr>
          <w:p>
            <w:pPr>
              <w:snapToGrid w:val="0"/>
              <w:rPr>
                <w:rFonts w:ascii="宋体" w:hAnsi="宋体"/>
                <w:sz w:val="18"/>
                <w:szCs w:val="21"/>
              </w:rPr>
            </w:pPr>
            <w:r>
              <w:rPr>
                <w:rFonts w:hint="eastAsia" w:ascii="宋体" w:hAnsi="宋体"/>
                <w:sz w:val="18"/>
                <w:szCs w:val="21"/>
              </w:rPr>
              <w:t>是否符合第二章“投标人须知前附表”第3.6.3项签字盖章要求</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60" w:hRule="exact"/>
          <w:jc w:val="center"/>
        </w:trPr>
        <w:tc>
          <w:tcPr>
            <w:tcW w:w="657" w:type="dxa"/>
            <w:vAlign w:val="center"/>
          </w:tcPr>
          <w:p>
            <w:pPr>
              <w:spacing w:line="440" w:lineRule="exact"/>
              <w:jc w:val="center"/>
              <w:rPr>
                <w:rFonts w:ascii="宋体" w:hAnsi="宋体"/>
                <w:sz w:val="18"/>
              </w:rPr>
            </w:pPr>
            <w:r>
              <w:rPr>
                <w:rFonts w:hint="eastAsia" w:ascii="宋体" w:hAnsi="宋体"/>
                <w:sz w:val="18"/>
              </w:rPr>
              <w:t>3</w:t>
            </w:r>
          </w:p>
        </w:tc>
        <w:tc>
          <w:tcPr>
            <w:tcW w:w="1510" w:type="dxa"/>
            <w:vAlign w:val="center"/>
          </w:tcPr>
          <w:p>
            <w:pPr>
              <w:jc w:val="center"/>
              <w:rPr>
                <w:rFonts w:ascii="宋体" w:hAnsi="宋体"/>
                <w:sz w:val="18"/>
              </w:rPr>
            </w:pPr>
            <w:r>
              <w:rPr>
                <w:rFonts w:hint="eastAsia" w:ascii="宋体" w:hAnsi="宋体"/>
                <w:sz w:val="18"/>
                <w:szCs w:val="21"/>
              </w:rPr>
              <w:t>投标文件格式</w:t>
            </w:r>
          </w:p>
        </w:tc>
        <w:tc>
          <w:tcPr>
            <w:tcW w:w="3874" w:type="dxa"/>
            <w:vAlign w:val="center"/>
          </w:tcPr>
          <w:p>
            <w:pPr>
              <w:snapToGrid w:val="0"/>
              <w:rPr>
                <w:rFonts w:ascii="宋体" w:hAnsi="宋体"/>
                <w:sz w:val="18"/>
                <w:szCs w:val="21"/>
              </w:rPr>
            </w:pPr>
            <w:r>
              <w:rPr>
                <w:rFonts w:hint="eastAsia" w:ascii="宋体" w:hAnsi="宋体"/>
                <w:sz w:val="18"/>
                <w:szCs w:val="21"/>
              </w:rPr>
              <w:t>是否符合第八章“投标文件格式”的要求。投标文件未按规定的格式填写的，内容不全或关键字迹模糊、无法辨认的，</w:t>
            </w:r>
            <w:r>
              <w:rPr>
                <w:rFonts w:hint="eastAsia" w:ascii="宋体" w:hAnsi="宋体"/>
                <w:kern w:val="0"/>
                <w:sz w:val="18"/>
              </w:rPr>
              <w:t>为不合格的投标人</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0" w:hRule="exact"/>
          <w:jc w:val="center"/>
        </w:trPr>
        <w:tc>
          <w:tcPr>
            <w:tcW w:w="657" w:type="dxa"/>
            <w:vAlign w:val="center"/>
          </w:tcPr>
          <w:p>
            <w:pPr>
              <w:spacing w:line="440" w:lineRule="exact"/>
              <w:jc w:val="center"/>
              <w:rPr>
                <w:rFonts w:ascii="宋体" w:hAnsi="宋体"/>
                <w:sz w:val="18"/>
              </w:rPr>
            </w:pPr>
            <w:r>
              <w:rPr>
                <w:rFonts w:hint="eastAsia" w:ascii="宋体" w:hAnsi="宋体"/>
                <w:sz w:val="18"/>
              </w:rPr>
              <w:t>4</w:t>
            </w:r>
          </w:p>
        </w:tc>
        <w:tc>
          <w:tcPr>
            <w:tcW w:w="1510" w:type="dxa"/>
            <w:vAlign w:val="center"/>
          </w:tcPr>
          <w:p>
            <w:pPr>
              <w:jc w:val="center"/>
              <w:rPr>
                <w:rFonts w:ascii="宋体" w:hAnsi="宋体"/>
                <w:sz w:val="18"/>
              </w:rPr>
            </w:pPr>
            <w:r>
              <w:rPr>
                <w:rFonts w:hint="eastAsia" w:ascii="宋体" w:hAnsi="宋体"/>
                <w:sz w:val="18"/>
              </w:rPr>
              <w:t>联合体协议书</w:t>
            </w:r>
          </w:p>
          <w:p>
            <w:pPr>
              <w:jc w:val="center"/>
              <w:rPr>
                <w:rFonts w:ascii="宋体" w:hAnsi="宋体"/>
                <w:sz w:val="18"/>
                <w:szCs w:val="21"/>
              </w:rPr>
            </w:pPr>
            <w:r>
              <w:rPr>
                <w:rFonts w:hint="eastAsia" w:ascii="宋体" w:hAnsi="宋体"/>
                <w:sz w:val="18"/>
              </w:rPr>
              <w:t>（如有的话）</w:t>
            </w:r>
          </w:p>
        </w:tc>
        <w:tc>
          <w:tcPr>
            <w:tcW w:w="3874" w:type="dxa"/>
            <w:vAlign w:val="center"/>
          </w:tcPr>
          <w:p>
            <w:pPr>
              <w:spacing w:line="400" w:lineRule="exact"/>
              <w:rPr>
                <w:rFonts w:ascii="宋体" w:hAnsi="宋体"/>
                <w:sz w:val="18"/>
                <w:szCs w:val="21"/>
              </w:rPr>
            </w:pPr>
            <w:r>
              <w:rPr>
                <w:rFonts w:hint="eastAsia" w:ascii="宋体" w:hAnsi="宋体"/>
                <w:sz w:val="18"/>
                <w:szCs w:val="21"/>
              </w:rPr>
              <w:t>是否符合第二章第1.4.2条的要求</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57" w:type="dxa"/>
            <w:vAlign w:val="center"/>
          </w:tcPr>
          <w:p>
            <w:pPr>
              <w:spacing w:line="440" w:lineRule="exact"/>
              <w:jc w:val="center"/>
              <w:rPr>
                <w:rFonts w:ascii="宋体" w:hAnsi="宋体"/>
                <w:sz w:val="18"/>
              </w:rPr>
            </w:pPr>
            <w:r>
              <w:rPr>
                <w:rFonts w:hint="eastAsia" w:ascii="宋体" w:hAnsi="宋体"/>
                <w:sz w:val="18"/>
              </w:rPr>
              <w:t>5</w:t>
            </w:r>
          </w:p>
        </w:tc>
        <w:tc>
          <w:tcPr>
            <w:tcW w:w="1510" w:type="dxa"/>
            <w:vAlign w:val="center"/>
          </w:tcPr>
          <w:p>
            <w:pPr>
              <w:jc w:val="center"/>
              <w:rPr>
                <w:rFonts w:ascii="宋体" w:hAnsi="宋体"/>
                <w:sz w:val="18"/>
              </w:rPr>
            </w:pPr>
            <w:r>
              <w:rPr>
                <w:rFonts w:hint="eastAsia" w:ascii="宋体" w:hAnsi="宋体"/>
                <w:sz w:val="18"/>
                <w:szCs w:val="21"/>
              </w:rPr>
              <w:t>报价唯一</w:t>
            </w:r>
          </w:p>
        </w:tc>
        <w:tc>
          <w:tcPr>
            <w:tcW w:w="3874" w:type="dxa"/>
            <w:vAlign w:val="center"/>
          </w:tcPr>
          <w:p>
            <w:pPr>
              <w:spacing w:line="440" w:lineRule="exact"/>
              <w:jc w:val="left"/>
              <w:rPr>
                <w:rFonts w:ascii="宋体" w:hAnsi="宋体"/>
                <w:sz w:val="18"/>
              </w:rPr>
            </w:pPr>
            <w:r>
              <w:rPr>
                <w:rFonts w:hint="eastAsia" w:ascii="宋体" w:hAnsi="宋体"/>
                <w:sz w:val="18"/>
                <w:szCs w:val="21"/>
              </w:rPr>
              <w:t>是否只有一个有效报价</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57" w:type="dxa"/>
            <w:vAlign w:val="center"/>
          </w:tcPr>
          <w:p>
            <w:pPr>
              <w:spacing w:line="440" w:lineRule="exact"/>
              <w:jc w:val="center"/>
              <w:rPr>
                <w:rFonts w:ascii="宋体" w:hAnsi="宋体"/>
                <w:sz w:val="18"/>
              </w:rPr>
            </w:pPr>
          </w:p>
        </w:tc>
        <w:tc>
          <w:tcPr>
            <w:tcW w:w="1510" w:type="dxa"/>
            <w:vAlign w:val="center"/>
          </w:tcPr>
          <w:p>
            <w:pPr>
              <w:jc w:val="center"/>
              <w:rPr>
                <w:rFonts w:ascii="宋体" w:hAnsi="宋体"/>
                <w:sz w:val="18"/>
                <w:szCs w:val="21"/>
              </w:rPr>
            </w:pPr>
            <w:r>
              <w:rPr>
                <w:rFonts w:hint="eastAsia" w:ascii="宋体" w:hAnsi="宋体"/>
                <w:sz w:val="18"/>
                <w:szCs w:val="21"/>
              </w:rPr>
              <w:t>……</w:t>
            </w:r>
          </w:p>
        </w:tc>
        <w:tc>
          <w:tcPr>
            <w:tcW w:w="3874" w:type="dxa"/>
            <w:vAlign w:val="center"/>
          </w:tcPr>
          <w:p>
            <w:pPr>
              <w:spacing w:line="440" w:lineRule="exact"/>
              <w:jc w:val="left"/>
              <w:rPr>
                <w:rFonts w:ascii="宋体" w:hAnsi="宋体"/>
                <w:sz w:val="18"/>
                <w:szCs w:val="21"/>
              </w:rPr>
            </w:pPr>
            <w:r>
              <w:rPr>
                <w:rFonts w:hint="eastAsia" w:ascii="宋体" w:hAnsi="宋体"/>
                <w:sz w:val="18"/>
                <w:szCs w:val="21"/>
              </w:rPr>
              <w:t>……</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57" w:type="dxa"/>
            <w:vAlign w:val="center"/>
          </w:tcPr>
          <w:p>
            <w:pPr>
              <w:spacing w:line="440" w:lineRule="exact"/>
              <w:jc w:val="center"/>
              <w:rPr>
                <w:rFonts w:ascii="宋体" w:hAnsi="宋体"/>
                <w:sz w:val="18"/>
              </w:rPr>
            </w:pPr>
          </w:p>
        </w:tc>
        <w:tc>
          <w:tcPr>
            <w:tcW w:w="1510" w:type="dxa"/>
            <w:vAlign w:val="center"/>
          </w:tcPr>
          <w:p>
            <w:pPr>
              <w:spacing w:line="440" w:lineRule="exact"/>
              <w:jc w:val="center"/>
              <w:rPr>
                <w:rFonts w:ascii="宋体" w:hAnsi="宋体"/>
                <w:sz w:val="18"/>
              </w:rPr>
            </w:pPr>
            <w:r>
              <w:rPr>
                <w:rFonts w:hint="eastAsia" w:ascii="宋体" w:hAnsi="宋体"/>
                <w:sz w:val="18"/>
              </w:rPr>
              <w:t>评审结论</w:t>
            </w:r>
          </w:p>
        </w:tc>
        <w:tc>
          <w:tcPr>
            <w:tcW w:w="3874" w:type="dxa"/>
            <w:vAlign w:val="center"/>
          </w:tcPr>
          <w:p>
            <w:pPr>
              <w:spacing w:line="440" w:lineRule="exact"/>
              <w:jc w:val="center"/>
              <w:rPr>
                <w:rFonts w:ascii="宋体" w:hAnsi="宋体"/>
                <w:sz w:val="18"/>
              </w:rPr>
            </w:pPr>
            <w:r>
              <w:rPr>
                <w:rFonts w:hint="eastAsia" w:ascii="宋体" w:hAnsi="宋体"/>
                <w:sz w:val="18"/>
              </w:rPr>
              <w:t>合格或不合格</w:t>
            </w: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2" w:type="dxa"/>
            <w:vAlign w:val="center"/>
          </w:tcPr>
          <w:p>
            <w:pPr>
              <w:spacing w:line="440" w:lineRule="exact"/>
              <w:jc w:val="center"/>
              <w:rPr>
                <w:rFonts w:ascii="宋体" w:hAnsi="宋体"/>
                <w:sz w:val="18"/>
              </w:rPr>
            </w:pPr>
          </w:p>
        </w:tc>
        <w:tc>
          <w:tcPr>
            <w:tcW w:w="986" w:type="dxa"/>
            <w:vAlign w:val="center"/>
          </w:tcPr>
          <w:p>
            <w:pPr>
              <w:spacing w:line="440" w:lineRule="exact"/>
              <w:jc w:val="center"/>
              <w:rPr>
                <w:rFonts w:ascii="宋体" w:hAnsi="宋体"/>
                <w:sz w:val="18"/>
              </w:rPr>
            </w:pPr>
          </w:p>
        </w:tc>
      </w:tr>
    </w:tbl>
    <w:p>
      <w:pPr>
        <w:spacing w:line="480" w:lineRule="auto"/>
        <w:sectPr>
          <w:footerReference r:id="rId8" w:type="default"/>
          <w:pgSz w:w="16838" w:h="11906" w:orient="landscape"/>
          <w:pgMar w:top="1304" w:right="1304" w:bottom="1304" w:left="1701" w:header="851" w:footer="992" w:gutter="0"/>
          <w:cols w:space="720" w:num="1"/>
          <w:docGrid w:linePitch="312" w:charSpace="0"/>
        </w:sectPr>
      </w:pPr>
      <w:r>
        <w:rPr>
          <w:rFonts w:hint="eastAsia" w:ascii="宋体" w:hAnsi="宋体"/>
          <w:szCs w:val="21"/>
        </w:rPr>
        <w:t>评标委员会全体成员签字/日期：</w:t>
      </w:r>
    </w:p>
    <w:p>
      <w:pPr>
        <w:pStyle w:val="6"/>
        <w:spacing w:line="400" w:lineRule="exact"/>
        <w:rPr>
          <w:rFonts w:ascii="黑体" w:hAnsi="黑体" w:eastAsia="黑体"/>
          <w:b w:val="0"/>
          <w:bCs w:val="0"/>
          <w:sz w:val="24"/>
        </w:rPr>
      </w:pPr>
      <w:bookmarkStart w:id="174" w:name="_Toc300678109"/>
      <w:r>
        <w:rPr>
          <w:rFonts w:hint="eastAsia" w:ascii="黑体" w:hAnsi="黑体" w:eastAsia="黑体"/>
          <w:b w:val="0"/>
          <w:bCs w:val="0"/>
          <w:sz w:val="24"/>
        </w:rPr>
        <w:t>附表3-4：原件和复印件核验表</w:t>
      </w:r>
      <w:bookmarkEnd w:id="174"/>
    </w:p>
    <w:p>
      <w:pPr>
        <w:snapToGrid w:val="0"/>
        <w:spacing w:beforeLines="50" w:afterLines="50" w:line="400" w:lineRule="exact"/>
        <w:jc w:val="center"/>
        <w:rPr>
          <w:rFonts w:ascii="黑体" w:eastAsia="黑体"/>
          <w:sz w:val="28"/>
          <w:szCs w:val="28"/>
        </w:rPr>
      </w:pPr>
      <w:r>
        <w:rPr>
          <w:rFonts w:hint="eastAsia" w:ascii="黑体" w:eastAsia="黑体"/>
          <w:sz w:val="28"/>
          <w:szCs w:val="28"/>
        </w:rPr>
        <w:t>原件和复印件核验表</w:t>
      </w:r>
    </w:p>
    <w:p>
      <w:pPr>
        <w:spacing w:afterLines="30" w:line="460" w:lineRule="exact"/>
      </w:pPr>
      <w:r>
        <w:rPr>
          <w:rFonts w:hint="eastAsia" w:ascii="宋体" w:hAnsi="宋体"/>
        </w:rPr>
        <w:t>工程名称：（项目名称）标段</w:t>
      </w:r>
    </w:p>
    <w:tbl>
      <w:tblPr>
        <w:tblStyle w:val="42"/>
        <w:tblW w:w="922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7"/>
        <w:gridCol w:w="2532"/>
        <w:gridCol w:w="3524"/>
        <w:gridCol w:w="764"/>
        <w:gridCol w:w="834"/>
        <w:gridCol w:w="9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587" w:type="dxa"/>
            <w:vAlign w:val="center"/>
          </w:tcPr>
          <w:p>
            <w:pPr>
              <w:jc w:val="center"/>
              <w:rPr>
                <w:rFonts w:ascii="宋体" w:hAnsi="宋体"/>
                <w:sz w:val="18"/>
                <w:szCs w:val="21"/>
              </w:rPr>
            </w:pPr>
            <w:r>
              <w:rPr>
                <w:rFonts w:hint="eastAsia" w:ascii="宋体" w:hAnsi="宋体"/>
                <w:sz w:val="18"/>
                <w:szCs w:val="21"/>
              </w:rPr>
              <w:t>序号</w:t>
            </w:r>
          </w:p>
        </w:tc>
        <w:tc>
          <w:tcPr>
            <w:tcW w:w="6056" w:type="dxa"/>
            <w:gridSpan w:val="2"/>
            <w:vAlign w:val="center"/>
          </w:tcPr>
          <w:p>
            <w:pPr>
              <w:jc w:val="center"/>
              <w:rPr>
                <w:rFonts w:ascii="宋体" w:hAnsi="宋体"/>
                <w:sz w:val="18"/>
                <w:szCs w:val="21"/>
              </w:rPr>
            </w:pPr>
            <w:r>
              <w:rPr>
                <w:rFonts w:hint="eastAsia" w:ascii="宋体" w:hAnsi="宋体"/>
                <w:sz w:val="18"/>
                <w:szCs w:val="21"/>
              </w:rPr>
              <w:t>评审因素</w:t>
            </w:r>
          </w:p>
        </w:tc>
        <w:tc>
          <w:tcPr>
            <w:tcW w:w="2580" w:type="dxa"/>
            <w:gridSpan w:val="3"/>
            <w:vAlign w:val="center"/>
          </w:tcPr>
          <w:p>
            <w:pPr>
              <w:snapToGrid w:val="0"/>
              <w:jc w:val="center"/>
              <w:rPr>
                <w:rFonts w:ascii="宋体" w:hAnsi="宋体"/>
                <w:sz w:val="18"/>
                <w:szCs w:val="21"/>
              </w:rPr>
            </w:pPr>
            <w:r>
              <w:rPr>
                <w:rFonts w:hint="eastAsia" w:ascii="宋体" w:hAnsi="宋体"/>
                <w:sz w:val="18"/>
                <w:szCs w:val="21"/>
              </w:rPr>
              <w:t>投标人名称及评审意见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1</w:t>
            </w:r>
          </w:p>
        </w:tc>
        <w:tc>
          <w:tcPr>
            <w:tcW w:w="2532" w:type="dxa"/>
            <w:vAlign w:val="center"/>
          </w:tcPr>
          <w:p>
            <w:pPr>
              <w:rPr>
                <w:rFonts w:ascii="宋体" w:hAnsi="宋体"/>
                <w:sz w:val="18"/>
                <w:szCs w:val="21"/>
              </w:rPr>
            </w:pPr>
            <w:r>
              <w:rPr>
                <w:rFonts w:hint="eastAsia" w:ascii="宋体" w:hAnsi="宋体"/>
                <w:sz w:val="18"/>
                <w:szCs w:val="21"/>
              </w:rPr>
              <w:t>营业执照副本</w:t>
            </w:r>
          </w:p>
        </w:tc>
        <w:tc>
          <w:tcPr>
            <w:tcW w:w="3524" w:type="dxa"/>
            <w:vAlign w:val="center"/>
          </w:tcPr>
          <w:p>
            <w:pPr>
              <w:rPr>
                <w:rFonts w:ascii="宋体" w:hAnsi="宋体"/>
                <w:sz w:val="18"/>
                <w:szCs w:val="21"/>
              </w:rPr>
            </w:pPr>
            <w:r>
              <w:rPr>
                <w:rFonts w:hint="eastAsia" w:ascii="宋体" w:hAnsi="宋体"/>
                <w:sz w:val="18"/>
                <w:szCs w:val="21"/>
              </w:rPr>
              <w:t>原件与投标文件投标函中所附营业执照副本复印件内容是否一致，是否提供原件</w:t>
            </w:r>
          </w:p>
        </w:tc>
        <w:tc>
          <w:tcPr>
            <w:tcW w:w="764" w:type="dxa"/>
            <w:vAlign w:val="center"/>
          </w:tcPr>
          <w:p>
            <w:pPr>
              <w:snapToGrid w:val="0"/>
              <w:rPr>
                <w:rFonts w:ascii="宋体" w:hAnsi="宋体"/>
                <w:sz w:val="18"/>
                <w:szCs w:val="21"/>
              </w:rPr>
            </w:pPr>
          </w:p>
        </w:tc>
        <w:tc>
          <w:tcPr>
            <w:tcW w:w="834" w:type="dxa"/>
            <w:vAlign w:val="center"/>
          </w:tcPr>
          <w:p>
            <w:pPr>
              <w:snapToGrid w:val="0"/>
              <w:rPr>
                <w:rFonts w:ascii="宋体" w:hAnsi="宋体"/>
                <w:sz w:val="18"/>
                <w:szCs w:val="21"/>
              </w:rPr>
            </w:pPr>
          </w:p>
        </w:tc>
        <w:tc>
          <w:tcPr>
            <w:tcW w:w="982"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2</w:t>
            </w:r>
          </w:p>
        </w:tc>
        <w:tc>
          <w:tcPr>
            <w:tcW w:w="2532" w:type="dxa"/>
            <w:vAlign w:val="center"/>
          </w:tcPr>
          <w:p>
            <w:pPr>
              <w:jc w:val="center"/>
              <w:rPr>
                <w:rFonts w:ascii="宋体" w:hAnsi="宋体"/>
                <w:sz w:val="18"/>
                <w:szCs w:val="21"/>
              </w:rPr>
            </w:pPr>
            <w:r>
              <w:rPr>
                <w:rFonts w:hint="eastAsia" w:ascii="宋体" w:hAnsi="宋体"/>
                <w:sz w:val="18"/>
                <w:szCs w:val="21"/>
              </w:rPr>
              <w:t>资质等级证书副本（资质证书提供复印件的应加盖投标单位公章，并可通过扫描二维码查询）</w:t>
            </w:r>
          </w:p>
        </w:tc>
        <w:tc>
          <w:tcPr>
            <w:tcW w:w="3524" w:type="dxa"/>
            <w:vAlign w:val="center"/>
          </w:tcPr>
          <w:p>
            <w:pPr>
              <w:rPr>
                <w:rFonts w:ascii="宋体" w:hAnsi="宋体"/>
                <w:sz w:val="18"/>
                <w:szCs w:val="21"/>
              </w:rPr>
            </w:pPr>
            <w:r>
              <w:rPr>
                <w:rFonts w:hint="eastAsia" w:ascii="宋体" w:hAnsi="宋体"/>
                <w:sz w:val="18"/>
                <w:szCs w:val="21"/>
              </w:rPr>
              <w:t>原件或复印件与投标文件投标函中所附资质证书副本复印件内容是否一致，是否提供原件或加盖单位公章的复印件</w:t>
            </w:r>
          </w:p>
        </w:tc>
        <w:tc>
          <w:tcPr>
            <w:tcW w:w="764" w:type="dxa"/>
            <w:vAlign w:val="center"/>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3</w:t>
            </w:r>
          </w:p>
        </w:tc>
        <w:tc>
          <w:tcPr>
            <w:tcW w:w="2532" w:type="dxa"/>
            <w:vAlign w:val="center"/>
          </w:tcPr>
          <w:p>
            <w:pPr>
              <w:rPr>
                <w:rFonts w:ascii="宋体" w:hAnsi="宋体"/>
                <w:sz w:val="18"/>
                <w:szCs w:val="21"/>
              </w:rPr>
            </w:pPr>
            <w:r>
              <w:rPr>
                <w:rFonts w:hint="eastAsia" w:ascii="宋体" w:hAnsi="宋体"/>
                <w:sz w:val="18"/>
                <w:szCs w:val="21"/>
              </w:rPr>
              <w:t>企业安全生产许可证副本</w:t>
            </w:r>
          </w:p>
        </w:tc>
        <w:tc>
          <w:tcPr>
            <w:tcW w:w="3524" w:type="dxa"/>
            <w:vAlign w:val="center"/>
          </w:tcPr>
          <w:p>
            <w:pPr>
              <w:rPr>
                <w:rFonts w:ascii="宋体" w:hAnsi="宋体"/>
                <w:sz w:val="18"/>
                <w:szCs w:val="21"/>
              </w:rPr>
            </w:pPr>
            <w:r>
              <w:rPr>
                <w:rFonts w:hint="eastAsia" w:ascii="宋体" w:hAnsi="宋体"/>
                <w:sz w:val="18"/>
                <w:szCs w:val="21"/>
              </w:rPr>
              <w:t>原件与投标文件投标函中所附企业安全生产许可证副本复印件内容是否一致，是否提供原件</w:t>
            </w:r>
          </w:p>
        </w:tc>
        <w:tc>
          <w:tcPr>
            <w:tcW w:w="764" w:type="dxa"/>
            <w:vAlign w:val="center"/>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jc w:val="center"/>
        </w:trPr>
        <w:tc>
          <w:tcPr>
            <w:tcW w:w="587" w:type="dxa"/>
            <w:vAlign w:val="center"/>
          </w:tcPr>
          <w:p>
            <w:pPr>
              <w:snapToGrid w:val="0"/>
              <w:jc w:val="center"/>
              <w:rPr>
                <w:rFonts w:ascii="宋体" w:hAnsi="宋体"/>
                <w:sz w:val="18"/>
                <w:szCs w:val="21"/>
              </w:rPr>
            </w:pPr>
            <w:r>
              <w:rPr>
                <w:rFonts w:hint="eastAsia" w:ascii="宋体" w:hAnsi="宋体"/>
                <w:sz w:val="18"/>
                <w:szCs w:val="21"/>
              </w:rPr>
              <w:t>4</w:t>
            </w:r>
          </w:p>
        </w:tc>
        <w:tc>
          <w:tcPr>
            <w:tcW w:w="2532" w:type="dxa"/>
            <w:vAlign w:val="center"/>
          </w:tcPr>
          <w:p>
            <w:pPr>
              <w:rPr>
                <w:rFonts w:ascii="宋体" w:hAnsi="宋体"/>
                <w:sz w:val="18"/>
                <w:szCs w:val="21"/>
              </w:rPr>
            </w:pPr>
            <w:r>
              <w:rPr>
                <w:rFonts w:hint="eastAsia" w:ascii="宋体" w:hAnsi="宋体"/>
                <w:sz w:val="18"/>
                <w:szCs w:val="21"/>
              </w:rPr>
              <w:t>入湘施工登记证（仅省外企业，如有）</w:t>
            </w:r>
          </w:p>
        </w:tc>
        <w:tc>
          <w:tcPr>
            <w:tcW w:w="3524" w:type="dxa"/>
            <w:vAlign w:val="center"/>
          </w:tcPr>
          <w:p>
            <w:pPr>
              <w:rPr>
                <w:rFonts w:ascii="宋体" w:hAnsi="宋体"/>
                <w:sz w:val="18"/>
                <w:szCs w:val="21"/>
              </w:rPr>
            </w:pPr>
            <w:r>
              <w:rPr>
                <w:rFonts w:hint="eastAsia" w:ascii="宋体" w:hAnsi="宋体"/>
                <w:sz w:val="18"/>
                <w:szCs w:val="21"/>
              </w:rPr>
              <w:t>原件与投标文件投标函中所附入湘施工登记证复印件内容是否一致，是否提供原件</w:t>
            </w:r>
          </w:p>
        </w:tc>
        <w:tc>
          <w:tcPr>
            <w:tcW w:w="764" w:type="dxa"/>
            <w:vAlign w:val="center"/>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5</w:t>
            </w:r>
          </w:p>
        </w:tc>
        <w:tc>
          <w:tcPr>
            <w:tcW w:w="2532" w:type="dxa"/>
            <w:vAlign w:val="center"/>
          </w:tcPr>
          <w:p>
            <w:pPr>
              <w:rPr>
                <w:rFonts w:ascii="宋体" w:hAnsi="宋体"/>
                <w:sz w:val="18"/>
                <w:szCs w:val="21"/>
              </w:rPr>
            </w:pPr>
            <w:r>
              <w:rPr>
                <w:rFonts w:hint="eastAsia" w:ascii="宋体" w:hAnsi="宋体"/>
                <w:sz w:val="18"/>
                <w:szCs w:val="21"/>
              </w:rPr>
              <w:t>建造师注册证书、B类安全生产考核合格证书</w:t>
            </w:r>
          </w:p>
        </w:tc>
        <w:tc>
          <w:tcPr>
            <w:tcW w:w="3524" w:type="dxa"/>
            <w:vAlign w:val="center"/>
          </w:tcPr>
          <w:p>
            <w:pPr>
              <w:rPr>
                <w:rFonts w:ascii="宋体" w:hAnsi="宋体"/>
                <w:sz w:val="18"/>
                <w:szCs w:val="21"/>
              </w:rPr>
            </w:pPr>
            <w:r>
              <w:rPr>
                <w:rFonts w:hint="eastAsia" w:ascii="宋体" w:hAnsi="宋体"/>
                <w:sz w:val="18"/>
                <w:szCs w:val="21"/>
              </w:rPr>
              <w:t>原件与投标文件投标函中所附建造师注册证书、B类安全生产考核合格证书复印件内容是否一致，是否提供原件</w:t>
            </w:r>
          </w:p>
        </w:tc>
        <w:tc>
          <w:tcPr>
            <w:tcW w:w="764" w:type="dxa"/>
            <w:vAlign w:val="center"/>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6</w:t>
            </w:r>
          </w:p>
        </w:tc>
        <w:tc>
          <w:tcPr>
            <w:tcW w:w="2532" w:type="dxa"/>
            <w:vAlign w:val="center"/>
          </w:tcPr>
          <w:p>
            <w:pPr>
              <w:rPr>
                <w:rFonts w:ascii="宋体" w:hAnsi="宋体"/>
                <w:sz w:val="18"/>
                <w:szCs w:val="21"/>
              </w:rPr>
            </w:pPr>
            <w:r>
              <w:rPr>
                <w:rFonts w:hint="eastAsia" w:ascii="宋体" w:hAnsi="宋体"/>
                <w:sz w:val="18"/>
                <w:szCs w:val="21"/>
              </w:rPr>
              <w:t>技术负责人职称证书</w:t>
            </w:r>
          </w:p>
        </w:tc>
        <w:tc>
          <w:tcPr>
            <w:tcW w:w="3524" w:type="dxa"/>
            <w:vAlign w:val="center"/>
          </w:tcPr>
          <w:p>
            <w:pPr>
              <w:rPr>
                <w:rFonts w:ascii="宋体" w:hAnsi="宋体"/>
                <w:sz w:val="18"/>
                <w:szCs w:val="21"/>
              </w:rPr>
            </w:pPr>
            <w:r>
              <w:rPr>
                <w:rFonts w:hint="eastAsia" w:ascii="宋体" w:hAnsi="宋体"/>
                <w:sz w:val="18"/>
                <w:szCs w:val="21"/>
              </w:rPr>
              <w:t>原件与投标文件投标函中所附技术负责人职称证复印件内容是否一致，是否提供原件</w:t>
            </w:r>
          </w:p>
        </w:tc>
        <w:tc>
          <w:tcPr>
            <w:tcW w:w="764" w:type="dxa"/>
            <w:vAlign w:val="center"/>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7</w:t>
            </w:r>
          </w:p>
        </w:tc>
        <w:tc>
          <w:tcPr>
            <w:tcW w:w="2532" w:type="dxa"/>
            <w:vAlign w:val="center"/>
          </w:tcPr>
          <w:p>
            <w:pPr>
              <w:rPr>
                <w:rFonts w:ascii="宋体" w:hAnsi="宋体"/>
                <w:sz w:val="18"/>
                <w:szCs w:val="21"/>
              </w:rPr>
            </w:pPr>
            <w:r>
              <w:rPr>
                <w:rFonts w:hint="eastAsia" w:ascii="宋体" w:hAnsi="宋体"/>
                <w:sz w:val="18"/>
                <w:szCs w:val="21"/>
              </w:rPr>
              <w:t>施工员、安全员、质量员岗位资格证书</w:t>
            </w:r>
          </w:p>
        </w:tc>
        <w:tc>
          <w:tcPr>
            <w:tcW w:w="3524" w:type="dxa"/>
            <w:vAlign w:val="center"/>
          </w:tcPr>
          <w:p>
            <w:pPr>
              <w:rPr>
                <w:rFonts w:ascii="宋体" w:hAnsi="宋体"/>
                <w:sz w:val="18"/>
                <w:szCs w:val="21"/>
              </w:rPr>
            </w:pPr>
            <w:r>
              <w:rPr>
                <w:rFonts w:hint="eastAsia" w:ascii="宋体" w:hAnsi="宋体"/>
                <w:sz w:val="18"/>
                <w:szCs w:val="21"/>
              </w:rPr>
              <w:t>最低配备数量限制内，原件与投标文件投标函中所附施工员、安全员、质量员岗位资格证书复印件内容是否一致，是否提供原件</w:t>
            </w:r>
          </w:p>
        </w:tc>
        <w:tc>
          <w:tcPr>
            <w:tcW w:w="764" w:type="dxa"/>
            <w:vAlign w:val="center"/>
          </w:tcPr>
          <w:p>
            <w:pPr>
              <w:snapToGrid w:val="0"/>
              <w:rPr>
                <w:rFonts w:ascii="宋体" w:hAnsi="宋体"/>
                <w:sz w:val="18"/>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8</w:t>
            </w:r>
          </w:p>
        </w:tc>
        <w:tc>
          <w:tcPr>
            <w:tcW w:w="2532" w:type="dxa"/>
            <w:vAlign w:val="center"/>
          </w:tcPr>
          <w:p>
            <w:pPr>
              <w:rPr>
                <w:rFonts w:ascii="宋体" w:hAnsi="宋体"/>
                <w:sz w:val="18"/>
                <w:szCs w:val="21"/>
              </w:rPr>
            </w:pPr>
            <w:r>
              <w:rPr>
                <w:rFonts w:hint="eastAsia" w:ascii="宋体" w:hAnsi="宋体"/>
                <w:sz w:val="18"/>
                <w:szCs w:val="21"/>
              </w:rPr>
              <w:t>安全员安全考核合格证书C证</w:t>
            </w:r>
          </w:p>
        </w:tc>
        <w:tc>
          <w:tcPr>
            <w:tcW w:w="3524" w:type="dxa"/>
            <w:vAlign w:val="center"/>
          </w:tcPr>
          <w:p>
            <w:pPr>
              <w:rPr>
                <w:rFonts w:ascii="宋体" w:hAnsi="宋体"/>
                <w:sz w:val="18"/>
                <w:szCs w:val="21"/>
              </w:rPr>
            </w:pPr>
            <w:r>
              <w:rPr>
                <w:rFonts w:hint="eastAsia" w:ascii="宋体" w:hAnsi="宋体"/>
                <w:sz w:val="18"/>
                <w:szCs w:val="21"/>
              </w:rPr>
              <w:t>最低配备数量限制内，原件与投标文件投标函中所附安全员安全考核合格证书C证复印件内容是否一致，是否提供原件</w:t>
            </w:r>
          </w:p>
        </w:tc>
        <w:tc>
          <w:tcPr>
            <w:tcW w:w="764" w:type="dxa"/>
          </w:tcPr>
          <w:p>
            <w:pPr>
              <w:snapToGrid w:val="0"/>
              <w:rPr>
                <w:rFonts w:ascii="宋体" w:hAnsi="宋体"/>
                <w:sz w:val="18"/>
                <w:szCs w:val="21"/>
              </w:rPr>
            </w:pP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9</w:t>
            </w:r>
          </w:p>
        </w:tc>
        <w:tc>
          <w:tcPr>
            <w:tcW w:w="2532" w:type="dxa"/>
            <w:vAlign w:val="center"/>
          </w:tcPr>
          <w:p>
            <w:pPr>
              <w:rPr>
                <w:rFonts w:ascii="宋体" w:hAnsi="宋体"/>
                <w:sz w:val="18"/>
                <w:szCs w:val="21"/>
              </w:rPr>
            </w:pPr>
            <w:r>
              <w:rPr>
                <w:rFonts w:hint="eastAsia" w:ascii="宋体" w:hAnsi="宋体"/>
                <w:sz w:val="18"/>
                <w:szCs w:val="21"/>
              </w:rPr>
              <w:t>关键岗位人员</w:t>
            </w:r>
            <w:r>
              <w:rPr>
                <w:rFonts w:hint="eastAsia" w:ascii="宋体" w:hAnsi="宋体"/>
                <w:sz w:val="18"/>
                <w:szCs w:val="18"/>
              </w:rPr>
              <w:t>养老保险</w:t>
            </w:r>
            <w:r>
              <w:rPr>
                <w:rFonts w:hint="eastAsia" w:ascii="宋体" w:hAnsi="宋体"/>
                <w:sz w:val="18"/>
                <w:szCs w:val="21"/>
              </w:rPr>
              <w:t>证明</w:t>
            </w:r>
          </w:p>
        </w:tc>
        <w:tc>
          <w:tcPr>
            <w:tcW w:w="3524" w:type="dxa"/>
            <w:vAlign w:val="center"/>
          </w:tcPr>
          <w:p>
            <w:pPr>
              <w:rPr>
                <w:rFonts w:ascii="宋体" w:hAnsi="宋体"/>
                <w:sz w:val="18"/>
                <w:szCs w:val="21"/>
              </w:rPr>
            </w:pPr>
            <w:r>
              <w:rPr>
                <w:rFonts w:hint="eastAsia" w:ascii="宋体" w:hAnsi="宋体"/>
                <w:sz w:val="18"/>
                <w:szCs w:val="21"/>
              </w:rPr>
              <w:t>原件与投标文件投标函中所附关键岗位人员</w:t>
            </w:r>
            <w:r>
              <w:rPr>
                <w:rFonts w:hint="eastAsia" w:ascii="宋体" w:hAnsi="宋体"/>
                <w:sz w:val="18"/>
                <w:szCs w:val="18"/>
              </w:rPr>
              <w:t>养老保险</w:t>
            </w:r>
            <w:r>
              <w:rPr>
                <w:rFonts w:hint="eastAsia" w:ascii="宋体" w:hAnsi="宋体"/>
                <w:sz w:val="18"/>
                <w:szCs w:val="21"/>
              </w:rPr>
              <w:t>证明复印件内容是否一致，是否提供原件</w:t>
            </w:r>
          </w:p>
        </w:tc>
        <w:tc>
          <w:tcPr>
            <w:tcW w:w="764" w:type="dxa"/>
            <w:vAlign w:val="center"/>
          </w:tcPr>
          <w:p>
            <w:pPr>
              <w:pStyle w:val="52"/>
              <w:rPr>
                <w:rFonts w:ascii="宋体" w:hAnsi="宋体"/>
                <w:sz w:val="18"/>
              </w:rPr>
            </w:pPr>
          </w:p>
        </w:tc>
        <w:tc>
          <w:tcPr>
            <w:tcW w:w="834" w:type="dxa"/>
            <w:vAlign w:val="center"/>
          </w:tcPr>
          <w:p>
            <w:pPr>
              <w:pStyle w:val="52"/>
              <w:rPr>
                <w:rFonts w:ascii="宋体" w:hAnsi="宋体"/>
                <w:sz w:val="18"/>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10</w:t>
            </w:r>
          </w:p>
        </w:tc>
        <w:tc>
          <w:tcPr>
            <w:tcW w:w="2532" w:type="dxa"/>
            <w:vAlign w:val="center"/>
          </w:tcPr>
          <w:p>
            <w:pPr>
              <w:rPr>
                <w:rFonts w:ascii="宋体" w:hAnsi="宋体"/>
                <w:sz w:val="18"/>
                <w:szCs w:val="21"/>
              </w:rPr>
            </w:pPr>
            <w:r>
              <w:rPr>
                <w:rFonts w:hint="eastAsia" w:ascii="宋体" w:hAnsi="宋体"/>
                <w:color w:val="000000"/>
                <w:sz w:val="18"/>
                <w:szCs w:val="21"/>
              </w:rPr>
              <w:t>省外企业关键岗位人员证书真实性证明和无在建工程证明（</w:t>
            </w:r>
            <w:r>
              <w:rPr>
                <w:rFonts w:hint="eastAsia" w:ascii="宋体" w:hAnsi="宋体"/>
                <w:sz w:val="18"/>
              </w:rPr>
              <w:t>如不能提供的，则在投标函部分规定处提供其官方查询网址及结果</w:t>
            </w:r>
            <w:r>
              <w:rPr>
                <w:rFonts w:hint="eastAsia" w:ascii="宋体" w:hAnsi="宋体"/>
                <w:color w:val="000000"/>
                <w:sz w:val="18"/>
                <w:szCs w:val="21"/>
              </w:rPr>
              <w:t>）</w:t>
            </w:r>
          </w:p>
        </w:tc>
        <w:tc>
          <w:tcPr>
            <w:tcW w:w="3524" w:type="dxa"/>
            <w:vAlign w:val="center"/>
          </w:tcPr>
          <w:p>
            <w:pPr>
              <w:rPr>
                <w:rFonts w:ascii="宋体" w:hAnsi="宋体"/>
                <w:sz w:val="18"/>
                <w:szCs w:val="21"/>
              </w:rPr>
            </w:pPr>
            <w:r>
              <w:rPr>
                <w:rFonts w:hint="eastAsia" w:ascii="宋体" w:hAnsi="宋体"/>
                <w:color w:val="000000"/>
                <w:sz w:val="18"/>
                <w:szCs w:val="21"/>
              </w:rPr>
              <w:t>原件与投标文件投标函中所附省外企业关键岗位人员证书真实性证明和无在建工程证明复印件内容是否一致，是否提供原件</w:t>
            </w:r>
          </w:p>
        </w:tc>
        <w:tc>
          <w:tcPr>
            <w:tcW w:w="764" w:type="dxa"/>
            <w:vAlign w:val="center"/>
          </w:tcPr>
          <w:p>
            <w:pPr>
              <w:pStyle w:val="52"/>
              <w:rPr>
                <w:rFonts w:ascii="宋体" w:hAnsi="宋体"/>
                <w:sz w:val="18"/>
              </w:rPr>
            </w:pPr>
          </w:p>
        </w:tc>
        <w:tc>
          <w:tcPr>
            <w:tcW w:w="834" w:type="dxa"/>
            <w:vAlign w:val="center"/>
          </w:tcPr>
          <w:p>
            <w:pPr>
              <w:pStyle w:val="52"/>
              <w:rPr>
                <w:rFonts w:ascii="宋体" w:hAnsi="宋体"/>
                <w:sz w:val="18"/>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jc w:val="center"/>
              <w:rPr>
                <w:rFonts w:ascii="宋体" w:hAnsi="宋体"/>
                <w:sz w:val="18"/>
                <w:szCs w:val="21"/>
              </w:rPr>
            </w:pPr>
            <w:r>
              <w:rPr>
                <w:rFonts w:hint="eastAsia" w:ascii="宋体" w:hAnsi="宋体"/>
                <w:sz w:val="18"/>
                <w:szCs w:val="21"/>
              </w:rPr>
              <w:t>11</w:t>
            </w:r>
          </w:p>
        </w:tc>
        <w:tc>
          <w:tcPr>
            <w:tcW w:w="2532" w:type="dxa"/>
            <w:vAlign w:val="center"/>
          </w:tcPr>
          <w:p>
            <w:pPr>
              <w:rPr>
                <w:rFonts w:ascii="宋体" w:hAnsi="宋体"/>
                <w:sz w:val="18"/>
                <w:szCs w:val="21"/>
              </w:rPr>
            </w:pPr>
            <w:r>
              <w:rPr>
                <w:rFonts w:hint="eastAsia" w:ascii="宋体" w:hAnsi="宋体"/>
                <w:sz w:val="18"/>
                <w:szCs w:val="21"/>
              </w:rPr>
              <w:t>企业基本户开户许可证</w:t>
            </w:r>
          </w:p>
        </w:tc>
        <w:tc>
          <w:tcPr>
            <w:tcW w:w="3524" w:type="dxa"/>
            <w:vAlign w:val="center"/>
          </w:tcPr>
          <w:p>
            <w:pPr>
              <w:rPr>
                <w:rFonts w:ascii="宋体" w:hAnsi="宋体"/>
                <w:sz w:val="18"/>
                <w:szCs w:val="21"/>
              </w:rPr>
            </w:pPr>
            <w:r>
              <w:rPr>
                <w:rFonts w:hint="eastAsia" w:ascii="宋体" w:hAnsi="宋体"/>
                <w:sz w:val="18"/>
                <w:szCs w:val="21"/>
              </w:rPr>
              <w:t>原件与投标文件投标函中所附企业基本户开户许可证复印件内容是否一致，是否提供原件</w:t>
            </w:r>
          </w:p>
        </w:tc>
        <w:tc>
          <w:tcPr>
            <w:tcW w:w="764" w:type="dxa"/>
            <w:vAlign w:val="center"/>
          </w:tcPr>
          <w:p>
            <w:pPr>
              <w:snapToGrid w:val="0"/>
              <w:rPr>
                <w:rFonts w:ascii="宋体" w:hAnsi="宋体"/>
                <w:sz w:val="18"/>
              </w:rPr>
            </w:pPr>
          </w:p>
        </w:tc>
        <w:tc>
          <w:tcPr>
            <w:tcW w:w="834" w:type="dxa"/>
            <w:vAlign w:val="center"/>
          </w:tcPr>
          <w:p>
            <w:pPr>
              <w:pStyle w:val="52"/>
              <w:rPr>
                <w:rFonts w:ascii="宋体" w:hAnsi="宋体"/>
                <w:sz w:val="18"/>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7" w:type="dxa"/>
            <w:vAlign w:val="center"/>
          </w:tcPr>
          <w:p>
            <w:pPr>
              <w:snapToGrid w:val="0"/>
              <w:ind w:firstLine="180" w:firstLineChars="100"/>
              <w:rPr>
                <w:rFonts w:ascii="宋体" w:hAnsi="宋体"/>
                <w:sz w:val="18"/>
                <w:szCs w:val="21"/>
              </w:rPr>
            </w:pPr>
            <w:r>
              <w:rPr>
                <w:rFonts w:hint="eastAsia" w:ascii="宋体" w:hAnsi="宋体"/>
                <w:sz w:val="18"/>
                <w:szCs w:val="21"/>
              </w:rPr>
              <w:t>12</w:t>
            </w:r>
          </w:p>
        </w:tc>
        <w:tc>
          <w:tcPr>
            <w:tcW w:w="2532" w:type="dxa"/>
            <w:vAlign w:val="center"/>
          </w:tcPr>
          <w:p>
            <w:pPr>
              <w:rPr>
                <w:rFonts w:ascii="宋体" w:hAnsi="宋体"/>
                <w:sz w:val="18"/>
                <w:szCs w:val="21"/>
              </w:rPr>
            </w:pPr>
            <w:r>
              <w:rPr>
                <w:rFonts w:hint="eastAsia" w:ascii="宋体" w:hAnsi="宋体"/>
                <w:sz w:val="18"/>
                <w:szCs w:val="21"/>
              </w:rPr>
              <w:t>原件提供是否齐全</w:t>
            </w:r>
          </w:p>
        </w:tc>
        <w:tc>
          <w:tcPr>
            <w:tcW w:w="3524" w:type="dxa"/>
            <w:vAlign w:val="center"/>
          </w:tcPr>
          <w:p>
            <w:pPr>
              <w:rPr>
                <w:rFonts w:ascii="宋体" w:hAnsi="宋体"/>
                <w:sz w:val="18"/>
                <w:szCs w:val="21"/>
              </w:rPr>
            </w:pPr>
            <w:r>
              <w:rPr>
                <w:rFonts w:hint="eastAsia" w:ascii="宋体" w:hAnsi="宋体"/>
                <w:sz w:val="18"/>
                <w:szCs w:val="21"/>
              </w:rPr>
              <w:t>投标人是否按规定提供以上所需原件，以上所需原件缺一项则为不合格投标人</w:t>
            </w:r>
            <w:r>
              <w:rPr>
                <w:rFonts w:hint="eastAsia" w:ascii="宋体" w:hAnsi="宋体"/>
                <w:b/>
                <w:sz w:val="18"/>
                <w:szCs w:val="21"/>
              </w:rPr>
              <w:t>（企业资质等级证书可提供加盖单位公章的复印件）</w:t>
            </w:r>
          </w:p>
        </w:tc>
        <w:tc>
          <w:tcPr>
            <w:tcW w:w="764" w:type="dxa"/>
            <w:vAlign w:val="center"/>
          </w:tcPr>
          <w:p>
            <w:pPr>
              <w:snapToGrid w:val="0"/>
              <w:rPr>
                <w:rFonts w:ascii="宋体" w:hAnsi="宋体"/>
                <w:sz w:val="18"/>
              </w:rPr>
            </w:pPr>
          </w:p>
        </w:tc>
        <w:tc>
          <w:tcPr>
            <w:tcW w:w="834" w:type="dxa"/>
            <w:vAlign w:val="center"/>
          </w:tcPr>
          <w:p>
            <w:pPr>
              <w:pStyle w:val="52"/>
              <w:rPr>
                <w:rFonts w:ascii="宋体" w:hAnsi="宋体"/>
                <w:sz w:val="18"/>
              </w:rPr>
            </w:pPr>
          </w:p>
        </w:tc>
        <w:tc>
          <w:tcPr>
            <w:tcW w:w="98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7407" w:type="dxa"/>
            <w:gridSpan w:val="4"/>
            <w:vAlign w:val="center"/>
          </w:tcPr>
          <w:p>
            <w:pPr>
              <w:snapToGrid w:val="0"/>
              <w:rPr>
                <w:rFonts w:ascii="宋体" w:hAnsi="宋体"/>
                <w:sz w:val="18"/>
                <w:szCs w:val="21"/>
              </w:rPr>
            </w:pPr>
            <w:r>
              <w:rPr>
                <w:rFonts w:hint="eastAsia" w:ascii="宋体" w:hAnsi="宋体"/>
                <w:sz w:val="18"/>
              </w:rPr>
              <w:t>评审结论（合格或不合格）</w:t>
            </w:r>
          </w:p>
        </w:tc>
        <w:tc>
          <w:tcPr>
            <w:tcW w:w="834" w:type="dxa"/>
            <w:vAlign w:val="center"/>
          </w:tcPr>
          <w:p>
            <w:pPr>
              <w:jc w:val="center"/>
              <w:rPr>
                <w:rFonts w:ascii="宋体" w:hAnsi="宋体"/>
                <w:sz w:val="18"/>
                <w:szCs w:val="21"/>
              </w:rPr>
            </w:pPr>
          </w:p>
        </w:tc>
        <w:tc>
          <w:tcPr>
            <w:tcW w:w="982" w:type="dxa"/>
            <w:vAlign w:val="center"/>
          </w:tcPr>
          <w:p>
            <w:pPr>
              <w:jc w:val="center"/>
              <w:rPr>
                <w:rFonts w:ascii="宋体" w:hAnsi="宋体"/>
                <w:sz w:val="18"/>
                <w:szCs w:val="21"/>
              </w:rPr>
            </w:pPr>
          </w:p>
        </w:tc>
      </w:tr>
    </w:tbl>
    <w:p>
      <w:pPr>
        <w:spacing w:beforeLines="50" w:afterLines="50"/>
        <w:jc w:val="left"/>
      </w:pPr>
      <w:r>
        <w:rPr>
          <w:rFonts w:hint="eastAsia"/>
        </w:rPr>
        <w:t>评标委员会全体成员签字/日期：</w:t>
      </w:r>
    </w:p>
    <w:p>
      <w:pPr>
        <w:spacing w:line="300" w:lineRule="auto"/>
        <w:rPr>
          <w:sz w:val="18"/>
          <w:szCs w:val="18"/>
        </w:rPr>
      </w:pPr>
      <w:r>
        <w:rPr>
          <w:rFonts w:hint="eastAsia"/>
          <w:sz w:val="18"/>
          <w:szCs w:val="18"/>
        </w:rPr>
        <w:t>注：已实行开标前资格审查的，</w:t>
      </w:r>
      <w:r>
        <w:rPr>
          <w:rFonts w:hint="eastAsia" w:ascii="宋体" w:hAnsi="宋体"/>
          <w:sz w:val="18"/>
          <w:szCs w:val="18"/>
        </w:rPr>
        <w:t>且同一内容已审查并没有更新的</w:t>
      </w:r>
      <w:r>
        <w:rPr>
          <w:rFonts w:hint="eastAsia"/>
          <w:sz w:val="18"/>
          <w:szCs w:val="18"/>
        </w:rPr>
        <w:t>，本表内容可不作评审；如投标人资格申请文件的内容发生重大变化时，应根据本表内容对其更新的资料进行评审。</w:t>
      </w:r>
    </w:p>
    <w:p>
      <w:pPr>
        <w:spacing w:line="312" w:lineRule="auto"/>
        <w:rPr>
          <w:rFonts w:ascii="宋体" w:hAnsi="宋体"/>
          <w:szCs w:val="21"/>
        </w:rPr>
      </w:pPr>
      <w:r>
        <w:rPr>
          <w:rFonts w:ascii="宋体" w:hAnsi="宋体"/>
          <w:szCs w:val="21"/>
        </w:rPr>
        <w:br w:type="page"/>
      </w:r>
    </w:p>
    <w:p>
      <w:pPr>
        <w:pStyle w:val="6"/>
        <w:spacing w:line="360" w:lineRule="exact"/>
        <w:rPr>
          <w:rFonts w:ascii="黑体" w:hAnsi="黑体" w:eastAsia="黑体"/>
          <w:b w:val="0"/>
          <w:bCs w:val="0"/>
          <w:sz w:val="24"/>
        </w:rPr>
      </w:pPr>
      <w:bookmarkStart w:id="175" w:name="_Toc300678110"/>
      <w:r>
        <w:rPr>
          <w:rFonts w:hint="eastAsia" w:ascii="黑体" w:hAnsi="黑体" w:eastAsia="黑体"/>
          <w:b w:val="0"/>
          <w:bCs w:val="0"/>
          <w:sz w:val="24"/>
        </w:rPr>
        <w:t>附表3-5：资格评审记录表</w:t>
      </w:r>
      <w:bookmarkEnd w:id="175"/>
    </w:p>
    <w:p>
      <w:pPr>
        <w:snapToGrid w:val="0"/>
        <w:spacing w:beforeLines="50" w:afterLines="50" w:line="360" w:lineRule="exact"/>
        <w:jc w:val="center"/>
        <w:rPr>
          <w:rFonts w:ascii="黑体" w:eastAsia="黑体"/>
          <w:sz w:val="28"/>
          <w:szCs w:val="28"/>
        </w:rPr>
      </w:pPr>
      <w:r>
        <w:rPr>
          <w:rFonts w:hint="eastAsia" w:ascii="黑体" w:eastAsia="黑体"/>
          <w:sz w:val="28"/>
          <w:szCs w:val="28"/>
        </w:rPr>
        <w:t>资格评审记录表</w:t>
      </w:r>
    </w:p>
    <w:p>
      <w:pPr>
        <w:spacing w:afterLines="30" w:line="360" w:lineRule="exact"/>
      </w:pPr>
      <w:r>
        <w:rPr>
          <w:rFonts w:hint="eastAsia" w:ascii="宋体" w:hAnsi="宋体"/>
        </w:rPr>
        <w:t>工程名称：（项目名称）标段</w:t>
      </w:r>
    </w:p>
    <w:tbl>
      <w:tblPr>
        <w:tblStyle w:val="42"/>
        <w:tblW w:w="827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7"/>
        <w:gridCol w:w="639"/>
        <w:gridCol w:w="1244"/>
        <w:gridCol w:w="3655"/>
        <w:gridCol w:w="653"/>
        <w:gridCol w:w="639"/>
        <w:gridCol w:w="8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607" w:type="dxa"/>
            <w:vAlign w:val="center"/>
          </w:tcPr>
          <w:p>
            <w:pPr>
              <w:jc w:val="center"/>
              <w:rPr>
                <w:rFonts w:ascii="宋体" w:hAnsi="宋体"/>
                <w:sz w:val="18"/>
                <w:szCs w:val="21"/>
              </w:rPr>
            </w:pPr>
            <w:r>
              <w:rPr>
                <w:rFonts w:hint="eastAsia" w:ascii="宋体" w:hAnsi="宋体"/>
                <w:sz w:val="18"/>
                <w:szCs w:val="21"/>
              </w:rPr>
              <w:t>序号</w:t>
            </w:r>
          </w:p>
        </w:tc>
        <w:tc>
          <w:tcPr>
            <w:tcW w:w="5538" w:type="dxa"/>
            <w:gridSpan w:val="3"/>
            <w:vAlign w:val="center"/>
          </w:tcPr>
          <w:p>
            <w:pPr>
              <w:jc w:val="center"/>
              <w:rPr>
                <w:rFonts w:ascii="宋体" w:hAnsi="宋体"/>
                <w:sz w:val="18"/>
                <w:szCs w:val="21"/>
              </w:rPr>
            </w:pPr>
            <w:r>
              <w:rPr>
                <w:rFonts w:hint="eastAsia" w:ascii="宋体" w:hAnsi="宋体"/>
                <w:sz w:val="18"/>
                <w:szCs w:val="21"/>
              </w:rPr>
              <w:t>评审因素</w:t>
            </w:r>
          </w:p>
        </w:tc>
        <w:tc>
          <w:tcPr>
            <w:tcW w:w="2130" w:type="dxa"/>
            <w:gridSpan w:val="3"/>
            <w:vAlign w:val="center"/>
          </w:tcPr>
          <w:p>
            <w:pPr>
              <w:snapToGrid w:val="0"/>
              <w:jc w:val="center"/>
              <w:rPr>
                <w:rFonts w:ascii="宋体" w:hAnsi="宋体"/>
                <w:sz w:val="18"/>
                <w:szCs w:val="21"/>
              </w:rPr>
            </w:pPr>
            <w:r>
              <w:rPr>
                <w:rFonts w:hint="eastAsia" w:ascii="宋体" w:hAnsi="宋体"/>
                <w:sz w:val="18"/>
                <w:szCs w:val="21"/>
              </w:rPr>
              <w:t>投标人名称及评审意见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jc w:val="center"/>
              <w:rPr>
                <w:rFonts w:ascii="宋体" w:hAnsi="宋体"/>
                <w:sz w:val="18"/>
                <w:szCs w:val="21"/>
              </w:rPr>
            </w:pPr>
            <w:r>
              <w:rPr>
                <w:rFonts w:hint="eastAsia" w:ascii="宋体" w:hAnsi="宋体"/>
                <w:sz w:val="18"/>
                <w:szCs w:val="21"/>
              </w:rPr>
              <w:t>1</w:t>
            </w:r>
          </w:p>
        </w:tc>
        <w:tc>
          <w:tcPr>
            <w:tcW w:w="1883" w:type="dxa"/>
            <w:gridSpan w:val="2"/>
            <w:vAlign w:val="center"/>
          </w:tcPr>
          <w:p>
            <w:pPr>
              <w:snapToGrid w:val="0"/>
              <w:jc w:val="center"/>
              <w:rPr>
                <w:rFonts w:ascii="宋体" w:hAnsi="宋体"/>
                <w:sz w:val="18"/>
                <w:szCs w:val="21"/>
              </w:rPr>
            </w:pPr>
            <w:r>
              <w:rPr>
                <w:rFonts w:hint="eastAsia" w:ascii="宋体" w:hAnsi="宋体"/>
                <w:sz w:val="18"/>
                <w:szCs w:val="21"/>
              </w:rPr>
              <w:t>营业执照</w:t>
            </w:r>
          </w:p>
        </w:tc>
        <w:tc>
          <w:tcPr>
            <w:tcW w:w="3655" w:type="dxa"/>
            <w:vAlign w:val="center"/>
          </w:tcPr>
          <w:p>
            <w:pPr>
              <w:snapToGrid w:val="0"/>
              <w:rPr>
                <w:rFonts w:ascii="宋体" w:hAnsi="宋体"/>
                <w:sz w:val="18"/>
                <w:szCs w:val="21"/>
              </w:rPr>
            </w:pPr>
            <w:r>
              <w:rPr>
                <w:rFonts w:hint="eastAsia" w:ascii="宋体" w:hAnsi="宋体"/>
                <w:sz w:val="18"/>
                <w:szCs w:val="21"/>
              </w:rPr>
              <w:t>是否具备有效的营业执照</w:t>
            </w:r>
          </w:p>
        </w:tc>
        <w:tc>
          <w:tcPr>
            <w:tcW w:w="653" w:type="dxa"/>
            <w:vAlign w:val="center"/>
          </w:tcPr>
          <w:p>
            <w:pPr>
              <w:snapToGrid w:val="0"/>
              <w:rPr>
                <w:rFonts w:ascii="宋体" w:hAnsi="宋体"/>
                <w:sz w:val="18"/>
                <w:szCs w:val="21"/>
              </w:rPr>
            </w:pPr>
          </w:p>
        </w:tc>
        <w:tc>
          <w:tcPr>
            <w:tcW w:w="639" w:type="dxa"/>
            <w:vAlign w:val="center"/>
          </w:tcPr>
          <w:p>
            <w:pPr>
              <w:snapToGrid w:val="0"/>
              <w:rPr>
                <w:rFonts w:ascii="宋体" w:hAnsi="宋体"/>
                <w:sz w:val="18"/>
                <w:szCs w:val="21"/>
              </w:rPr>
            </w:pPr>
          </w:p>
        </w:tc>
        <w:tc>
          <w:tcPr>
            <w:tcW w:w="838"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jc w:val="center"/>
              <w:rPr>
                <w:rFonts w:ascii="宋体" w:hAnsi="宋体"/>
                <w:sz w:val="18"/>
                <w:szCs w:val="21"/>
              </w:rPr>
            </w:pPr>
            <w:r>
              <w:rPr>
                <w:rFonts w:hint="eastAsia" w:ascii="宋体" w:hAnsi="宋体"/>
                <w:sz w:val="18"/>
                <w:szCs w:val="21"/>
              </w:rPr>
              <w:t>2</w:t>
            </w:r>
          </w:p>
        </w:tc>
        <w:tc>
          <w:tcPr>
            <w:tcW w:w="1883" w:type="dxa"/>
            <w:gridSpan w:val="2"/>
            <w:vAlign w:val="center"/>
          </w:tcPr>
          <w:p>
            <w:pPr>
              <w:snapToGrid w:val="0"/>
              <w:jc w:val="center"/>
              <w:rPr>
                <w:rFonts w:ascii="宋体" w:hAnsi="宋体"/>
                <w:sz w:val="18"/>
                <w:szCs w:val="21"/>
              </w:rPr>
            </w:pPr>
            <w:r>
              <w:rPr>
                <w:rFonts w:hint="eastAsia" w:ascii="宋体" w:hAnsi="宋体"/>
                <w:sz w:val="18"/>
                <w:szCs w:val="21"/>
              </w:rPr>
              <w:t>企业资质等级</w:t>
            </w:r>
          </w:p>
        </w:tc>
        <w:tc>
          <w:tcPr>
            <w:tcW w:w="3655" w:type="dxa"/>
            <w:vAlign w:val="center"/>
          </w:tcPr>
          <w:p>
            <w:pPr>
              <w:snapToGrid w:val="0"/>
              <w:rPr>
                <w:rFonts w:ascii="宋体" w:hAnsi="宋体"/>
                <w:sz w:val="18"/>
                <w:szCs w:val="21"/>
              </w:rPr>
            </w:pPr>
            <w:r>
              <w:rPr>
                <w:rFonts w:hint="eastAsia" w:ascii="宋体" w:hAnsi="宋体"/>
                <w:sz w:val="18"/>
                <w:szCs w:val="21"/>
              </w:rPr>
              <w:t>是否具备建设行政主管部门颁发的建筑工程施工总承包三级以上（含三级）资质</w:t>
            </w:r>
          </w:p>
        </w:tc>
        <w:tc>
          <w:tcPr>
            <w:tcW w:w="653" w:type="dxa"/>
            <w:vAlign w:val="center"/>
          </w:tcPr>
          <w:p>
            <w:pPr>
              <w:snapToGrid w:val="0"/>
              <w:rPr>
                <w:rFonts w:ascii="宋体" w:hAnsi="宋体"/>
                <w:sz w:val="18"/>
                <w:szCs w:val="21"/>
              </w:rPr>
            </w:pPr>
          </w:p>
        </w:tc>
        <w:tc>
          <w:tcPr>
            <w:tcW w:w="639" w:type="dxa"/>
            <w:vAlign w:val="center"/>
          </w:tcPr>
          <w:p>
            <w:pPr>
              <w:snapToGrid w:val="0"/>
              <w:rPr>
                <w:rFonts w:ascii="宋体" w:hAnsi="宋体"/>
                <w:sz w:val="18"/>
                <w:szCs w:val="21"/>
              </w:rPr>
            </w:pPr>
          </w:p>
        </w:tc>
        <w:tc>
          <w:tcPr>
            <w:tcW w:w="838" w:type="dxa"/>
            <w:vAlign w:val="center"/>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jc w:val="center"/>
              <w:rPr>
                <w:rFonts w:ascii="宋体" w:hAnsi="宋体"/>
                <w:sz w:val="18"/>
                <w:szCs w:val="21"/>
              </w:rPr>
            </w:pPr>
            <w:r>
              <w:rPr>
                <w:rFonts w:hint="eastAsia" w:ascii="宋体" w:hAnsi="宋体"/>
                <w:sz w:val="18"/>
                <w:szCs w:val="21"/>
              </w:rPr>
              <w:t>3</w:t>
            </w:r>
          </w:p>
        </w:tc>
        <w:tc>
          <w:tcPr>
            <w:tcW w:w="1883" w:type="dxa"/>
            <w:gridSpan w:val="2"/>
            <w:vAlign w:val="center"/>
          </w:tcPr>
          <w:p>
            <w:pPr>
              <w:snapToGrid w:val="0"/>
              <w:jc w:val="center"/>
              <w:rPr>
                <w:rFonts w:ascii="宋体" w:hAnsi="宋体"/>
                <w:sz w:val="18"/>
                <w:szCs w:val="21"/>
              </w:rPr>
            </w:pPr>
            <w:r>
              <w:rPr>
                <w:rFonts w:hint="eastAsia" w:ascii="宋体" w:hAnsi="宋体"/>
                <w:sz w:val="18"/>
                <w:szCs w:val="21"/>
              </w:rPr>
              <w:t>企业安全生产许可证</w:t>
            </w:r>
          </w:p>
        </w:tc>
        <w:tc>
          <w:tcPr>
            <w:tcW w:w="3655" w:type="dxa"/>
            <w:vAlign w:val="center"/>
          </w:tcPr>
          <w:p>
            <w:pPr>
              <w:snapToGrid w:val="0"/>
              <w:rPr>
                <w:rFonts w:ascii="宋体" w:hAnsi="宋体"/>
                <w:sz w:val="18"/>
                <w:szCs w:val="21"/>
              </w:rPr>
            </w:pPr>
            <w:r>
              <w:rPr>
                <w:rFonts w:hint="eastAsia" w:ascii="宋体" w:hAnsi="宋体"/>
                <w:sz w:val="18"/>
                <w:szCs w:val="21"/>
              </w:rPr>
              <w:t>是否具备有效的安全生产许可证</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jc w:val="center"/>
              <w:rPr>
                <w:rFonts w:ascii="宋体" w:hAnsi="宋体"/>
                <w:sz w:val="18"/>
                <w:szCs w:val="21"/>
              </w:rPr>
            </w:pPr>
            <w:r>
              <w:rPr>
                <w:rFonts w:hint="eastAsia" w:ascii="宋体" w:hAnsi="宋体"/>
                <w:sz w:val="18"/>
                <w:szCs w:val="21"/>
              </w:rPr>
              <w:t>4</w:t>
            </w:r>
          </w:p>
        </w:tc>
        <w:tc>
          <w:tcPr>
            <w:tcW w:w="1883" w:type="dxa"/>
            <w:gridSpan w:val="2"/>
            <w:vAlign w:val="center"/>
          </w:tcPr>
          <w:p>
            <w:pPr>
              <w:snapToGrid w:val="0"/>
              <w:jc w:val="center"/>
              <w:rPr>
                <w:rFonts w:ascii="宋体" w:hAnsi="宋体"/>
                <w:sz w:val="18"/>
                <w:szCs w:val="21"/>
              </w:rPr>
            </w:pPr>
            <w:r>
              <w:rPr>
                <w:rFonts w:hint="eastAsia" w:ascii="宋体" w:hAnsi="宋体"/>
                <w:sz w:val="18"/>
                <w:szCs w:val="21"/>
              </w:rPr>
              <w:t>入湘施工</w:t>
            </w:r>
          </w:p>
          <w:p>
            <w:pPr>
              <w:snapToGrid w:val="0"/>
              <w:jc w:val="center"/>
              <w:rPr>
                <w:rFonts w:ascii="宋体" w:hAnsi="宋体"/>
                <w:sz w:val="18"/>
                <w:szCs w:val="21"/>
              </w:rPr>
            </w:pPr>
            <w:r>
              <w:rPr>
                <w:rFonts w:hint="eastAsia" w:ascii="宋体" w:hAnsi="宋体"/>
                <w:sz w:val="18"/>
                <w:szCs w:val="21"/>
              </w:rPr>
              <w:t>登记（仅省外企业）</w:t>
            </w:r>
          </w:p>
        </w:tc>
        <w:tc>
          <w:tcPr>
            <w:tcW w:w="3655" w:type="dxa"/>
            <w:vAlign w:val="center"/>
          </w:tcPr>
          <w:p>
            <w:pPr>
              <w:snapToGrid w:val="0"/>
              <w:rPr>
                <w:rFonts w:ascii="宋体" w:hAnsi="宋体"/>
                <w:sz w:val="18"/>
                <w:szCs w:val="21"/>
              </w:rPr>
            </w:pPr>
            <w:r>
              <w:rPr>
                <w:rFonts w:hint="eastAsia" w:ascii="宋体" w:hAnsi="宋体"/>
                <w:color w:val="000000"/>
                <w:sz w:val="18"/>
              </w:rPr>
              <w:t>湖南省外企业按照湘建建【2015】190号文件要求办理省外入湘企业基本情况登记（以“湖南省住房和城乡建设网”查询为准</w:t>
            </w:r>
            <w:r>
              <w:rPr>
                <w:rFonts w:hint="eastAsia" w:ascii="宋体" w:hAnsi="宋体"/>
                <w:color w:val="000000"/>
                <w:sz w:val="18"/>
                <w:szCs w:val="18"/>
              </w:rPr>
              <w:t>，且查询结果与其投标信息一致</w:t>
            </w:r>
            <w:r>
              <w:rPr>
                <w:rFonts w:hint="eastAsia" w:ascii="宋体" w:hAnsi="宋体"/>
                <w:color w:val="000000"/>
                <w:sz w:val="18"/>
              </w:rPr>
              <w:t>）或具有入湘施工登记证（处于有效期内）。</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jc w:val="center"/>
              <w:rPr>
                <w:rFonts w:ascii="宋体" w:hAnsi="宋体"/>
                <w:sz w:val="18"/>
                <w:szCs w:val="21"/>
              </w:rPr>
            </w:pPr>
            <w:r>
              <w:rPr>
                <w:rFonts w:hint="eastAsia" w:ascii="宋体" w:hAnsi="宋体"/>
                <w:sz w:val="18"/>
                <w:szCs w:val="21"/>
              </w:rPr>
              <w:t>5</w:t>
            </w:r>
          </w:p>
        </w:tc>
        <w:tc>
          <w:tcPr>
            <w:tcW w:w="1883" w:type="dxa"/>
            <w:gridSpan w:val="2"/>
            <w:vAlign w:val="center"/>
          </w:tcPr>
          <w:p>
            <w:pPr>
              <w:snapToGrid w:val="0"/>
              <w:jc w:val="center"/>
              <w:rPr>
                <w:rFonts w:ascii="宋体" w:hAnsi="宋体"/>
                <w:sz w:val="18"/>
                <w:szCs w:val="21"/>
              </w:rPr>
            </w:pPr>
            <w:r>
              <w:rPr>
                <w:rFonts w:hint="eastAsia" w:ascii="宋体" w:hAnsi="宋体"/>
                <w:sz w:val="18"/>
                <w:szCs w:val="21"/>
              </w:rPr>
              <w:t>信誉</w:t>
            </w:r>
          </w:p>
        </w:tc>
        <w:tc>
          <w:tcPr>
            <w:tcW w:w="3655" w:type="dxa"/>
            <w:vAlign w:val="center"/>
          </w:tcPr>
          <w:p>
            <w:pPr>
              <w:snapToGrid w:val="0"/>
              <w:rPr>
                <w:rFonts w:ascii="宋体" w:hAnsi="宋体"/>
                <w:sz w:val="18"/>
                <w:szCs w:val="21"/>
              </w:rPr>
            </w:pPr>
            <w:r>
              <w:rPr>
                <w:rFonts w:hint="eastAsia" w:ascii="宋体" w:hAnsi="宋体"/>
                <w:sz w:val="18"/>
                <w:szCs w:val="21"/>
              </w:rPr>
              <w:t>在最近三年内是否有骗取中标或严重违约的情形</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restart"/>
            <w:vAlign w:val="center"/>
          </w:tcPr>
          <w:p>
            <w:pPr>
              <w:snapToGrid w:val="0"/>
              <w:jc w:val="center"/>
              <w:rPr>
                <w:rFonts w:ascii="宋体" w:hAnsi="宋体"/>
                <w:sz w:val="18"/>
                <w:szCs w:val="21"/>
              </w:rPr>
            </w:pPr>
            <w:r>
              <w:rPr>
                <w:rFonts w:hint="eastAsia" w:ascii="宋体" w:hAnsi="宋体"/>
                <w:sz w:val="18"/>
                <w:szCs w:val="21"/>
              </w:rPr>
              <w:t>6</w:t>
            </w:r>
          </w:p>
        </w:tc>
        <w:tc>
          <w:tcPr>
            <w:tcW w:w="639" w:type="dxa"/>
            <w:vMerge w:val="restart"/>
            <w:vAlign w:val="center"/>
          </w:tcPr>
          <w:p>
            <w:pPr>
              <w:snapToGrid w:val="0"/>
              <w:jc w:val="center"/>
              <w:rPr>
                <w:rFonts w:ascii="宋体" w:hAnsi="宋体"/>
                <w:sz w:val="18"/>
                <w:szCs w:val="21"/>
              </w:rPr>
            </w:pPr>
            <w:r>
              <w:rPr>
                <w:rFonts w:hint="eastAsia" w:ascii="宋体" w:hAnsi="宋体"/>
                <w:sz w:val="18"/>
                <w:szCs w:val="21"/>
              </w:rPr>
              <w:t>关键岗位人员</w:t>
            </w:r>
          </w:p>
        </w:tc>
        <w:tc>
          <w:tcPr>
            <w:tcW w:w="1244" w:type="dxa"/>
            <w:vAlign w:val="center"/>
          </w:tcPr>
          <w:p>
            <w:pPr>
              <w:snapToGrid w:val="0"/>
              <w:jc w:val="center"/>
              <w:rPr>
                <w:rFonts w:ascii="宋体" w:hAnsi="宋体"/>
                <w:sz w:val="18"/>
                <w:szCs w:val="21"/>
              </w:rPr>
            </w:pPr>
            <w:r>
              <w:rPr>
                <w:rFonts w:hint="eastAsia" w:ascii="宋体" w:hAnsi="宋体"/>
                <w:sz w:val="18"/>
                <w:szCs w:val="21"/>
              </w:rPr>
              <w:t>项目负责人</w:t>
            </w:r>
          </w:p>
        </w:tc>
        <w:tc>
          <w:tcPr>
            <w:tcW w:w="3655" w:type="dxa"/>
            <w:vAlign w:val="center"/>
          </w:tcPr>
          <w:p>
            <w:pPr>
              <w:snapToGrid w:val="0"/>
              <w:rPr>
                <w:rFonts w:ascii="宋体" w:hAnsi="宋体"/>
                <w:sz w:val="18"/>
                <w:szCs w:val="21"/>
              </w:rPr>
            </w:pPr>
            <w:r>
              <w:rPr>
                <w:rFonts w:hint="eastAsia" w:ascii="宋体" w:hAnsi="宋体"/>
                <w:sz w:val="18"/>
              </w:rPr>
              <w:t>项目负责人是否具备</w:t>
            </w:r>
            <w:r>
              <w:rPr>
                <w:rFonts w:hint="eastAsia" w:ascii="宋体" w:hAnsi="宋体"/>
                <w:sz w:val="18"/>
                <w:u w:val="single"/>
              </w:rPr>
              <w:t>建筑工程</w:t>
            </w:r>
            <w:r>
              <w:rPr>
                <w:rFonts w:hint="eastAsia" w:ascii="宋体" w:hAnsi="宋体"/>
                <w:sz w:val="18"/>
              </w:rPr>
              <w:t>专业二级及以上注册建造师资格，是否具备有效的B类安全生产考核合格证书</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rPr>
            </w:pPr>
            <w:r>
              <w:rPr>
                <w:rFonts w:hint="eastAsia" w:ascii="宋体" w:hAnsi="宋体"/>
                <w:sz w:val="18"/>
              </w:rPr>
              <w:t>技术负责人</w:t>
            </w:r>
          </w:p>
        </w:tc>
        <w:tc>
          <w:tcPr>
            <w:tcW w:w="3655" w:type="dxa"/>
            <w:vAlign w:val="center"/>
          </w:tcPr>
          <w:p>
            <w:pPr>
              <w:snapToGrid w:val="0"/>
              <w:rPr>
                <w:rFonts w:ascii="宋体" w:hAnsi="宋体"/>
                <w:sz w:val="18"/>
              </w:rPr>
            </w:pPr>
            <w:r>
              <w:rPr>
                <w:rFonts w:hint="eastAsia" w:ascii="宋体" w:hAnsi="宋体"/>
                <w:sz w:val="18"/>
              </w:rPr>
              <w:t>技术负责人是否具有</w:t>
            </w:r>
            <w:r>
              <w:rPr>
                <w:rFonts w:hint="eastAsia" w:ascii="宋体" w:hAnsi="宋体"/>
                <w:sz w:val="18"/>
                <w:u w:val="single"/>
              </w:rPr>
              <w:t>建筑工程相关</w:t>
            </w:r>
            <w:r>
              <w:rPr>
                <w:rFonts w:hint="eastAsia" w:ascii="宋体" w:hAnsi="宋体"/>
                <w:sz w:val="18"/>
              </w:rPr>
              <w:t>专业</w:t>
            </w:r>
            <w:r>
              <w:rPr>
                <w:rFonts w:hint="eastAsia" w:ascii="宋体" w:hAnsi="宋体"/>
                <w:sz w:val="18"/>
                <w:u w:val="single"/>
              </w:rPr>
              <w:t>中级职称</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施工员</w:t>
            </w:r>
          </w:p>
        </w:tc>
        <w:tc>
          <w:tcPr>
            <w:tcW w:w="3655" w:type="dxa"/>
            <w:vAlign w:val="center"/>
          </w:tcPr>
          <w:p>
            <w:pPr>
              <w:snapToGrid w:val="0"/>
              <w:rPr>
                <w:rFonts w:ascii="宋体" w:hAnsi="宋体"/>
                <w:sz w:val="18"/>
              </w:rPr>
            </w:pPr>
            <w:r>
              <w:rPr>
                <w:rFonts w:hint="eastAsia" w:ascii="宋体" w:hAnsi="宋体"/>
                <w:sz w:val="18"/>
              </w:rPr>
              <w:t>是否具有</w:t>
            </w:r>
            <w:r>
              <w:rPr>
                <w:rFonts w:hint="eastAsia" w:ascii="宋体" w:hAnsi="宋体"/>
                <w:sz w:val="18"/>
                <w:u w:val="single"/>
              </w:rPr>
              <w:t>施工员</w:t>
            </w:r>
            <w:r>
              <w:rPr>
                <w:rFonts w:hint="eastAsia" w:ascii="宋体" w:hAnsi="宋体"/>
                <w:sz w:val="18"/>
              </w:rPr>
              <w:t>岗位资格证书</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安全员</w:t>
            </w:r>
          </w:p>
        </w:tc>
        <w:tc>
          <w:tcPr>
            <w:tcW w:w="3655" w:type="dxa"/>
            <w:vAlign w:val="center"/>
          </w:tcPr>
          <w:p>
            <w:pPr>
              <w:snapToGrid w:val="0"/>
              <w:rPr>
                <w:rFonts w:ascii="宋体" w:hAnsi="宋体"/>
                <w:sz w:val="18"/>
              </w:rPr>
            </w:pPr>
            <w:r>
              <w:rPr>
                <w:rFonts w:hint="eastAsia" w:ascii="宋体" w:hAnsi="宋体"/>
                <w:sz w:val="18"/>
              </w:rPr>
              <w:t>是否具有安全员</w:t>
            </w:r>
            <w:r>
              <w:rPr>
                <w:rFonts w:hint="eastAsia" w:ascii="宋体" w:hAnsi="宋体"/>
                <w:sz w:val="18"/>
                <w:szCs w:val="21"/>
              </w:rPr>
              <w:t>岗位资格证书、</w:t>
            </w:r>
            <w:r>
              <w:rPr>
                <w:rFonts w:hint="eastAsia" w:ascii="宋体" w:hAnsi="宋体"/>
                <w:sz w:val="18"/>
              </w:rPr>
              <w:t>安全考核合格证书C证</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质量员</w:t>
            </w:r>
          </w:p>
        </w:tc>
        <w:tc>
          <w:tcPr>
            <w:tcW w:w="3655" w:type="dxa"/>
            <w:vAlign w:val="center"/>
          </w:tcPr>
          <w:p>
            <w:pPr>
              <w:snapToGrid w:val="0"/>
              <w:rPr>
                <w:rFonts w:ascii="宋体" w:hAnsi="宋体"/>
                <w:sz w:val="18"/>
              </w:rPr>
            </w:pPr>
            <w:r>
              <w:rPr>
                <w:rFonts w:hint="eastAsia" w:ascii="宋体" w:hAnsi="宋体"/>
                <w:sz w:val="18"/>
              </w:rPr>
              <w:t>是否具有</w:t>
            </w:r>
            <w:r>
              <w:rPr>
                <w:rFonts w:hint="eastAsia" w:ascii="宋体" w:hAnsi="宋体"/>
                <w:sz w:val="18"/>
                <w:u w:val="single"/>
              </w:rPr>
              <w:t>质量员</w:t>
            </w:r>
            <w:r>
              <w:rPr>
                <w:rFonts w:hint="eastAsia" w:ascii="宋体" w:hAnsi="宋体"/>
                <w:sz w:val="18"/>
              </w:rPr>
              <w:t>岗位资格证书</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18"/>
              </w:rPr>
              <w:t>养老保险</w:t>
            </w:r>
            <w:r>
              <w:rPr>
                <w:rFonts w:hint="eastAsia" w:ascii="宋体" w:hAnsi="宋体"/>
                <w:sz w:val="18"/>
                <w:szCs w:val="21"/>
              </w:rPr>
              <w:t>证明</w:t>
            </w:r>
          </w:p>
        </w:tc>
        <w:tc>
          <w:tcPr>
            <w:tcW w:w="3655" w:type="dxa"/>
            <w:vAlign w:val="center"/>
          </w:tcPr>
          <w:p>
            <w:pPr>
              <w:snapToGrid w:val="0"/>
              <w:rPr>
                <w:rFonts w:ascii="宋体" w:hAnsi="宋体"/>
                <w:sz w:val="18"/>
              </w:rPr>
            </w:pPr>
            <w:r>
              <w:rPr>
                <w:rFonts w:hint="eastAsia" w:ascii="宋体" w:hAnsi="宋体"/>
                <w:sz w:val="18"/>
              </w:rPr>
              <w:t>是否提供近</w:t>
            </w:r>
            <w:r>
              <w:rPr>
                <w:rFonts w:hint="eastAsia" w:ascii="宋体" w:hAnsi="宋体"/>
                <w:sz w:val="18"/>
                <w:u w:val="single"/>
              </w:rPr>
              <w:t>3</w:t>
            </w:r>
            <w:r>
              <w:rPr>
                <w:rFonts w:hint="eastAsia" w:ascii="宋体" w:hAnsi="宋体"/>
                <w:sz w:val="18"/>
              </w:rPr>
              <w:t>个月（2019年</w:t>
            </w:r>
            <w:r>
              <w:rPr>
                <w:rFonts w:hint="eastAsia" w:ascii="宋体" w:hAnsi="宋体"/>
                <w:sz w:val="18"/>
                <w:lang w:val="en-US" w:eastAsia="zh-CN"/>
              </w:rPr>
              <w:t>7</w:t>
            </w:r>
            <w:r>
              <w:rPr>
                <w:rFonts w:hint="eastAsia" w:ascii="宋体" w:hAnsi="宋体"/>
                <w:sz w:val="18"/>
              </w:rPr>
              <w:t>月-2019年</w:t>
            </w:r>
            <w:r>
              <w:rPr>
                <w:rFonts w:hint="eastAsia" w:ascii="宋体" w:hAnsi="宋体"/>
                <w:sz w:val="18"/>
                <w:lang w:val="en-US" w:eastAsia="zh-CN"/>
              </w:rPr>
              <w:t>9</w:t>
            </w:r>
            <w:r>
              <w:rPr>
                <w:rFonts w:hint="eastAsia" w:ascii="宋体" w:hAnsi="宋体"/>
                <w:sz w:val="18"/>
              </w:rPr>
              <w:t>月）劳动保障部门出具的社保证明</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Merge w:val="restart"/>
            <w:vAlign w:val="center"/>
          </w:tcPr>
          <w:p>
            <w:pPr>
              <w:snapToGrid w:val="0"/>
              <w:jc w:val="center"/>
              <w:rPr>
                <w:rFonts w:ascii="宋体" w:hAnsi="宋体"/>
                <w:sz w:val="18"/>
                <w:szCs w:val="21"/>
              </w:rPr>
            </w:pPr>
            <w:r>
              <w:rPr>
                <w:rFonts w:hint="eastAsia" w:ascii="宋体" w:hAnsi="宋体"/>
                <w:sz w:val="18"/>
                <w:szCs w:val="21"/>
              </w:rPr>
              <w:t>在建项目情况</w:t>
            </w:r>
          </w:p>
        </w:tc>
        <w:tc>
          <w:tcPr>
            <w:tcW w:w="3655" w:type="dxa"/>
            <w:vAlign w:val="center"/>
          </w:tcPr>
          <w:p>
            <w:pPr>
              <w:snapToGrid w:val="0"/>
              <w:spacing w:line="240" w:lineRule="exact"/>
              <w:rPr>
                <w:rFonts w:ascii="宋体" w:hAnsi="宋体"/>
                <w:sz w:val="18"/>
              </w:rPr>
            </w:pPr>
            <w:r>
              <w:rPr>
                <w:rFonts w:hint="eastAsia" w:ascii="宋体" w:hAnsi="宋体"/>
                <w:sz w:val="18"/>
              </w:rPr>
              <w:t>省内企业关键岗位人员</w:t>
            </w:r>
            <w:r>
              <w:rPr>
                <w:rFonts w:hint="eastAsia" w:ascii="宋体" w:hAnsi="宋体"/>
                <w:color w:val="000000"/>
                <w:sz w:val="18"/>
              </w:rPr>
              <w:t>和省外企业关键岗位人员在湖南省内是否有在建项目</w:t>
            </w:r>
            <w:r>
              <w:rPr>
                <w:rFonts w:hint="eastAsia" w:ascii="宋体" w:hAnsi="宋体"/>
                <w:sz w:val="18"/>
              </w:rPr>
              <w:t>，</w:t>
            </w:r>
            <w:r>
              <w:rPr>
                <w:rFonts w:hint="eastAsia" w:ascii="宋体" w:hAnsi="宋体"/>
                <w:sz w:val="18"/>
                <w:szCs w:val="18"/>
              </w:rPr>
              <w:t>以湖南省建筑工程监管信息平台查验为准</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Merge w:val="continue"/>
            <w:vAlign w:val="center"/>
          </w:tcPr>
          <w:p>
            <w:pPr>
              <w:snapToGrid w:val="0"/>
              <w:jc w:val="center"/>
              <w:rPr>
                <w:rFonts w:ascii="宋体" w:hAnsi="宋体"/>
                <w:sz w:val="18"/>
                <w:szCs w:val="21"/>
              </w:rPr>
            </w:pPr>
          </w:p>
        </w:tc>
        <w:tc>
          <w:tcPr>
            <w:tcW w:w="3655" w:type="dxa"/>
            <w:vAlign w:val="center"/>
          </w:tcPr>
          <w:p>
            <w:pPr>
              <w:snapToGrid w:val="0"/>
              <w:rPr>
                <w:rFonts w:ascii="宋体" w:hAnsi="宋体"/>
                <w:sz w:val="18"/>
                <w:szCs w:val="18"/>
              </w:rPr>
            </w:pPr>
            <w:r>
              <w:rPr>
                <w:rFonts w:hint="eastAsia" w:ascii="宋体" w:hAnsi="宋体"/>
                <w:color w:val="000000"/>
                <w:sz w:val="18"/>
              </w:rPr>
              <w:t>省外企业关键岗位人员是否提供由企业所在地地（市）级及以上建设行政主管部门出具的施工项目部关键岗位人员无在建工程证明（如不能提供无在建证明的，则在投标函部分规定处是否提供其</w:t>
            </w:r>
            <w:r>
              <w:rPr>
                <w:rFonts w:hint="eastAsia" w:ascii="宋体" w:hAnsi="宋体"/>
                <w:sz w:val="18"/>
              </w:rPr>
              <w:t>官方</w:t>
            </w:r>
            <w:r>
              <w:rPr>
                <w:rFonts w:hint="eastAsia" w:ascii="宋体" w:hAnsi="宋体"/>
                <w:color w:val="000000"/>
                <w:sz w:val="18"/>
              </w:rPr>
              <w:t>查询网址及结果）。</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人员配备</w:t>
            </w:r>
          </w:p>
        </w:tc>
        <w:tc>
          <w:tcPr>
            <w:tcW w:w="3655" w:type="dxa"/>
            <w:vAlign w:val="center"/>
          </w:tcPr>
          <w:p>
            <w:pPr>
              <w:snapToGrid w:val="0"/>
              <w:rPr>
                <w:rFonts w:ascii="宋体" w:hAnsi="宋体"/>
                <w:sz w:val="18"/>
              </w:rPr>
            </w:pPr>
            <w:r>
              <w:rPr>
                <w:rFonts w:hint="eastAsia" w:ascii="宋体" w:hAnsi="宋体"/>
                <w:sz w:val="18"/>
              </w:rPr>
              <w:t>关键岗位人员配备是否满足招标文件规定的最低配备标准</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单位名称</w:t>
            </w:r>
          </w:p>
        </w:tc>
        <w:tc>
          <w:tcPr>
            <w:tcW w:w="3655" w:type="dxa"/>
            <w:vAlign w:val="center"/>
          </w:tcPr>
          <w:p>
            <w:pPr>
              <w:snapToGrid w:val="0"/>
              <w:rPr>
                <w:rFonts w:ascii="宋体" w:hAnsi="宋体"/>
                <w:sz w:val="18"/>
              </w:rPr>
            </w:pPr>
            <w:r>
              <w:rPr>
                <w:rFonts w:hint="eastAsia" w:ascii="宋体" w:hAnsi="宋体"/>
                <w:sz w:val="18"/>
                <w:szCs w:val="18"/>
              </w:rPr>
              <w:t>岗位资格证书注明了单位名称的，是否与投标人一致</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省外企业证书真实性</w:t>
            </w:r>
          </w:p>
        </w:tc>
        <w:tc>
          <w:tcPr>
            <w:tcW w:w="3655" w:type="dxa"/>
            <w:vAlign w:val="center"/>
          </w:tcPr>
          <w:p>
            <w:pPr>
              <w:snapToGrid w:val="0"/>
              <w:rPr>
                <w:rFonts w:ascii="宋体" w:hAnsi="宋体"/>
                <w:sz w:val="18"/>
              </w:rPr>
            </w:pPr>
            <w:r>
              <w:rPr>
                <w:rFonts w:hint="eastAsia" w:ascii="宋体" w:hAnsi="宋体"/>
                <w:color w:val="000000"/>
                <w:sz w:val="18"/>
              </w:rPr>
              <w:t>省外企业岗位资格证书（由省外建设主管部门颁发的）是否提供由省级住房和城乡建设主管部门出具的证书真实性证明（如不能提供真实性证明的，则在投标函部分规定处是否提供证书真伪查询官方查询网址及结果）。</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Merge w:val="continue"/>
            <w:vAlign w:val="center"/>
          </w:tcPr>
          <w:p>
            <w:pPr>
              <w:snapToGrid w:val="0"/>
              <w:jc w:val="center"/>
              <w:rPr>
                <w:rFonts w:ascii="宋体" w:hAnsi="宋体"/>
                <w:sz w:val="18"/>
                <w:szCs w:val="21"/>
              </w:rPr>
            </w:pPr>
          </w:p>
        </w:tc>
        <w:tc>
          <w:tcPr>
            <w:tcW w:w="639" w:type="dxa"/>
            <w:vMerge w:val="continue"/>
            <w:vAlign w:val="center"/>
          </w:tcPr>
          <w:p>
            <w:pPr>
              <w:snapToGrid w:val="0"/>
              <w:jc w:val="center"/>
              <w:rPr>
                <w:rFonts w:ascii="宋体" w:hAnsi="宋体"/>
                <w:sz w:val="18"/>
                <w:szCs w:val="21"/>
              </w:rPr>
            </w:pPr>
          </w:p>
        </w:tc>
        <w:tc>
          <w:tcPr>
            <w:tcW w:w="1244" w:type="dxa"/>
            <w:vAlign w:val="center"/>
          </w:tcPr>
          <w:p>
            <w:pPr>
              <w:snapToGrid w:val="0"/>
              <w:jc w:val="center"/>
              <w:rPr>
                <w:rFonts w:ascii="宋体" w:hAnsi="宋体"/>
                <w:sz w:val="18"/>
                <w:szCs w:val="21"/>
              </w:rPr>
            </w:pPr>
            <w:r>
              <w:rPr>
                <w:rFonts w:hint="eastAsia" w:ascii="宋体" w:hAnsi="宋体"/>
                <w:sz w:val="18"/>
                <w:szCs w:val="21"/>
              </w:rPr>
              <w:t>其他</w:t>
            </w:r>
          </w:p>
        </w:tc>
        <w:tc>
          <w:tcPr>
            <w:tcW w:w="3655" w:type="dxa"/>
            <w:vAlign w:val="center"/>
          </w:tcPr>
          <w:p>
            <w:pPr>
              <w:snapToGrid w:val="0"/>
              <w:rPr>
                <w:rFonts w:ascii="宋体" w:hAnsi="宋体"/>
                <w:sz w:val="18"/>
              </w:rPr>
            </w:pPr>
            <w:r>
              <w:rPr>
                <w:rFonts w:hint="eastAsia" w:ascii="宋体" w:hAnsi="宋体"/>
                <w:sz w:val="18"/>
              </w:rPr>
              <w:t>由招标人根据情况补充</w:t>
            </w:r>
          </w:p>
        </w:tc>
        <w:tc>
          <w:tcPr>
            <w:tcW w:w="653" w:type="dxa"/>
            <w:vAlign w:val="center"/>
          </w:tcPr>
          <w:p>
            <w:pPr>
              <w:snapToGrid w:val="0"/>
              <w:rPr>
                <w:rFonts w:ascii="宋体" w:hAnsi="宋体"/>
                <w:sz w:val="18"/>
                <w:szCs w:val="21"/>
              </w:rPr>
            </w:pP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7" w:type="dxa"/>
            <w:vAlign w:val="center"/>
          </w:tcPr>
          <w:p>
            <w:pPr>
              <w:snapToGrid w:val="0"/>
              <w:spacing w:line="240" w:lineRule="exact"/>
              <w:jc w:val="center"/>
              <w:rPr>
                <w:rFonts w:ascii="宋体" w:hAnsi="宋体"/>
                <w:sz w:val="18"/>
                <w:szCs w:val="21"/>
              </w:rPr>
            </w:pPr>
            <w:r>
              <w:rPr>
                <w:rFonts w:hint="eastAsia" w:ascii="宋体" w:hAnsi="宋体"/>
                <w:sz w:val="18"/>
                <w:szCs w:val="21"/>
              </w:rPr>
              <w:t>7</w:t>
            </w:r>
          </w:p>
        </w:tc>
        <w:tc>
          <w:tcPr>
            <w:tcW w:w="1883" w:type="dxa"/>
            <w:gridSpan w:val="2"/>
            <w:vAlign w:val="center"/>
          </w:tcPr>
          <w:p>
            <w:pPr>
              <w:spacing w:line="240" w:lineRule="exact"/>
              <w:jc w:val="center"/>
              <w:rPr>
                <w:rFonts w:ascii="宋体" w:hAnsi="宋体"/>
                <w:sz w:val="18"/>
              </w:rPr>
            </w:pPr>
            <w:r>
              <w:rPr>
                <w:rFonts w:hint="eastAsia" w:ascii="宋体" w:hAnsi="宋体"/>
                <w:sz w:val="18"/>
              </w:rPr>
              <w:t>投标保证金</w:t>
            </w:r>
          </w:p>
        </w:tc>
        <w:tc>
          <w:tcPr>
            <w:tcW w:w="3655" w:type="dxa"/>
            <w:vAlign w:val="center"/>
          </w:tcPr>
          <w:p>
            <w:pPr>
              <w:pStyle w:val="52"/>
              <w:spacing w:line="240" w:lineRule="exact"/>
              <w:rPr>
                <w:rFonts w:ascii="宋体" w:hAnsi="宋体"/>
                <w:sz w:val="18"/>
              </w:rPr>
            </w:pPr>
            <w:r>
              <w:rPr>
                <w:rFonts w:hint="eastAsia" w:ascii="宋体" w:hAnsi="宋体"/>
                <w:sz w:val="18"/>
              </w:rPr>
              <w:t>投标保证金金额、提交方式、到账时间等是否符合第二章“投标人须知”第3.4.1项规定</w:t>
            </w:r>
          </w:p>
        </w:tc>
        <w:tc>
          <w:tcPr>
            <w:tcW w:w="653" w:type="dxa"/>
            <w:vAlign w:val="center"/>
          </w:tcPr>
          <w:p>
            <w:pPr>
              <w:snapToGrid w:val="0"/>
              <w:rPr>
                <w:rFonts w:ascii="宋体" w:hAnsi="宋体"/>
                <w:sz w:val="18"/>
              </w:rPr>
            </w:pPr>
          </w:p>
        </w:tc>
        <w:tc>
          <w:tcPr>
            <w:tcW w:w="639" w:type="dxa"/>
            <w:vAlign w:val="center"/>
          </w:tcPr>
          <w:p>
            <w:pPr>
              <w:pStyle w:val="52"/>
              <w:rPr>
                <w:rFonts w:ascii="宋体" w:hAnsi="宋体"/>
                <w:sz w:val="18"/>
              </w:rPr>
            </w:pPr>
          </w:p>
        </w:tc>
        <w:tc>
          <w:tcPr>
            <w:tcW w:w="838"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jc w:val="center"/>
        </w:trPr>
        <w:tc>
          <w:tcPr>
            <w:tcW w:w="6798" w:type="dxa"/>
            <w:gridSpan w:val="5"/>
            <w:vAlign w:val="center"/>
          </w:tcPr>
          <w:p>
            <w:pPr>
              <w:snapToGrid w:val="0"/>
              <w:rPr>
                <w:rFonts w:ascii="宋体" w:hAnsi="宋体"/>
                <w:sz w:val="18"/>
                <w:szCs w:val="21"/>
              </w:rPr>
            </w:pPr>
            <w:r>
              <w:rPr>
                <w:rFonts w:hint="eastAsia" w:ascii="宋体" w:hAnsi="宋体"/>
                <w:sz w:val="18"/>
              </w:rPr>
              <w:t>评审结论（合格或不合格）</w:t>
            </w:r>
          </w:p>
        </w:tc>
        <w:tc>
          <w:tcPr>
            <w:tcW w:w="639" w:type="dxa"/>
            <w:vAlign w:val="center"/>
          </w:tcPr>
          <w:p>
            <w:pPr>
              <w:jc w:val="center"/>
              <w:rPr>
                <w:rFonts w:ascii="宋体" w:hAnsi="宋体"/>
                <w:sz w:val="18"/>
                <w:szCs w:val="21"/>
              </w:rPr>
            </w:pPr>
          </w:p>
        </w:tc>
        <w:tc>
          <w:tcPr>
            <w:tcW w:w="838" w:type="dxa"/>
            <w:vAlign w:val="center"/>
          </w:tcPr>
          <w:p>
            <w:pPr>
              <w:jc w:val="center"/>
              <w:rPr>
                <w:rFonts w:ascii="宋体" w:hAnsi="宋体"/>
                <w:sz w:val="18"/>
                <w:szCs w:val="21"/>
              </w:rPr>
            </w:pPr>
          </w:p>
        </w:tc>
      </w:tr>
    </w:tbl>
    <w:p>
      <w:pPr>
        <w:spacing w:afterLines="50" w:line="300" w:lineRule="auto"/>
        <w:jc w:val="left"/>
        <w:rPr>
          <w:rFonts w:ascii="宋体" w:hAnsi="宋体"/>
          <w:szCs w:val="21"/>
        </w:rPr>
      </w:pPr>
      <w:r>
        <w:rPr>
          <w:rFonts w:hint="eastAsia" w:ascii="宋体" w:hAnsi="宋体"/>
          <w:szCs w:val="21"/>
        </w:rPr>
        <w:t>评标委员会全体成员签字/日期：</w:t>
      </w:r>
    </w:p>
    <w:p>
      <w:pPr>
        <w:spacing w:line="300" w:lineRule="auto"/>
        <w:rPr>
          <w:sz w:val="18"/>
          <w:szCs w:val="18"/>
        </w:rPr>
      </w:pPr>
      <w:r>
        <w:rPr>
          <w:rFonts w:hint="eastAsia"/>
          <w:sz w:val="18"/>
          <w:szCs w:val="18"/>
        </w:rPr>
        <w:t>注：已实行开标前资格审查的，</w:t>
      </w:r>
      <w:r>
        <w:rPr>
          <w:rFonts w:hint="eastAsia" w:ascii="宋体" w:hAnsi="宋体"/>
          <w:sz w:val="18"/>
          <w:szCs w:val="18"/>
        </w:rPr>
        <w:t>且同一内容已审查并没有更新的</w:t>
      </w:r>
      <w:r>
        <w:rPr>
          <w:rFonts w:hint="eastAsia"/>
          <w:sz w:val="18"/>
          <w:szCs w:val="18"/>
        </w:rPr>
        <w:t>，本表内容可不作评审；如投标人资格申请文件的内容发生重大变化时，应根据本表内容对其更新的资料进行评审。</w:t>
      </w:r>
    </w:p>
    <w:p>
      <w:pPr>
        <w:spacing w:beforeLines="50" w:afterLines="50" w:line="440" w:lineRule="exact"/>
        <w:jc w:val="left"/>
        <w:rPr>
          <w:rFonts w:ascii="宋体" w:hAnsi="宋体"/>
          <w:szCs w:val="21"/>
        </w:rPr>
        <w:sectPr>
          <w:footerReference r:id="rId9" w:type="default"/>
          <w:pgSz w:w="11906" w:h="16838"/>
          <w:pgMar w:top="1304" w:right="1304" w:bottom="1304" w:left="1701" w:header="851" w:footer="992" w:gutter="0"/>
          <w:cols w:space="720" w:num="1"/>
          <w:docGrid w:linePitch="312" w:charSpace="0"/>
        </w:sectPr>
      </w:pPr>
    </w:p>
    <w:p>
      <w:pPr>
        <w:pStyle w:val="6"/>
        <w:spacing w:line="460" w:lineRule="exact"/>
        <w:rPr>
          <w:rFonts w:ascii="黑体" w:hAnsi="黑体" w:eastAsia="黑体"/>
          <w:b w:val="0"/>
          <w:bCs w:val="0"/>
          <w:sz w:val="24"/>
        </w:rPr>
      </w:pPr>
      <w:bookmarkStart w:id="176" w:name="_Toc300678111"/>
      <w:r>
        <w:rPr>
          <w:rFonts w:hint="eastAsia" w:ascii="黑体" w:hAnsi="黑体" w:eastAsia="黑体"/>
          <w:b w:val="0"/>
          <w:bCs w:val="0"/>
          <w:sz w:val="24"/>
        </w:rPr>
        <w:t>附表3-6：响应性评审记录表</w:t>
      </w:r>
      <w:bookmarkEnd w:id="176"/>
    </w:p>
    <w:p>
      <w:pPr>
        <w:spacing w:beforeLines="50" w:afterLines="50" w:line="460" w:lineRule="exact"/>
        <w:jc w:val="center"/>
        <w:rPr>
          <w:rFonts w:ascii="黑体" w:eastAsia="黑体"/>
          <w:sz w:val="28"/>
          <w:szCs w:val="28"/>
        </w:rPr>
      </w:pPr>
      <w:r>
        <w:rPr>
          <w:rFonts w:hint="eastAsia" w:ascii="黑体" w:eastAsia="黑体"/>
          <w:sz w:val="28"/>
          <w:szCs w:val="28"/>
        </w:rPr>
        <w:t>响应性评审记录表</w:t>
      </w:r>
    </w:p>
    <w:p>
      <w:pPr>
        <w:spacing w:afterLines="30" w:line="460" w:lineRule="exact"/>
        <w:rPr>
          <w:rFonts w:ascii="宋体" w:hAnsi="宋体"/>
        </w:rPr>
      </w:pPr>
      <w:r>
        <w:rPr>
          <w:rFonts w:hint="eastAsia" w:ascii="宋体" w:hAnsi="宋体"/>
        </w:rPr>
        <w:t>工程名称：（项目名称）标段</w:t>
      </w:r>
    </w:p>
    <w:tbl>
      <w:tblPr>
        <w:tblStyle w:val="42"/>
        <w:tblW w:w="1318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328"/>
        <w:gridCol w:w="4056"/>
        <w:gridCol w:w="799"/>
        <w:gridCol w:w="900"/>
        <w:gridCol w:w="897"/>
        <w:gridCol w:w="900"/>
        <w:gridCol w:w="900"/>
        <w:gridCol w:w="900"/>
        <w:gridCol w:w="900"/>
        <w:gridCol w:w="10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00" w:type="dxa"/>
            <w:vMerge w:val="restart"/>
            <w:vAlign w:val="center"/>
          </w:tcPr>
          <w:p>
            <w:pPr>
              <w:snapToGrid w:val="0"/>
              <w:jc w:val="center"/>
              <w:rPr>
                <w:rFonts w:ascii="宋体" w:hAnsi="宋体"/>
                <w:sz w:val="18"/>
              </w:rPr>
            </w:pPr>
            <w:r>
              <w:rPr>
                <w:rFonts w:hint="eastAsia" w:ascii="宋体" w:hAnsi="宋体"/>
                <w:sz w:val="18"/>
              </w:rPr>
              <w:t>序号</w:t>
            </w:r>
          </w:p>
        </w:tc>
        <w:tc>
          <w:tcPr>
            <w:tcW w:w="5384" w:type="dxa"/>
            <w:gridSpan w:val="2"/>
            <w:vMerge w:val="restart"/>
            <w:vAlign w:val="center"/>
          </w:tcPr>
          <w:p>
            <w:pPr>
              <w:spacing w:line="440" w:lineRule="exact"/>
              <w:jc w:val="center"/>
              <w:rPr>
                <w:rFonts w:ascii="宋体" w:hAnsi="宋体"/>
                <w:sz w:val="18"/>
              </w:rPr>
            </w:pPr>
            <w:r>
              <w:rPr>
                <w:rFonts w:hint="eastAsia" w:ascii="宋体" w:hAnsi="宋体"/>
                <w:sz w:val="18"/>
              </w:rPr>
              <w:t>评审因素</w:t>
            </w:r>
          </w:p>
        </w:tc>
        <w:tc>
          <w:tcPr>
            <w:tcW w:w="7198" w:type="dxa"/>
            <w:gridSpan w:val="8"/>
            <w:vAlign w:val="center"/>
          </w:tcPr>
          <w:p>
            <w:pPr>
              <w:spacing w:line="440" w:lineRule="exact"/>
              <w:jc w:val="center"/>
              <w:rPr>
                <w:rFonts w:ascii="宋体" w:hAnsi="宋体"/>
                <w:sz w:val="18"/>
              </w:rPr>
            </w:pPr>
            <w:r>
              <w:rPr>
                <w:rFonts w:hint="eastAsia" w:ascii="宋体" w:hAnsi="宋体"/>
                <w:sz w:val="18"/>
              </w:rPr>
              <w:t>投标人名称及评审意见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8" w:hRule="exact"/>
          <w:jc w:val="center"/>
        </w:trPr>
        <w:tc>
          <w:tcPr>
            <w:tcW w:w="600" w:type="dxa"/>
            <w:vMerge w:val="continue"/>
            <w:vAlign w:val="center"/>
          </w:tcPr>
          <w:p>
            <w:pPr>
              <w:spacing w:line="440" w:lineRule="exact"/>
              <w:jc w:val="center"/>
              <w:rPr>
                <w:rFonts w:ascii="宋体" w:hAnsi="宋体"/>
                <w:sz w:val="18"/>
              </w:rPr>
            </w:pPr>
          </w:p>
        </w:tc>
        <w:tc>
          <w:tcPr>
            <w:tcW w:w="5384" w:type="dxa"/>
            <w:gridSpan w:val="2"/>
            <w:vMerge w:val="continue"/>
            <w:vAlign w:val="center"/>
          </w:tcPr>
          <w:p>
            <w:pPr>
              <w:spacing w:line="440" w:lineRule="exact"/>
              <w:jc w:val="center"/>
              <w:rPr>
                <w:rFonts w:ascii="宋体" w:hAnsi="宋体"/>
                <w:sz w:val="18"/>
              </w:rPr>
            </w:pP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600" w:type="dxa"/>
            <w:vAlign w:val="center"/>
          </w:tcPr>
          <w:p>
            <w:pPr>
              <w:spacing w:line="440" w:lineRule="exact"/>
              <w:jc w:val="center"/>
              <w:rPr>
                <w:rFonts w:ascii="宋体" w:hAnsi="宋体"/>
                <w:sz w:val="18"/>
              </w:rPr>
            </w:pPr>
            <w:r>
              <w:rPr>
                <w:rFonts w:hint="eastAsia" w:ascii="宋体" w:hAnsi="宋体"/>
                <w:sz w:val="18"/>
              </w:rPr>
              <w:t>1</w:t>
            </w:r>
          </w:p>
        </w:tc>
        <w:tc>
          <w:tcPr>
            <w:tcW w:w="1328" w:type="dxa"/>
            <w:vAlign w:val="center"/>
          </w:tcPr>
          <w:p>
            <w:pPr>
              <w:jc w:val="center"/>
              <w:rPr>
                <w:rFonts w:ascii="宋体" w:hAnsi="宋体"/>
                <w:sz w:val="18"/>
              </w:rPr>
            </w:pPr>
            <w:r>
              <w:rPr>
                <w:rFonts w:hint="eastAsia" w:ascii="宋体" w:hAnsi="宋体"/>
                <w:sz w:val="18"/>
              </w:rPr>
              <w:t>投标内容</w:t>
            </w:r>
          </w:p>
        </w:tc>
        <w:tc>
          <w:tcPr>
            <w:tcW w:w="4056" w:type="dxa"/>
            <w:vAlign w:val="center"/>
          </w:tcPr>
          <w:p>
            <w:pPr>
              <w:adjustRightInd w:val="0"/>
              <w:snapToGrid w:val="0"/>
              <w:rPr>
                <w:rFonts w:ascii="宋体" w:hAnsi="宋体"/>
                <w:sz w:val="18"/>
              </w:rPr>
            </w:pPr>
            <w:r>
              <w:rPr>
                <w:rFonts w:hint="eastAsia" w:ascii="宋体" w:hAnsi="宋体"/>
                <w:sz w:val="18"/>
              </w:rPr>
              <w:t>投标文件载明的投标范围是否小于招标文件规定的招标范围</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9" w:hRule="exact"/>
          <w:jc w:val="center"/>
        </w:trPr>
        <w:tc>
          <w:tcPr>
            <w:tcW w:w="600" w:type="dxa"/>
            <w:vAlign w:val="center"/>
          </w:tcPr>
          <w:p>
            <w:pPr>
              <w:spacing w:line="440" w:lineRule="exact"/>
              <w:jc w:val="center"/>
              <w:rPr>
                <w:rFonts w:ascii="宋体" w:hAnsi="宋体"/>
                <w:sz w:val="18"/>
              </w:rPr>
            </w:pPr>
            <w:r>
              <w:rPr>
                <w:rFonts w:hint="eastAsia" w:ascii="宋体" w:hAnsi="宋体"/>
                <w:sz w:val="18"/>
              </w:rPr>
              <w:t>2</w:t>
            </w:r>
          </w:p>
        </w:tc>
        <w:tc>
          <w:tcPr>
            <w:tcW w:w="1328" w:type="dxa"/>
            <w:vAlign w:val="center"/>
          </w:tcPr>
          <w:p>
            <w:pPr>
              <w:jc w:val="center"/>
              <w:rPr>
                <w:rFonts w:ascii="宋体" w:hAnsi="宋体"/>
                <w:sz w:val="18"/>
              </w:rPr>
            </w:pPr>
            <w:r>
              <w:rPr>
                <w:rFonts w:hint="eastAsia" w:ascii="宋体" w:hAnsi="宋体"/>
                <w:sz w:val="18"/>
              </w:rPr>
              <w:t>工期</w:t>
            </w:r>
          </w:p>
        </w:tc>
        <w:tc>
          <w:tcPr>
            <w:tcW w:w="4056" w:type="dxa"/>
            <w:vAlign w:val="center"/>
          </w:tcPr>
          <w:p>
            <w:pPr>
              <w:snapToGrid w:val="0"/>
              <w:rPr>
                <w:rFonts w:ascii="宋体" w:hAnsi="宋体"/>
                <w:sz w:val="18"/>
                <w:szCs w:val="21"/>
              </w:rPr>
            </w:pPr>
            <w:r>
              <w:rPr>
                <w:rFonts w:hint="eastAsia" w:ascii="宋体" w:hAnsi="宋体"/>
                <w:sz w:val="18"/>
                <w:szCs w:val="21"/>
              </w:rPr>
              <w:t>投标文件载明的工期超过招标文件规定是否提供正当理由说明</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3" w:hRule="exact"/>
          <w:jc w:val="center"/>
        </w:trPr>
        <w:tc>
          <w:tcPr>
            <w:tcW w:w="600" w:type="dxa"/>
            <w:vAlign w:val="center"/>
          </w:tcPr>
          <w:p>
            <w:pPr>
              <w:spacing w:line="440" w:lineRule="exact"/>
              <w:jc w:val="center"/>
              <w:rPr>
                <w:rFonts w:ascii="宋体" w:hAnsi="宋体"/>
                <w:sz w:val="18"/>
              </w:rPr>
            </w:pPr>
            <w:r>
              <w:rPr>
                <w:rFonts w:hint="eastAsia" w:ascii="宋体" w:hAnsi="宋体"/>
                <w:sz w:val="18"/>
              </w:rPr>
              <w:t>3</w:t>
            </w:r>
          </w:p>
        </w:tc>
        <w:tc>
          <w:tcPr>
            <w:tcW w:w="1328" w:type="dxa"/>
            <w:vAlign w:val="center"/>
          </w:tcPr>
          <w:p>
            <w:pPr>
              <w:jc w:val="center"/>
              <w:rPr>
                <w:rFonts w:ascii="宋体" w:hAnsi="宋体"/>
                <w:sz w:val="18"/>
              </w:rPr>
            </w:pPr>
            <w:r>
              <w:rPr>
                <w:rFonts w:hint="eastAsia" w:ascii="宋体" w:hAnsi="宋体"/>
                <w:sz w:val="18"/>
              </w:rPr>
              <w:t>工程质量</w:t>
            </w:r>
          </w:p>
        </w:tc>
        <w:tc>
          <w:tcPr>
            <w:tcW w:w="4056" w:type="dxa"/>
            <w:vAlign w:val="center"/>
          </w:tcPr>
          <w:p>
            <w:pPr>
              <w:snapToGrid w:val="0"/>
              <w:rPr>
                <w:rFonts w:ascii="宋体" w:hAnsi="宋体"/>
                <w:sz w:val="18"/>
                <w:szCs w:val="21"/>
              </w:rPr>
            </w:pPr>
            <w:r>
              <w:rPr>
                <w:rFonts w:hint="eastAsia" w:ascii="宋体" w:hAnsi="宋体"/>
                <w:sz w:val="18"/>
                <w:szCs w:val="21"/>
              </w:rPr>
              <w:t>投标文件载明的质量标准是否低于招标文件规定</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exact"/>
          <w:jc w:val="center"/>
        </w:trPr>
        <w:tc>
          <w:tcPr>
            <w:tcW w:w="600" w:type="dxa"/>
            <w:vAlign w:val="center"/>
          </w:tcPr>
          <w:p>
            <w:pPr>
              <w:spacing w:line="440" w:lineRule="exact"/>
              <w:jc w:val="center"/>
              <w:rPr>
                <w:rFonts w:ascii="宋体" w:hAnsi="宋体"/>
                <w:sz w:val="18"/>
              </w:rPr>
            </w:pPr>
            <w:r>
              <w:rPr>
                <w:rFonts w:hint="eastAsia" w:ascii="宋体" w:hAnsi="宋体"/>
                <w:sz w:val="18"/>
              </w:rPr>
              <w:t>4</w:t>
            </w:r>
          </w:p>
        </w:tc>
        <w:tc>
          <w:tcPr>
            <w:tcW w:w="1328" w:type="dxa"/>
            <w:vAlign w:val="center"/>
          </w:tcPr>
          <w:p>
            <w:pPr>
              <w:jc w:val="center"/>
              <w:rPr>
                <w:rFonts w:ascii="宋体" w:hAnsi="宋体"/>
                <w:sz w:val="18"/>
                <w:szCs w:val="21"/>
              </w:rPr>
            </w:pPr>
            <w:r>
              <w:rPr>
                <w:rFonts w:hint="eastAsia" w:ascii="宋体" w:hAnsi="宋体"/>
                <w:sz w:val="18"/>
                <w:szCs w:val="21"/>
              </w:rPr>
              <w:t>投标有效期</w:t>
            </w:r>
          </w:p>
        </w:tc>
        <w:tc>
          <w:tcPr>
            <w:tcW w:w="4056" w:type="dxa"/>
            <w:vAlign w:val="center"/>
          </w:tcPr>
          <w:p>
            <w:pPr>
              <w:spacing w:line="400" w:lineRule="exact"/>
              <w:rPr>
                <w:rFonts w:ascii="宋体" w:hAnsi="宋体"/>
                <w:sz w:val="18"/>
                <w:szCs w:val="21"/>
              </w:rPr>
            </w:pPr>
            <w:r>
              <w:rPr>
                <w:rFonts w:hint="eastAsia" w:ascii="宋体" w:hAnsi="宋体"/>
                <w:sz w:val="18"/>
                <w:szCs w:val="21"/>
              </w:rPr>
              <w:t>投标有效期是否短于招标文件规定</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7" w:hRule="exact"/>
          <w:jc w:val="center"/>
        </w:trPr>
        <w:tc>
          <w:tcPr>
            <w:tcW w:w="600" w:type="dxa"/>
            <w:vAlign w:val="center"/>
          </w:tcPr>
          <w:p>
            <w:pPr>
              <w:spacing w:line="440" w:lineRule="exact"/>
              <w:jc w:val="center"/>
              <w:rPr>
                <w:rFonts w:ascii="宋体" w:hAnsi="宋体"/>
                <w:sz w:val="18"/>
              </w:rPr>
            </w:pPr>
            <w:r>
              <w:rPr>
                <w:rFonts w:hint="eastAsia" w:ascii="宋体" w:hAnsi="宋体"/>
                <w:sz w:val="18"/>
              </w:rPr>
              <w:t>5</w:t>
            </w:r>
          </w:p>
        </w:tc>
        <w:tc>
          <w:tcPr>
            <w:tcW w:w="1328" w:type="dxa"/>
            <w:vAlign w:val="center"/>
          </w:tcPr>
          <w:p>
            <w:pPr>
              <w:jc w:val="center"/>
              <w:rPr>
                <w:rFonts w:ascii="宋体" w:hAnsi="宋体"/>
                <w:sz w:val="18"/>
              </w:rPr>
            </w:pPr>
            <w:r>
              <w:rPr>
                <w:rFonts w:hint="eastAsia" w:ascii="宋体" w:hAnsi="宋体"/>
                <w:sz w:val="18"/>
              </w:rPr>
              <w:t>权利义务</w:t>
            </w:r>
          </w:p>
        </w:tc>
        <w:tc>
          <w:tcPr>
            <w:tcW w:w="4056" w:type="dxa"/>
            <w:vAlign w:val="center"/>
          </w:tcPr>
          <w:p>
            <w:pPr>
              <w:spacing w:line="240" w:lineRule="exact"/>
              <w:jc w:val="left"/>
              <w:rPr>
                <w:rFonts w:ascii="宋体" w:hAnsi="宋体"/>
                <w:sz w:val="18"/>
              </w:rPr>
            </w:pPr>
            <w:r>
              <w:rPr>
                <w:rFonts w:hint="eastAsia" w:ascii="宋体" w:hAnsi="宋体"/>
                <w:sz w:val="18"/>
              </w:rPr>
              <w:t>投标函附录中的相关承诺是否符合或优于第四章“合同条款及格式”的相关规定</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1" w:hRule="exact"/>
          <w:jc w:val="center"/>
        </w:trPr>
        <w:tc>
          <w:tcPr>
            <w:tcW w:w="600" w:type="dxa"/>
            <w:vAlign w:val="center"/>
          </w:tcPr>
          <w:p>
            <w:pPr>
              <w:spacing w:line="440" w:lineRule="exact"/>
              <w:jc w:val="center"/>
              <w:rPr>
                <w:rFonts w:ascii="宋体" w:hAnsi="宋体"/>
                <w:sz w:val="18"/>
              </w:rPr>
            </w:pPr>
            <w:r>
              <w:rPr>
                <w:rFonts w:hint="eastAsia" w:ascii="宋体" w:hAnsi="宋体"/>
                <w:sz w:val="18"/>
              </w:rPr>
              <w:t>6</w:t>
            </w:r>
          </w:p>
        </w:tc>
        <w:tc>
          <w:tcPr>
            <w:tcW w:w="1328" w:type="dxa"/>
            <w:vAlign w:val="center"/>
          </w:tcPr>
          <w:p>
            <w:pPr>
              <w:jc w:val="center"/>
              <w:rPr>
                <w:rFonts w:ascii="宋体" w:hAnsi="宋体"/>
                <w:sz w:val="18"/>
              </w:rPr>
            </w:pPr>
            <w:r>
              <w:rPr>
                <w:rFonts w:hint="eastAsia" w:ascii="宋体" w:hAnsi="宋体"/>
                <w:sz w:val="18"/>
              </w:rPr>
              <w:t>已标价工程量清单</w:t>
            </w:r>
          </w:p>
        </w:tc>
        <w:tc>
          <w:tcPr>
            <w:tcW w:w="4056" w:type="dxa"/>
            <w:vAlign w:val="center"/>
          </w:tcPr>
          <w:p>
            <w:pPr>
              <w:spacing w:line="240" w:lineRule="exact"/>
              <w:jc w:val="left"/>
              <w:rPr>
                <w:rFonts w:ascii="宋体" w:hAnsi="宋体"/>
                <w:sz w:val="18"/>
              </w:rPr>
            </w:pPr>
            <w:r>
              <w:rPr>
                <w:rFonts w:hint="eastAsia" w:ascii="宋体" w:hAnsi="宋体"/>
                <w:sz w:val="18"/>
              </w:rPr>
              <w:t>是否出现本章前附表第2.1.4项“已标价工程量清单”中规定的情形</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72" w:hRule="exact"/>
          <w:jc w:val="center"/>
        </w:trPr>
        <w:tc>
          <w:tcPr>
            <w:tcW w:w="600" w:type="dxa"/>
            <w:vAlign w:val="center"/>
          </w:tcPr>
          <w:p>
            <w:pPr>
              <w:spacing w:line="440" w:lineRule="exact"/>
              <w:jc w:val="center"/>
              <w:rPr>
                <w:rFonts w:ascii="宋体" w:hAnsi="宋体"/>
                <w:sz w:val="18"/>
              </w:rPr>
            </w:pPr>
            <w:r>
              <w:rPr>
                <w:rFonts w:hint="eastAsia" w:ascii="宋体" w:hAnsi="宋体"/>
                <w:sz w:val="18"/>
              </w:rPr>
              <w:t>7</w:t>
            </w:r>
          </w:p>
        </w:tc>
        <w:tc>
          <w:tcPr>
            <w:tcW w:w="1328" w:type="dxa"/>
            <w:vAlign w:val="center"/>
          </w:tcPr>
          <w:p>
            <w:pPr>
              <w:jc w:val="center"/>
              <w:rPr>
                <w:rFonts w:ascii="宋体" w:hAnsi="宋体"/>
                <w:sz w:val="18"/>
              </w:rPr>
            </w:pPr>
            <w:r>
              <w:rPr>
                <w:rFonts w:hint="eastAsia" w:ascii="宋体" w:hAnsi="宋体"/>
                <w:sz w:val="18"/>
              </w:rPr>
              <w:t>技术标准和</w:t>
            </w:r>
          </w:p>
          <w:p>
            <w:pPr>
              <w:jc w:val="center"/>
              <w:rPr>
                <w:rFonts w:ascii="宋体" w:hAnsi="宋体"/>
                <w:sz w:val="18"/>
              </w:rPr>
            </w:pPr>
            <w:r>
              <w:rPr>
                <w:rFonts w:hint="eastAsia" w:ascii="宋体" w:hAnsi="宋体"/>
                <w:sz w:val="18"/>
              </w:rPr>
              <w:t>要求</w:t>
            </w:r>
          </w:p>
        </w:tc>
        <w:tc>
          <w:tcPr>
            <w:tcW w:w="4056" w:type="dxa"/>
            <w:vAlign w:val="center"/>
          </w:tcPr>
          <w:p>
            <w:pPr>
              <w:spacing w:line="240" w:lineRule="exact"/>
              <w:jc w:val="left"/>
              <w:rPr>
                <w:rFonts w:ascii="宋体" w:hAnsi="宋体"/>
                <w:sz w:val="18"/>
              </w:rPr>
            </w:pPr>
            <w:r>
              <w:rPr>
                <w:rFonts w:hint="eastAsia" w:ascii="宋体" w:hAnsi="宋体"/>
                <w:sz w:val="18"/>
              </w:rPr>
              <w:t>是否符合第七章“技术标准和要求”规定，投标文件载明的保修承诺是否符合招标文件要求</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00" w:type="dxa"/>
            <w:vAlign w:val="center"/>
          </w:tcPr>
          <w:p>
            <w:pPr>
              <w:spacing w:line="440" w:lineRule="exact"/>
              <w:jc w:val="center"/>
              <w:rPr>
                <w:rFonts w:ascii="宋体" w:hAnsi="宋体"/>
                <w:sz w:val="18"/>
              </w:rPr>
            </w:pPr>
          </w:p>
        </w:tc>
        <w:tc>
          <w:tcPr>
            <w:tcW w:w="1328" w:type="dxa"/>
            <w:vAlign w:val="center"/>
          </w:tcPr>
          <w:p>
            <w:pPr>
              <w:jc w:val="center"/>
              <w:rPr>
                <w:rFonts w:ascii="宋体" w:hAnsi="宋体"/>
                <w:sz w:val="18"/>
                <w:szCs w:val="21"/>
              </w:rPr>
            </w:pPr>
            <w:r>
              <w:rPr>
                <w:rFonts w:hint="eastAsia" w:ascii="宋体" w:hAnsi="宋体"/>
                <w:sz w:val="18"/>
                <w:szCs w:val="21"/>
              </w:rPr>
              <w:t>……</w:t>
            </w:r>
          </w:p>
        </w:tc>
        <w:tc>
          <w:tcPr>
            <w:tcW w:w="4056" w:type="dxa"/>
          </w:tcPr>
          <w:p>
            <w:pPr>
              <w:spacing w:line="440" w:lineRule="exact"/>
              <w:rPr>
                <w:rFonts w:ascii="宋体" w:hAnsi="宋体"/>
                <w:sz w:val="18"/>
                <w:szCs w:val="21"/>
              </w:rPr>
            </w:pPr>
            <w:r>
              <w:rPr>
                <w:rFonts w:hint="eastAsia" w:ascii="宋体" w:hAnsi="宋体"/>
                <w:sz w:val="18"/>
                <w:szCs w:val="21"/>
              </w:rPr>
              <w:t>……</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600" w:type="dxa"/>
            <w:vAlign w:val="center"/>
          </w:tcPr>
          <w:p>
            <w:pPr>
              <w:spacing w:line="440" w:lineRule="exact"/>
              <w:jc w:val="center"/>
              <w:rPr>
                <w:rFonts w:ascii="宋体" w:hAnsi="宋体"/>
                <w:sz w:val="18"/>
              </w:rPr>
            </w:pPr>
          </w:p>
        </w:tc>
        <w:tc>
          <w:tcPr>
            <w:tcW w:w="1328" w:type="dxa"/>
            <w:vAlign w:val="center"/>
          </w:tcPr>
          <w:p>
            <w:pPr>
              <w:spacing w:line="440" w:lineRule="exact"/>
              <w:jc w:val="center"/>
              <w:rPr>
                <w:rFonts w:ascii="宋体" w:hAnsi="宋体"/>
                <w:sz w:val="18"/>
              </w:rPr>
            </w:pPr>
            <w:r>
              <w:rPr>
                <w:rFonts w:hint="eastAsia" w:ascii="宋体" w:hAnsi="宋体"/>
                <w:sz w:val="18"/>
              </w:rPr>
              <w:t>评审结论</w:t>
            </w:r>
          </w:p>
        </w:tc>
        <w:tc>
          <w:tcPr>
            <w:tcW w:w="4056" w:type="dxa"/>
            <w:vAlign w:val="center"/>
          </w:tcPr>
          <w:p>
            <w:pPr>
              <w:spacing w:line="440" w:lineRule="exact"/>
              <w:jc w:val="center"/>
              <w:rPr>
                <w:rFonts w:ascii="宋体" w:hAnsi="宋体"/>
                <w:sz w:val="18"/>
              </w:rPr>
            </w:pPr>
            <w:r>
              <w:rPr>
                <w:rFonts w:hint="eastAsia" w:ascii="宋体" w:hAnsi="宋体"/>
                <w:sz w:val="18"/>
              </w:rPr>
              <w:t>合格或不合格</w:t>
            </w:r>
          </w:p>
        </w:tc>
        <w:tc>
          <w:tcPr>
            <w:tcW w:w="799"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897"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900" w:type="dxa"/>
            <w:vAlign w:val="center"/>
          </w:tcPr>
          <w:p>
            <w:pPr>
              <w:spacing w:line="440" w:lineRule="exact"/>
              <w:jc w:val="center"/>
              <w:rPr>
                <w:rFonts w:ascii="宋体" w:hAnsi="宋体"/>
                <w:sz w:val="18"/>
              </w:rPr>
            </w:pPr>
          </w:p>
        </w:tc>
        <w:tc>
          <w:tcPr>
            <w:tcW w:w="1002" w:type="dxa"/>
            <w:vAlign w:val="center"/>
          </w:tcPr>
          <w:p>
            <w:pPr>
              <w:spacing w:line="440" w:lineRule="exact"/>
              <w:jc w:val="center"/>
              <w:rPr>
                <w:rFonts w:ascii="宋体" w:hAnsi="宋体"/>
                <w:sz w:val="18"/>
              </w:rPr>
            </w:pPr>
          </w:p>
        </w:tc>
      </w:tr>
    </w:tbl>
    <w:p>
      <w:pPr>
        <w:spacing w:line="480" w:lineRule="auto"/>
        <w:rPr>
          <w:rFonts w:ascii="宋体" w:hAnsi="宋体"/>
        </w:rPr>
      </w:pPr>
      <w:r>
        <w:rPr>
          <w:rFonts w:hint="eastAsia" w:ascii="宋体" w:hAnsi="宋体"/>
          <w:szCs w:val="21"/>
        </w:rPr>
        <w:t>评标委员会全体成员签字</w:t>
      </w:r>
      <w:r>
        <w:rPr>
          <w:rFonts w:hint="eastAsia" w:ascii="宋体" w:hAnsi="宋体"/>
        </w:rPr>
        <w:t>/日期：</w:t>
      </w:r>
    </w:p>
    <w:p>
      <w:pPr>
        <w:adjustRightInd w:val="0"/>
        <w:snapToGrid w:val="0"/>
        <w:spacing w:line="440" w:lineRule="exact"/>
        <w:rPr>
          <w:rFonts w:ascii="宋体" w:hAnsi="宋体"/>
        </w:rPr>
        <w:sectPr>
          <w:pgSz w:w="16838" w:h="11906" w:orient="landscape"/>
          <w:pgMar w:top="1304" w:right="1304" w:bottom="1304" w:left="1701" w:header="851" w:footer="992" w:gutter="0"/>
          <w:cols w:space="720" w:num="1"/>
          <w:docGrid w:linePitch="312" w:charSpace="0"/>
        </w:sectPr>
      </w:pPr>
    </w:p>
    <w:p>
      <w:pPr>
        <w:pStyle w:val="6"/>
        <w:spacing w:line="460" w:lineRule="exact"/>
        <w:rPr>
          <w:rFonts w:ascii="黑体" w:hAnsi="宋体" w:eastAsia="黑体"/>
          <w:sz w:val="28"/>
        </w:rPr>
      </w:pPr>
      <w:bookmarkStart w:id="177" w:name="_Toc300678112"/>
      <w:r>
        <w:rPr>
          <w:rFonts w:hint="eastAsia" w:ascii="黑体" w:hAnsi="黑体" w:eastAsia="黑体"/>
          <w:b w:val="0"/>
          <w:bCs w:val="0"/>
          <w:sz w:val="24"/>
        </w:rPr>
        <w:t>附表3-7：技术标和项目管理机构表</w:t>
      </w:r>
      <w:bookmarkEnd w:id="177"/>
    </w:p>
    <w:p>
      <w:pPr>
        <w:adjustRightInd w:val="0"/>
        <w:snapToGrid w:val="0"/>
        <w:spacing w:line="360" w:lineRule="auto"/>
        <w:jc w:val="center"/>
        <w:rPr>
          <w:rFonts w:hint="eastAsia" w:ascii="宋体" w:hAnsi="宋体"/>
          <w:sz w:val="28"/>
          <w:szCs w:val="28"/>
        </w:rPr>
      </w:pPr>
      <w:r>
        <w:rPr>
          <w:rFonts w:hint="eastAsia" w:ascii="宋体" w:hAnsi="宋体"/>
          <w:sz w:val="28"/>
          <w:szCs w:val="28"/>
        </w:rPr>
        <w:t>技术标评审计分表</w:t>
      </w:r>
    </w:p>
    <w:p>
      <w:pPr>
        <w:adjustRightInd w:val="0"/>
        <w:snapToGrid w:val="0"/>
        <w:spacing w:line="360" w:lineRule="auto"/>
        <w:jc w:val="left"/>
        <w:rPr>
          <w:rFonts w:hint="eastAsia" w:ascii="宋体" w:hAnsi="宋体"/>
          <w:szCs w:val="21"/>
        </w:rPr>
      </w:pPr>
    </w:p>
    <w:tbl>
      <w:tblPr>
        <w:tblStyle w:val="42"/>
        <w:tblW w:w="8820" w:type="dxa"/>
        <w:tblInd w:w="-7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0"/>
        <w:gridCol w:w="2700"/>
        <w:gridCol w:w="2880"/>
        <w:gridCol w:w="1270"/>
        <w:gridCol w:w="12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trPr>
        <w:tc>
          <w:tcPr>
            <w:tcW w:w="720" w:type="dxa"/>
            <w:tcBorders>
              <w:top w:val="single" w:color="auto" w:sz="12"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序号</w:t>
            </w:r>
          </w:p>
        </w:tc>
        <w:tc>
          <w:tcPr>
            <w:tcW w:w="2700" w:type="dxa"/>
            <w:tcBorders>
              <w:top w:val="single" w:color="auto" w:sz="12"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项  目</w:t>
            </w:r>
          </w:p>
        </w:tc>
        <w:tc>
          <w:tcPr>
            <w:tcW w:w="4150" w:type="dxa"/>
            <w:gridSpan w:val="2"/>
            <w:tcBorders>
              <w:top w:val="single" w:color="auto" w:sz="12"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评   审  标   准</w:t>
            </w:r>
          </w:p>
        </w:tc>
        <w:tc>
          <w:tcPr>
            <w:tcW w:w="1250" w:type="dxa"/>
            <w:tcBorders>
              <w:top w:val="single" w:color="auto" w:sz="12"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评审计分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37"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内容完整性和编制水平</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完整</w:t>
            </w:r>
            <w:r>
              <w:rPr>
                <w:rFonts w:hint="eastAsia" w:ascii="宋体" w:hAnsi="宋体"/>
                <w:sz w:val="18"/>
                <w:szCs w:val="18"/>
              </w:rPr>
              <w:t>、</w:t>
            </w:r>
            <w:r>
              <w:rPr>
                <w:rFonts w:ascii="宋体" w:hAnsi="宋体"/>
                <w:sz w:val="18"/>
                <w:szCs w:val="18"/>
              </w:rPr>
              <w:t>水平高</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5</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7"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欠完整</w:t>
            </w:r>
            <w:r>
              <w:rPr>
                <w:rFonts w:hint="eastAsia" w:ascii="宋体" w:hAnsi="宋体"/>
                <w:sz w:val="18"/>
                <w:szCs w:val="18"/>
              </w:rPr>
              <w:t>、</w:t>
            </w:r>
            <w:r>
              <w:rPr>
                <w:rFonts w:ascii="宋体" w:hAnsi="宋体"/>
                <w:sz w:val="18"/>
                <w:szCs w:val="18"/>
              </w:rPr>
              <w:t>水平一般</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3-4</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2"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2</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施工方案与技术措施</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先进</w:t>
            </w:r>
            <w:r>
              <w:rPr>
                <w:rFonts w:hint="eastAsia" w:ascii="宋体" w:hAnsi="宋体"/>
                <w:sz w:val="18"/>
                <w:szCs w:val="18"/>
              </w:rPr>
              <w:t>、</w:t>
            </w:r>
            <w:r>
              <w:rPr>
                <w:rFonts w:ascii="宋体" w:hAnsi="宋体"/>
                <w:sz w:val="18"/>
                <w:szCs w:val="18"/>
              </w:rPr>
              <w:t>可靠</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30</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4"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可行</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25-28</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1"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欠合理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21-23</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09"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3</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质量管理体系与措施</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完善</w:t>
            </w:r>
            <w:r>
              <w:rPr>
                <w:rFonts w:hint="eastAsia" w:ascii="宋体" w:hAnsi="宋体"/>
                <w:sz w:val="18"/>
                <w:szCs w:val="18"/>
              </w:rPr>
              <w:t>、</w:t>
            </w:r>
            <w:r>
              <w:rPr>
                <w:rFonts w:ascii="宋体" w:hAnsi="宋体"/>
                <w:sz w:val="18"/>
                <w:szCs w:val="18"/>
              </w:rPr>
              <w:t>可靠</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15</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8"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欠完善</w:t>
            </w:r>
            <w:r>
              <w:rPr>
                <w:rFonts w:hint="eastAsia" w:ascii="宋体" w:hAnsi="宋体"/>
                <w:sz w:val="18"/>
                <w:szCs w:val="18"/>
              </w:rPr>
              <w:t>、</w:t>
            </w:r>
            <w:r>
              <w:rPr>
                <w:rFonts w:ascii="宋体" w:hAnsi="宋体"/>
                <w:sz w:val="18"/>
                <w:szCs w:val="18"/>
              </w:rPr>
              <w:t>欠合理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10-13</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0"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4</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安全管理体系与措施</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完善</w:t>
            </w:r>
            <w:r>
              <w:rPr>
                <w:rFonts w:hint="eastAsia" w:ascii="宋体" w:hAnsi="宋体"/>
                <w:sz w:val="18"/>
                <w:szCs w:val="18"/>
              </w:rPr>
              <w:t>、</w:t>
            </w:r>
            <w:r>
              <w:rPr>
                <w:rFonts w:ascii="宋体" w:hAnsi="宋体"/>
                <w:sz w:val="18"/>
                <w:szCs w:val="18"/>
              </w:rPr>
              <w:t>可靠</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15</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7"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欠完善</w:t>
            </w:r>
            <w:r>
              <w:rPr>
                <w:rFonts w:hint="eastAsia" w:ascii="宋体" w:hAnsi="宋体"/>
                <w:sz w:val="18"/>
                <w:szCs w:val="18"/>
              </w:rPr>
              <w:t>、</w:t>
            </w:r>
            <w:r>
              <w:rPr>
                <w:rFonts w:ascii="宋体" w:hAnsi="宋体"/>
                <w:sz w:val="18"/>
                <w:szCs w:val="18"/>
              </w:rPr>
              <w:t>欠合理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10-13</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3"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5</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环境保护管理体系与措施</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完善</w:t>
            </w:r>
            <w:r>
              <w:rPr>
                <w:rFonts w:hint="eastAsia" w:ascii="宋体" w:hAnsi="宋体"/>
                <w:sz w:val="18"/>
                <w:szCs w:val="18"/>
              </w:rPr>
              <w:t>、</w:t>
            </w:r>
            <w:r>
              <w:rPr>
                <w:rFonts w:ascii="宋体" w:hAnsi="宋体"/>
                <w:sz w:val="18"/>
                <w:szCs w:val="18"/>
              </w:rPr>
              <w:t>可靠</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10</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4"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欠完善</w:t>
            </w:r>
            <w:r>
              <w:rPr>
                <w:rFonts w:hint="eastAsia" w:ascii="宋体" w:hAnsi="宋体"/>
                <w:sz w:val="18"/>
                <w:szCs w:val="18"/>
              </w:rPr>
              <w:t>、</w:t>
            </w:r>
            <w:r>
              <w:rPr>
                <w:rFonts w:ascii="宋体" w:hAnsi="宋体"/>
                <w:sz w:val="18"/>
                <w:szCs w:val="18"/>
              </w:rPr>
              <w:t>欠合理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6-8</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6"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6</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工程进度计划与保证措施</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计划合理</w:t>
            </w:r>
            <w:r>
              <w:rPr>
                <w:rFonts w:hint="eastAsia" w:ascii="宋体" w:hAnsi="宋体"/>
                <w:sz w:val="18"/>
                <w:szCs w:val="18"/>
              </w:rPr>
              <w:t>、</w:t>
            </w:r>
            <w:r>
              <w:rPr>
                <w:rFonts w:ascii="宋体" w:hAnsi="宋体"/>
                <w:sz w:val="18"/>
                <w:szCs w:val="18"/>
              </w:rPr>
              <w:t>措施可行</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15</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3"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欠合理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10-13</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9" w:hRule="exact"/>
        </w:trPr>
        <w:tc>
          <w:tcPr>
            <w:tcW w:w="720" w:type="dxa"/>
            <w:vMerge w:val="restart"/>
            <w:tcBorders>
              <w:top w:val="single" w:color="auto" w:sz="8" w:space="0"/>
              <w:left w:val="single" w:color="auto" w:sz="12"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7</w:t>
            </w:r>
          </w:p>
        </w:tc>
        <w:tc>
          <w:tcPr>
            <w:tcW w:w="2700" w:type="dxa"/>
            <w:vMerge w:val="restart"/>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资源配备计划</w:t>
            </w: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合    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10</w:t>
            </w:r>
          </w:p>
        </w:tc>
        <w:tc>
          <w:tcPr>
            <w:tcW w:w="1250" w:type="dxa"/>
            <w:vMerge w:val="restart"/>
            <w:tcBorders>
              <w:top w:val="single" w:color="auto" w:sz="8" w:space="0"/>
              <w:left w:val="single" w:color="auto" w:sz="8" w:space="0"/>
              <w:bottom w:val="single" w:color="auto" w:sz="8" w:space="0"/>
              <w:right w:val="single" w:color="auto" w:sz="12" w:space="0"/>
            </w:tcBorders>
            <w:vAlign w:val="center"/>
          </w:tcPr>
          <w:p>
            <w:pPr>
              <w:adjustRightInd w:val="0"/>
              <w:snapToGrid w:val="0"/>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1" w:hRule="exact"/>
        </w:trPr>
        <w:tc>
          <w:tcPr>
            <w:tcW w:w="720" w:type="dxa"/>
            <w:vMerge w:val="continue"/>
            <w:tcBorders>
              <w:top w:val="single" w:color="auto" w:sz="8" w:space="0"/>
              <w:left w:val="single" w:color="auto" w:sz="12"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700" w:type="dxa"/>
            <w:vMerge w:val="continue"/>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360" w:lineRule="auto"/>
              <w:jc w:val="left"/>
              <w:rPr>
                <w:rFonts w:ascii="宋体" w:hAnsi="宋体"/>
                <w:sz w:val="18"/>
                <w:szCs w:val="18"/>
              </w:rPr>
            </w:pPr>
          </w:p>
        </w:tc>
        <w:tc>
          <w:tcPr>
            <w:tcW w:w="288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欠 合 理</w:t>
            </w:r>
          </w:p>
        </w:tc>
        <w:tc>
          <w:tcPr>
            <w:tcW w:w="1270" w:type="dxa"/>
            <w:tcBorders>
              <w:top w:val="single" w:color="auto" w:sz="8" w:space="0"/>
              <w:left w:val="single" w:color="auto" w:sz="8" w:space="0"/>
              <w:bottom w:val="single" w:color="auto" w:sz="8"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6-8</w:t>
            </w:r>
          </w:p>
        </w:tc>
        <w:tc>
          <w:tcPr>
            <w:tcW w:w="1250" w:type="dxa"/>
            <w:vMerge w:val="continue"/>
            <w:tcBorders>
              <w:top w:val="single" w:color="auto" w:sz="8" w:space="0"/>
              <w:left w:val="single" w:color="auto" w:sz="8" w:space="0"/>
              <w:bottom w:val="single" w:color="auto" w:sz="8"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trPr>
        <w:tc>
          <w:tcPr>
            <w:tcW w:w="720" w:type="dxa"/>
            <w:tcBorders>
              <w:top w:val="single" w:color="auto" w:sz="8" w:space="0"/>
              <w:left w:val="single" w:color="auto" w:sz="12" w:space="0"/>
              <w:bottom w:val="single" w:color="auto" w:sz="12" w:space="0"/>
              <w:right w:val="single" w:color="auto" w:sz="8" w:space="0"/>
            </w:tcBorders>
            <w:vAlign w:val="center"/>
          </w:tcPr>
          <w:p>
            <w:pPr>
              <w:widowControl/>
              <w:adjustRightInd w:val="0"/>
              <w:snapToGrid w:val="0"/>
              <w:spacing w:line="360" w:lineRule="auto"/>
              <w:jc w:val="center"/>
              <w:rPr>
                <w:rFonts w:ascii="宋体" w:hAnsi="宋体"/>
                <w:sz w:val="18"/>
                <w:szCs w:val="18"/>
              </w:rPr>
            </w:pPr>
            <w:r>
              <w:rPr>
                <w:rFonts w:ascii="宋体" w:hAnsi="宋体"/>
                <w:sz w:val="18"/>
                <w:szCs w:val="18"/>
              </w:rPr>
              <w:t>8</w:t>
            </w:r>
          </w:p>
        </w:tc>
        <w:tc>
          <w:tcPr>
            <w:tcW w:w="6850" w:type="dxa"/>
            <w:gridSpan w:val="3"/>
            <w:tcBorders>
              <w:top w:val="single" w:color="auto" w:sz="8" w:space="0"/>
              <w:left w:val="single" w:color="auto" w:sz="8" w:space="0"/>
              <w:bottom w:val="single" w:color="auto" w:sz="12" w:space="0"/>
              <w:right w:val="single" w:color="auto" w:sz="8" w:space="0"/>
            </w:tcBorders>
            <w:vAlign w:val="center"/>
          </w:tcPr>
          <w:p>
            <w:pPr>
              <w:adjustRightInd w:val="0"/>
              <w:snapToGrid w:val="0"/>
              <w:spacing w:line="360" w:lineRule="auto"/>
              <w:jc w:val="center"/>
              <w:rPr>
                <w:rFonts w:ascii="宋体" w:hAnsi="宋体"/>
                <w:sz w:val="18"/>
                <w:szCs w:val="18"/>
              </w:rPr>
            </w:pPr>
            <w:r>
              <w:rPr>
                <w:rFonts w:ascii="宋体" w:hAnsi="宋体"/>
                <w:sz w:val="18"/>
                <w:szCs w:val="18"/>
              </w:rPr>
              <w:t>合  计</w:t>
            </w:r>
          </w:p>
        </w:tc>
        <w:tc>
          <w:tcPr>
            <w:tcW w:w="1250" w:type="dxa"/>
            <w:tcBorders>
              <w:top w:val="single" w:color="auto" w:sz="8" w:space="0"/>
              <w:left w:val="single" w:color="auto" w:sz="8" w:space="0"/>
              <w:bottom w:val="single" w:color="auto" w:sz="12" w:space="0"/>
              <w:right w:val="single" w:color="auto" w:sz="12" w:space="0"/>
            </w:tcBorders>
            <w:vAlign w:val="center"/>
          </w:tcPr>
          <w:p>
            <w:pPr>
              <w:widowControl/>
              <w:adjustRightInd w:val="0"/>
              <w:snapToGrid w:val="0"/>
              <w:spacing w:line="360" w:lineRule="auto"/>
              <w:jc w:val="left"/>
              <w:rPr>
                <w:rFonts w:ascii="宋体" w:hAnsi="宋体"/>
                <w:sz w:val="18"/>
                <w:szCs w:val="18"/>
              </w:rPr>
            </w:pPr>
          </w:p>
        </w:tc>
      </w:tr>
    </w:tbl>
    <w:p>
      <w:pPr>
        <w:pStyle w:val="23"/>
        <w:adjustRightInd w:val="0"/>
        <w:snapToGrid w:val="0"/>
        <w:spacing w:after="0" w:line="360" w:lineRule="auto"/>
        <w:ind w:left="0" w:leftChars="0"/>
        <w:rPr>
          <w:rFonts w:hint="eastAsia" w:ascii="宋体" w:hAnsi="宋体"/>
          <w:sz w:val="18"/>
          <w:szCs w:val="18"/>
        </w:rPr>
      </w:pPr>
      <w:r>
        <w:rPr>
          <w:rFonts w:hint="eastAsia" w:ascii="宋体" w:hAnsi="宋体"/>
          <w:sz w:val="18"/>
          <w:szCs w:val="18"/>
        </w:rPr>
        <w:t>备注</w:t>
      </w:r>
      <w:r>
        <w:rPr>
          <w:rFonts w:ascii="宋体" w:hAnsi="宋体"/>
          <w:sz w:val="18"/>
          <w:szCs w:val="18"/>
        </w:rPr>
        <w:t>：</w:t>
      </w:r>
      <w:r>
        <w:rPr>
          <w:rFonts w:hint="eastAsia" w:ascii="宋体" w:hAnsi="宋体"/>
          <w:sz w:val="18"/>
          <w:szCs w:val="18"/>
        </w:rPr>
        <w:t>1．</w:t>
      </w:r>
      <w:r>
        <w:rPr>
          <w:rFonts w:ascii="宋体" w:hAnsi="宋体"/>
          <w:sz w:val="18"/>
          <w:szCs w:val="18"/>
        </w:rPr>
        <w:t>实行暗标时技术标内出现投标人名称或者出现任何能引起判断出投标人名称的内容的，技术标计零分。</w:t>
      </w:r>
    </w:p>
    <w:p>
      <w:pPr>
        <w:pStyle w:val="23"/>
        <w:adjustRightInd w:val="0"/>
        <w:snapToGrid w:val="0"/>
        <w:spacing w:after="0" w:line="360" w:lineRule="auto"/>
        <w:ind w:left="0" w:leftChars="0" w:firstLine="270" w:firstLineChars="150"/>
        <w:rPr>
          <w:rFonts w:hint="eastAsia" w:ascii="宋体" w:hAnsi="宋体"/>
          <w:sz w:val="18"/>
          <w:szCs w:val="18"/>
        </w:rPr>
      </w:pPr>
      <w:r>
        <w:rPr>
          <w:rFonts w:hint="eastAsia" w:ascii="宋体" w:hAnsi="宋体"/>
          <w:sz w:val="18"/>
          <w:szCs w:val="18"/>
        </w:rPr>
        <w:t>2</w:t>
      </w:r>
      <w:r>
        <w:rPr>
          <w:rFonts w:ascii="宋体" w:hAnsi="宋体"/>
          <w:sz w:val="18"/>
          <w:szCs w:val="18"/>
        </w:rPr>
        <w:t>．技术标中应当具备的项目缺项的，该项目计零分。</w:t>
      </w:r>
    </w:p>
    <w:p>
      <w:pPr>
        <w:pStyle w:val="23"/>
        <w:adjustRightInd w:val="0"/>
        <w:snapToGrid w:val="0"/>
        <w:spacing w:after="0" w:line="360" w:lineRule="auto"/>
        <w:ind w:left="0" w:leftChars="0" w:firstLine="270" w:firstLineChars="150"/>
        <w:rPr>
          <w:rFonts w:hint="eastAsia" w:ascii="宋体" w:hAnsi="宋体"/>
          <w:sz w:val="18"/>
          <w:szCs w:val="18"/>
        </w:rPr>
      </w:pPr>
      <w:r>
        <w:rPr>
          <w:rFonts w:ascii="宋体" w:hAnsi="宋体"/>
          <w:sz w:val="18"/>
          <w:szCs w:val="18"/>
        </w:rPr>
        <w:t>3．有下列情况之一者，该评标委员会成员的所有单项评审计分为无效分：（1）单项评审计分高出规定最高分或低于规定最低分的；（2）同一项目有2个或2个以上评审计分的。</w:t>
      </w:r>
    </w:p>
    <w:p>
      <w:pPr>
        <w:pStyle w:val="23"/>
        <w:adjustRightInd w:val="0"/>
        <w:snapToGrid w:val="0"/>
        <w:spacing w:after="0" w:line="360" w:lineRule="auto"/>
        <w:ind w:left="0" w:leftChars="0" w:firstLine="270" w:firstLineChars="150"/>
        <w:rPr>
          <w:rFonts w:hint="eastAsia" w:ascii="宋体" w:hAnsi="宋体"/>
          <w:sz w:val="18"/>
          <w:szCs w:val="18"/>
        </w:rPr>
      </w:pPr>
      <w:r>
        <w:rPr>
          <w:rFonts w:hint="eastAsia" w:ascii="宋体" w:hAnsi="宋体"/>
          <w:sz w:val="18"/>
          <w:szCs w:val="18"/>
        </w:rPr>
        <w:t>4</w:t>
      </w:r>
      <w:r>
        <w:rPr>
          <w:rFonts w:ascii="宋体" w:hAnsi="宋体"/>
          <w:sz w:val="18"/>
          <w:szCs w:val="18"/>
        </w:rPr>
        <w:t>．</w:t>
      </w:r>
      <w:r>
        <w:rPr>
          <w:rFonts w:hint="eastAsia" w:ascii="宋体" w:hAnsi="宋体"/>
          <w:sz w:val="18"/>
          <w:szCs w:val="18"/>
        </w:rPr>
        <w:t>格式在内容完整性和编制水平中评审计分，每出现一类格式错误扣1分，最多扣5分。</w:t>
      </w:r>
    </w:p>
    <w:p>
      <w:pPr>
        <w:adjustRightInd w:val="0"/>
        <w:snapToGrid w:val="0"/>
        <w:spacing w:line="360" w:lineRule="auto"/>
        <w:ind w:firstLine="360" w:firstLineChars="200"/>
        <w:rPr>
          <w:rFonts w:hint="eastAsia" w:ascii="宋体" w:hAnsi="宋体"/>
          <w:sz w:val="18"/>
          <w:szCs w:val="18"/>
        </w:rPr>
      </w:pPr>
    </w:p>
    <w:p>
      <w:pPr>
        <w:adjustRightInd w:val="0"/>
        <w:snapToGrid w:val="0"/>
        <w:spacing w:line="360" w:lineRule="auto"/>
        <w:ind w:firstLine="360" w:firstLineChars="200"/>
        <w:rPr>
          <w:rFonts w:hint="eastAsia" w:ascii="宋体" w:hAnsi="宋体"/>
          <w:sz w:val="18"/>
          <w:szCs w:val="18"/>
        </w:rPr>
      </w:pPr>
      <w:r>
        <w:rPr>
          <w:rFonts w:hint="eastAsia" w:ascii="宋体" w:hAnsi="宋体"/>
          <w:sz w:val="18"/>
          <w:szCs w:val="18"/>
        </w:rPr>
        <w:t>评委签字/日期：</w:t>
      </w:r>
    </w:p>
    <w:p>
      <w:pPr>
        <w:spacing w:line="440" w:lineRule="exact"/>
        <w:rPr>
          <w:rFonts w:ascii="宋体" w:hAnsi="宋体"/>
        </w:rPr>
      </w:pPr>
    </w:p>
    <w:p>
      <w:pPr>
        <w:spacing w:line="440" w:lineRule="exact"/>
        <w:rPr>
          <w:rFonts w:ascii="宋体" w:hAnsi="宋体"/>
        </w:rPr>
      </w:pPr>
    </w:p>
    <w:p>
      <w:pPr>
        <w:spacing w:line="440" w:lineRule="exact"/>
        <w:rPr>
          <w:rFonts w:ascii="宋体" w:hAnsi="宋体"/>
        </w:rPr>
      </w:pPr>
    </w:p>
    <w:p>
      <w:pPr>
        <w:pStyle w:val="6"/>
        <w:spacing w:line="460" w:lineRule="exact"/>
        <w:rPr>
          <w:rFonts w:ascii="宋体" w:hAnsi="宋体"/>
          <w:sz w:val="24"/>
        </w:rPr>
      </w:pPr>
      <w:bookmarkStart w:id="178" w:name="_Toc300678113"/>
      <w:r>
        <w:rPr>
          <w:rFonts w:hint="eastAsia" w:ascii="黑体" w:hAnsi="黑体" w:eastAsia="黑体"/>
          <w:b w:val="0"/>
          <w:bCs w:val="0"/>
          <w:sz w:val="24"/>
        </w:rPr>
        <w:t>附表3-8：废标情况说明</w:t>
      </w:r>
      <w:bookmarkEnd w:id="178"/>
    </w:p>
    <w:p>
      <w:pPr>
        <w:snapToGrid w:val="0"/>
        <w:spacing w:line="460" w:lineRule="exact"/>
        <w:jc w:val="center"/>
        <w:rPr>
          <w:rFonts w:ascii="黑体" w:hAnsi="黑体" w:eastAsia="黑体"/>
          <w:bCs/>
          <w:sz w:val="28"/>
          <w:szCs w:val="28"/>
        </w:rPr>
      </w:pPr>
      <w:r>
        <w:rPr>
          <w:rFonts w:hint="eastAsia" w:ascii="黑体" w:hAnsi="黑体" w:eastAsia="黑体"/>
          <w:bCs/>
          <w:sz w:val="28"/>
          <w:szCs w:val="28"/>
        </w:rPr>
        <w:t>废标情况说明</w:t>
      </w:r>
    </w:p>
    <w:p>
      <w:pPr>
        <w:snapToGrid w:val="0"/>
        <w:spacing w:line="460" w:lineRule="exact"/>
        <w:jc w:val="center"/>
        <w:rPr>
          <w:rFonts w:ascii="黑体" w:hAnsi="黑体" w:eastAsia="黑体"/>
          <w:b/>
          <w:sz w:val="28"/>
          <w:szCs w:val="28"/>
        </w:rPr>
      </w:pPr>
    </w:p>
    <w:p>
      <w:pPr>
        <w:snapToGrid w:val="0"/>
        <w:spacing w:line="460" w:lineRule="exact"/>
        <w:rPr>
          <w:rFonts w:ascii="宋体" w:hAnsi="宋体"/>
          <w:szCs w:val="44"/>
        </w:rPr>
      </w:pPr>
      <w:r>
        <w:rPr>
          <w:rFonts w:hint="eastAsia" w:ascii="宋体" w:hAnsi="宋体"/>
          <w:szCs w:val="21"/>
        </w:rPr>
        <w:t>工程名称：</w:t>
      </w:r>
      <w:r>
        <w:rPr>
          <w:rFonts w:hint="eastAsia" w:ascii="宋体" w:hAnsi="宋体"/>
        </w:rPr>
        <w:t xml:space="preserve"> （项目名称） 标段</w:t>
      </w:r>
    </w:p>
    <w:tbl>
      <w:tblPr>
        <w:tblStyle w:val="42"/>
        <w:tblW w:w="894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8"/>
        <w:gridCol w:w="3055"/>
        <w:gridCol w:w="52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13"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序号</w:t>
            </w:r>
          </w:p>
        </w:tc>
        <w:tc>
          <w:tcPr>
            <w:tcW w:w="3055" w:type="dxa"/>
            <w:vAlign w:val="center"/>
          </w:tcPr>
          <w:p>
            <w:pPr>
              <w:snapToGrid w:val="0"/>
              <w:jc w:val="center"/>
              <w:rPr>
                <w:rFonts w:ascii="宋体" w:hAnsi="宋体"/>
                <w:sz w:val="18"/>
                <w:szCs w:val="21"/>
              </w:rPr>
            </w:pPr>
            <w:r>
              <w:rPr>
                <w:rFonts w:hint="eastAsia" w:ascii="宋体" w:hAnsi="宋体"/>
                <w:sz w:val="18"/>
                <w:szCs w:val="21"/>
              </w:rPr>
              <w:t>投   标    人</w:t>
            </w:r>
          </w:p>
        </w:tc>
        <w:tc>
          <w:tcPr>
            <w:tcW w:w="5216" w:type="dxa"/>
            <w:vAlign w:val="center"/>
          </w:tcPr>
          <w:p>
            <w:pPr>
              <w:snapToGrid w:val="0"/>
              <w:jc w:val="center"/>
              <w:rPr>
                <w:rFonts w:ascii="宋体" w:hAnsi="宋体"/>
                <w:sz w:val="18"/>
                <w:szCs w:val="21"/>
              </w:rPr>
            </w:pPr>
            <w:r>
              <w:rPr>
                <w:rFonts w:hint="eastAsia" w:ascii="宋体" w:hAnsi="宋体"/>
                <w:sz w:val="18"/>
                <w:szCs w:val="21"/>
              </w:rPr>
              <w:t>不能通过审查的原因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9"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1</w:t>
            </w:r>
          </w:p>
        </w:tc>
        <w:tc>
          <w:tcPr>
            <w:tcW w:w="3055" w:type="dxa"/>
          </w:tcPr>
          <w:p>
            <w:pPr>
              <w:snapToGrid w:val="0"/>
              <w:rPr>
                <w:rFonts w:ascii="宋体" w:hAnsi="宋体"/>
                <w:sz w:val="18"/>
                <w:szCs w:val="21"/>
              </w:rPr>
            </w:pPr>
          </w:p>
        </w:tc>
        <w:tc>
          <w:tcPr>
            <w:tcW w:w="5216" w:type="dxa"/>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9"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2</w:t>
            </w:r>
          </w:p>
        </w:tc>
        <w:tc>
          <w:tcPr>
            <w:tcW w:w="3055" w:type="dxa"/>
          </w:tcPr>
          <w:p>
            <w:pPr>
              <w:snapToGrid w:val="0"/>
              <w:rPr>
                <w:rFonts w:ascii="宋体" w:hAnsi="宋体"/>
                <w:sz w:val="18"/>
                <w:szCs w:val="21"/>
              </w:rPr>
            </w:pPr>
          </w:p>
        </w:tc>
        <w:tc>
          <w:tcPr>
            <w:tcW w:w="5216" w:type="dxa"/>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9"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3</w:t>
            </w:r>
          </w:p>
        </w:tc>
        <w:tc>
          <w:tcPr>
            <w:tcW w:w="3055" w:type="dxa"/>
          </w:tcPr>
          <w:p>
            <w:pPr>
              <w:snapToGrid w:val="0"/>
              <w:rPr>
                <w:rFonts w:ascii="宋体" w:hAnsi="宋体"/>
                <w:sz w:val="18"/>
                <w:szCs w:val="21"/>
              </w:rPr>
            </w:pPr>
          </w:p>
        </w:tc>
        <w:tc>
          <w:tcPr>
            <w:tcW w:w="5216" w:type="dxa"/>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9"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4</w:t>
            </w:r>
          </w:p>
        </w:tc>
        <w:tc>
          <w:tcPr>
            <w:tcW w:w="3055" w:type="dxa"/>
          </w:tcPr>
          <w:p>
            <w:pPr>
              <w:snapToGrid w:val="0"/>
              <w:rPr>
                <w:rFonts w:ascii="宋体" w:hAnsi="宋体"/>
                <w:sz w:val="18"/>
                <w:szCs w:val="21"/>
              </w:rPr>
            </w:pPr>
          </w:p>
        </w:tc>
        <w:tc>
          <w:tcPr>
            <w:tcW w:w="5216" w:type="dxa"/>
          </w:tcPr>
          <w:p>
            <w:pPr>
              <w:snapToGrid w:val="0"/>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9" w:hRule="atLeast"/>
          <w:jc w:val="center"/>
        </w:trPr>
        <w:tc>
          <w:tcPr>
            <w:tcW w:w="678" w:type="dxa"/>
            <w:vAlign w:val="center"/>
          </w:tcPr>
          <w:p>
            <w:pPr>
              <w:snapToGrid w:val="0"/>
              <w:jc w:val="center"/>
              <w:rPr>
                <w:rFonts w:ascii="宋体" w:hAnsi="宋体"/>
                <w:sz w:val="18"/>
                <w:szCs w:val="21"/>
              </w:rPr>
            </w:pPr>
            <w:r>
              <w:rPr>
                <w:rFonts w:hint="eastAsia" w:ascii="宋体" w:hAnsi="宋体"/>
                <w:sz w:val="18"/>
                <w:szCs w:val="21"/>
              </w:rPr>
              <w:t>……</w:t>
            </w:r>
          </w:p>
        </w:tc>
        <w:tc>
          <w:tcPr>
            <w:tcW w:w="3055" w:type="dxa"/>
          </w:tcPr>
          <w:p>
            <w:pPr>
              <w:snapToGrid w:val="0"/>
              <w:rPr>
                <w:rFonts w:ascii="宋体" w:hAnsi="宋体"/>
                <w:sz w:val="18"/>
                <w:szCs w:val="21"/>
              </w:rPr>
            </w:pPr>
          </w:p>
        </w:tc>
        <w:tc>
          <w:tcPr>
            <w:tcW w:w="5216" w:type="dxa"/>
          </w:tcPr>
          <w:p>
            <w:pPr>
              <w:snapToGrid w:val="0"/>
              <w:rPr>
                <w:rFonts w:ascii="宋体" w:hAnsi="宋体"/>
                <w:sz w:val="18"/>
                <w:szCs w:val="21"/>
              </w:rPr>
            </w:pPr>
          </w:p>
        </w:tc>
      </w:tr>
    </w:tbl>
    <w:p>
      <w:pPr>
        <w:spacing w:line="480" w:lineRule="auto"/>
        <w:rPr>
          <w:rFonts w:ascii="宋体" w:hAnsi="宋体"/>
          <w:szCs w:val="44"/>
        </w:rPr>
      </w:pPr>
      <w:r>
        <w:rPr>
          <w:rFonts w:hint="eastAsia" w:ascii="宋体" w:hAnsi="宋体"/>
          <w:szCs w:val="21"/>
        </w:rPr>
        <w:t>评标委员会全体成员签字</w:t>
      </w:r>
      <w:r>
        <w:rPr>
          <w:rFonts w:hint="eastAsia" w:ascii="宋体" w:hAnsi="宋体"/>
        </w:rPr>
        <w:t>/日期：</w:t>
      </w:r>
    </w:p>
    <w:p>
      <w:pPr>
        <w:snapToGrid w:val="0"/>
        <w:rPr>
          <w:rFonts w:ascii="宋体" w:hAnsi="宋体"/>
          <w:szCs w:val="44"/>
        </w:rPr>
      </w:pPr>
      <w:r>
        <w:rPr>
          <w:rFonts w:ascii="宋体" w:hAnsi="宋体"/>
          <w:szCs w:val="44"/>
        </w:rPr>
        <w:br w:type="page"/>
      </w:r>
    </w:p>
    <w:p>
      <w:pPr>
        <w:pStyle w:val="6"/>
        <w:rPr>
          <w:rFonts w:ascii="黑体" w:hAnsi="黑体" w:eastAsia="黑体"/>
          <w:b w:val="0"/>
          <w:bCs w:val="0"/>
          <w:sz w:val="24"/>
        </w:rPr>
      </w:pPr>
      <w:bookmarkStart w:id="179" w:name="_Toc300678114"/>
      <w:r>
        <w:rPr>
          <w:rFonts w:hint="eastAsia" w:ascii="黑体" w:hAnsi="黑体" w:eastAsia="黑体"/>
          <w:b w:val="0"/>
          <w:bCs w:val="0"/>
          <w:sz w:val="24"/>
        </w:rPr>
        <w:t>附表3-9：符合要求的投标人名单</w:t>
      </w:r>
      <w:bookmarkEnd w:id="179"/>
    </w:p>
    <w:p>
      <w:pPr/>
    </w:p>
    <w:p>
      <w:pPr>
        <w:snapToGrid w:val="0"/>
        <w:jc w:val="center"/>
        <w:rPr>
          <w:rFonts w:ascii="黑体" w:hAnsi="黑体" w:eastAsia="黑体"/>
          <w:bCs/>
          <w:sz w:val="28"/>
          <w:szCs w:val="28"/>
        </w:rPr>
      </w:pPr>
      <w:r>
        <w:rPr>
          <w:rFonts w:hint="eastAsia" w:ascii="黑体" w:hAnsi="黑体" w:eastAsia="黑体"/>
          <w:bCs/>
          <w:sz w:val="28"/>
          <w:szCs w:val="28"/>
        </w:rPr>
        <w:t>符合要求的投标人名单</w:t>
      </w:r>
    </w:p>
    <w:p>
      <w:pPr>
        <w:snapToGrid w:val="0"/>
        <w:jc w:val="center"/>
        <w:rPr>
          <w:rFonts w:ascii="黑体" w:hAnsi="黑体" w:eastAsia="黑体"/>
          <w:b/>
          <w:sz w:val="28"/>
          <w:szCs w:val="28"/>
        </w:rPr>
      </w:pPr>
    </w:p>
    <w:p>
      <w:pPr>
        <w:snapToGrid w:val="0"/>
        <w:spacing w:afterLines="50"/>
        <w:rPr>
          <w:rFonts w:ascii="宋体" w:hAnsi="宋体"/>
        </w:rPr>
      </w:pPr>
      <w:r>
        <w:rPr>
          <w:rFonts w:hint="eastAsia" w:ascii="宋体" w:hAnsi="宋体"/>
          <w:szCs w:val="21"/>
        </w:rPr>
        <w:t>工程名称：</w:t>
      </w:r>
      <w:r>
        <w:rPr>
          <w:rFonts w:hint="eastAsia" w:ascii="宋体" w:hAnsi="宋体"/>
        </w:rPr>
        <w:t xml:space="preserve"> （项目名称） 标段</w:t>
      </w:r>
    </w:p>
    <w:tbl>
      <w:tblPr>
        <w:tblStyle w:val="42"/>
        <w:tblW w:w="835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3"/>
        <w:gridCol w:w="5707"/>
        <w:gridCol w:w="18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843" w:type="dxa"/>
            <w:vAlign w:val="center"/>
          </w:tcPr>
          <w:p>
            <w:pPr>
              <w:snapToGrid w:val="0"/>
              <w:rPr>
                <w:rFonts w:ascii="宋体" w:hAnsi="宋体"/>
                <w:sz w:val="18"/>
              </w:rPr>
            </w:pPr>
            <w:r>
              <w:rPr>
                <w:rFonts w:hint="eastAsia" w:ascii="宋体" w:hAnsi="宋体"/>
                <w:sz w:val="18"/>
              </w:rPr>
              <w:t xml:space="preserve"> 序号</w:t>
            </w:r>
          </w:p>
        </w:tc>
        <w:tc>
          <w:tcPr>
            <w:tcW w:w="5707" w:type="dxa"/>
            <w:vAlign w:val="center"/>
          </w:tcPr>
          <w:p>
            <w:pPr>
              <w:snapToGrid w:val="0"/>
              <w:ind w:firstLine="360" w:firstLineChars="200"/>
              <w:jc w:val="center"/>
              <w:rPr>
                <w:rFonts w:ascii="宋体" w:hAnsi="宋体"/>
                <w:sz w:val="18"/>
              </w:rPr>
            </w:pPr>
            <w:r>
              <w:rPr>
                <w:rFonts w:hint="eastAsia" w:ascii="宋体" w:hAnsi="宋体"/>
                <w:sz w:val="18"/>
              </w:rPr>
              <w:t>投标人名称</w:t>
            </w:r>
          </w:p>
        </w:tc>
        <w:tc>
          <w:tcPr>
            <w:tcW w:w="1800" w:type="dxa"/>
            <w:vAlign w:val="center"/>
          </w:tcPr>
          <w:p>
            <w:pPr>
              <w:snapToGrid w:val="0"/>
              <w:jc w:val="center"/>
              <w:rPr>
                <w:rFonts w:ascii="宋体" w:hAnsi="宋体"/>
                <w:sz w:val="18"/>
              </w:rPr>
            </w:pPr>
            <w:r>
              <w:rPr>
                <w:rFonts w:hint="eastAsia" w:ascii="宋体" w:hAnsi="宋体"/>
                <w:sz w:val="1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7" w:hRule="atLeast"/>
          <w:jc w:val="center"/>
        </w:trPr>
        <w:tc>
          <w:tcPr>
            <w:tcW w:w="843" w:type="dxa"/>
            <w:vAlign w:val="center"/>
          </w:tcPr>
          <w:p>
            <w:pPr>
              <w:snapToGrid w:val="0"/>
              <w:ind w:firstLine="420" w:firstLineChars="200"/>
              <w:jc w:val="center"/>
              <w:rPr>
                <w:rFonts w:ascii="宋体" w:hAnsi="宋体"/>
              </w:rPr>
            </w:pPr>
          </w:p>
        </w:tc>
        <w:tc>
          <w:tcPr>
            <w:tcW w:w="5707" w:type="dxa"/>
            <w:vAlign w:val="center"/>
          </w:tcPr>
          <w:p>
            <w:pPr>
              <w:snapToGrid w:val="0"/>
              <w:ind w:firstLine="420" w:firstLineChars="200"/>
              <w:jc w:val="center"/>
              <w:rPr>
                <w:rFonts w:ascii="宋体" w:hAnsi="宋体"/>
              </w:rPr>
            </w:pPr>
          </w:p>
        </w:tc>
        <w:tc>
          <w:tcPr>
            <w:tcW w:w="1800" w:type="dxa"/>
            <w:vAlign w:val="center"/>
          </w:tcPr>
          <w:p>
            <w:pPr>
              <w:snapToGrid w:val="0"/>
              <w:ind w:firstLine="420" w:firstLineChars="200"/>
              <w:jc w:val="center"/>
              <w:rPr>
                <w:rFonts w:ascii="宋体" w:hAnsi="宋体"/>
              </w:rPr>
            </w:pPr>
          </w:p>
        </w:tc>
      </w:tr>
    </w:tbl>
    <w:p>
      <w:pPr>
        <w:spacing w:line="440" w:lineRule="exact"/>
        <w:rPr>
          <w:rFonts w:ascii="宋体" w:hAnsi="宋体"/>
          <w:szCs w:val="44"/>
        </w:rPr>
      </w:pPr>
      <w:r>
        <w:rPr>
          <w:rFonts w:hint="eastAsia" w:ascii="宋体" w:hAnsi="宋体"/>
          <w:szCs w:val="21"/>
        </w:rPr>
        <w:t>评标委员会全体成员签字</w:t>
      </w:r>
      <w:r>
        <w:rPr>
          <w:rFonts w:hint="eastAsia" w:ascii="宋体" w:hAnsi="宋体"/>
        </w:rPr>
        <w:t>/日期：</w:t>
      </w:r>
    </w:p>
    <w:p>
      <w:pPr>
        <w:snapToGrid w:val="0"/>
        <w:rPr>
          <w:rFonts w:ascii="宋体" w:hAnsi="宋体"/>
        </w:rPr>
      </w:pPr>
    </w:p>
    <w:p>
      <w:pPr>
        <w:snapToGrid w:val="0"/>
        <w:rPr>
          <w:rFonts w:ascii="宋体" w:hAnsi="宋体"/>
        </w:rPr>
      </w:pPr>
    </w:p>
    <w:p>
      <w:pPr>
        <w:snapToGrid w:val="0"/>
        <w:rPr>
          <w:rFonts w:ascii="宋体" w:hAnsi="宋体"/>
          <w:sz w:val="18"/>
          <w:szCs w:val="18"/>
        </w:rPr>
      </w:pPr>
      <w:r>
        <w:rPr>
          <w:rFonts w:hint="eastAsia" w:ascii="宋体" w:hAnsi="宋体"/>
          <w:sz w:val="18"/>
          <w:szCs w:val="18"/>
        </w:rPr>
        <w:t>备注：本表中投标人排名不分先后。</w:t>
      </w:r>
    </w:p>
    <w:p>
      <w:pPr>
        <w:rPr>
          <w:rFonts w:ascii="黑体" w:hAnsi="宋体" w:eastAsia="黑体"/>
          <w:sz w:val="24"/>
          <w:szCs w:val="28"/>
        </w:rPr>
      </w:pPr>
    </w:p>
    <w:p>
      <w:pPr>
        <w:rPr>
          <w:rFonts w:ascii="黑体" w:hAnsi="宋体" w:eastAsia="黑体"/>
          <w:sz w:val="24"/>
          <w:szCs w:val="28"/>
        </w:rPr>
      </w:pPr>
      <w:r>
        <w:rPr>
          <w:rFonts w:ascii="黑体" w:hAnsi="宋体" w:eastAsia="黑体"/>
          <w:sz w:val="24"/>
          <w:szCs w:val="28"/>
        </w:rPr>
        <w:br w:type="page"/>
      </w:r>
    </w:p>
    <w:p>
      <w:pPr>
        <w:pStyle w:val="6"/>
        <w:rPr>
          <w:rFonts w:ascii="黑体" w:hAnsi="宋体" w:eastAsia="黑体"/>
          <w:sz w:val="28"/>
        </w:rPr>
      </w:pPr>
      <w:bookmarkStart w:id="180" w:name="_Toc300678115"/>
      <w:r>
        <w:rPr>
          <w:rFonts w:hint="eastAsia" w:ascii="黑体" w:hAnsi="黑体" w:eastAsia="黑体"/>
          <w:b w:val="0"/>
          <w:bCs w:val="0"/>
          <w:sz w:val="24"/>
        </w:rPr>
        <w:t>附表3-10：算术错误分析及修正记录表</w:t>
      </w:r>
      <w:bookmarkEnd w:id="180"/>
    </w:p>
    <w:p>
      <w:pPr>
        <w:spacing w:beforeLines="50" w:afterLines="50"/>
        <w:jc w:val="center"/>
        <w:rPr>
          <w:rFonts w:ascii="黑体" w:eastAsia="黑体"/>
          <w:sz w:val="28"/>
          <w:szCs w:val="32"/>
        </w:rPr>
      </w:pPr>
      <w:r>
        <w:rPr>
          <w:rFonts w:hint="eastAsia" w:ascii="黑体" w:eastAsia="黑体"/>
          <w:sz w:val="28"/>
          <w:szCs w:val="32"/>
        </w:rPr>
        <w:t>算术错误分析及修正记录表</w:t>
      </w:r>
    </w:p>
    <w:p>
      <w:pPr>
        <w:rPr>
          <w:rFonts w:ascii="宋体" w:hAnsi="宋体"/>
          <w:szCs w:val="21"/>
        </w:rPr>
      </w:pPr>
      <w:r>
        <w:rPr>
          <w:rFonts w:hint="eastAsia" w:ascii="宋体" w:hAnsi="宋体"/>
          <w:szCs w:val="21"/>
        </w:rPr>
        <w:t>投标人名称：                                                            单位：元</w:t>
      </w:r>
    </w:p>
    <w:tbl>
      <w:tblPr>
        <w:tblStyle w:val="42"/>
        <w:tblW w:w="828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60"/>
        <w:gridCol w:w="1253"/>
        <w:gridCol w:w="1267"/>
        <w:gridCol w:w="1260"/>
        <w:gridCol w:w="2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66" w:hRule="atLeast"/>
          <w:jc w:val="center"/>
        </w:trPr>
        <w:tc>
          <w:tcPr>
            <w:tcW w:w="720" w:type="dxa"/>
            <w:vAlign w:val="center"/>
          </w:tcPr>
          <w:p>
            <w:pPr>
              <w:jc w:val="center"/>
              <w:rPr>
                <w:rFonts w:ascii="宋体" w:hAnsi="宋体"/>
                <w:sz w:val="18"/>
                <w:szCs w:val="21"/>
              </w:rPr>
            </w:pPr>
            <w:r>
              <w:rPr>
                <w:rFonts w:hint="eastAsia" w:ascii="宋体" w:hAnsi="宋体"/>
                <w:sz w:val="18"/>
                <w:szCs w:val="21"/>
              </w:rPr>
              <w:t>序号</w:t>
            </w:r>
          </w:p>
        </w:tc>
        <w:tc>
          <w:tcPr>
            <w:tcW w:w="1260" w:type="dxa"/>
            <w:vAlign w:val="center"/>
          </w:tcPr>
          <w:p>
            <w:pPr>
              <w:jc w:val="center"/>
              <w:rPr>
                <w:rFonts w:ascii="宋体" w:hAnsi="宋体"/>
                <w:sz w:val="18"/>
                <w:szCs w:val="21"/>
              </w:rPr>
            </w:pPr>
            <w:r>
              <w:rPr>
                <w:rFonts w:hint="eastAsia" w:ascii="宋体" w:hAnsi="宋体"/>
                <w:sz w:val="18"/>
                <w:szCs w:val="21"/>
              </w:rPr>
              <w:t>项目名称</w:t>
            </w:r>
          </w:p>
        </w:tc>
        <w:tc>
          <w:tcPr>
            <w:tcW w:w="1253" w:type="dxa"/>
            <w:vAlign w:val="center"/>
          </w:tcPr>
          <w:p>
            <w:pPr>
              <w:jc w:val="center"/>
              <w:rPr>
                <w:rFonts w:ascii="宋体" w:hAnsi="宋体"/>
                <w:sz w:val="18"/>
                <w:szCs w:val="21"/>
              </w:rPr>
            </w:pPr>
            <w:r>
              <w:rPr>
                <w:rFonts w:hint="eastAsia" w:ascii="宋体" w:hAnsi="宋体"/>
                <w:sz w:val="18"/>
                <w:szCs w:val="21"/>
              </w:rPr>
              <w:t>投标价格</w:t>
            </w:r>
          </w:p>
        </w:tc>
        <w:tc>
          <w:tcPr>
            <w:tcW w:w="1267" w:type="dxa"/>
            <w:vAlign w:val="center"/>
          </w:tcPr>
          <w:p>
            <w:pPr>
              <w:jc w:val="center"/>
              <w:rPr>
                <w:rFonts w:ascii="宋体" w:hAnsi="宋体"/>
                <w:sz w:val="18"/>
                <w:szCs w:val="21"/>
              </w:rPr>
            </w:pPr>
            <w:r>
              <w:rPr>
                <w:rFonts w:hint="eastAsia" w:ascii="宋体" w:hAnsi="宋体"/>
                <w:sz w:val="18"/>
                <w:szCs w:val="21"/>
              </w:rPr>
              <w:t>算术正确</w:t>
            </w:r>
          </w:p>
          <w:p>
            <w:pPr>
              <w:jc w:val="center"/>
              <w:rPr>
                <w:rFonts w:ascii="宋体" w:hAnsi="宋体"/>
                <w:sz w:val="18"/>
                <w:szCs w:val="21"/>
              </w:rPr>
            </w:pPr>
            <w:r>
              <w:rPr>
                <w:rFonts w:hint="eastAsia" w:ascii="宋体" w:hAnsi="宋体"/>
                <w:sz w:val="18"/>
                <w:szCs w:val="21"/>
              </w:rPr>
              <w:t>投标价</w:t>
            </w:r>
          </w:p>
        </w:tc>
        <w:tc>
          <w:tcPr>
            <w:tcW w:w="1260" w:type="dxa"/>
            <w:vAlign w:val="center"/>
          </w:tcPr>
          <w:p>
            <w:pPr>
              <w:jc w:val="center"/>
              <w:rPr>
                <w:rFonts w:ascii="宋体" w:hAnsi="宋体"/>
                <w:sz w:val="18"/>
                <w:szCs w:val="21"/>
              </w:rPr>
            </w:pPr>
            <w:r>
              <w:rPr>
                <w:rFonts w:hint="eastAsia" w:ascii="宋体" w:hAnsi="宋体"/>
                <w:sz w:val="18"/>
                <w:szCs w:val="21"/>
              </w:rPr>
              <w:t>差额</w:t>
            </w:r>
          </w:p>
        </w:tc>
        <w:tc>
          <w:tcPr>
            <w:tcW w:w="2520" w:type="dxa"/>
            <w:vAlign w:val="center"/>
          </w:tcPr>
          <w:p>
            <w:pPr>
              <w:jc w:val="center"/>
              <w:rPr>
                <w:rFonts w:ascii="宋体" w:hAnsi="宋体"/>
                <w:sz w:val="18"/>
                <w:szCs w:val="21"/>
              </w:rPr>
            </w:pPr>
            <w:r>
              <w:rPr>
                <w:rFonts w:hint="eastAsia" w:ascii="宋体" w:hAnsi="宋体"/>
                <w:sz w:val="18"/>
                <w:szCs w:val="21"/>
              </w:rPr>
              <w:t>有关事项备注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720"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1253" w:type="dxa"/>
            <w:vAlign w:val="center"/>
          </w:tcPr>
          <w:p>
            <w:pPr>
              <w:jc w:val="center"/>
              <w:rPr>
                <w:rFonts w:ascii="宋体" w:hAnsi="宋体"/>
                <w:sz w:val="18"/>
                <w:szCs w:val="21"/>
              </w:rPr>
            </w:pPr>
          </w:p>
        </w:tc>
        <w:tc>
          <w:tcPr>
            <w:tcW w:w="1267" w:type="dxa"/>
            <w:vAlign w:val="center"/>
          </w:tcPr>
          <w:p>
            <w:pPr>
              <w:jc w:val="center"/>
              <w:rPr>
                <w:rFonts w:ascii="宋体" w:hAnsi="宋体"/>
                <w:sz w:val="18"/>
                <w:szCs w:val="21"/>
              </w:rPr>
            </w:pP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4500" w:type="dxa"/>
            <w:gridSpan w:val="4"/>
            <w:vAlign w:val="center"/>
          </w:tcPr>
          <w:p>
            <w:pPr>
              <w:jc w:val="center"/>
              <w:rPr>
                <w:rFonts w:ascii="宋体" w:hAnsi="宋体"/>
                <w:sz w:val="18"/>
                <w:szCs w:val="21"/>
              </w:rPr>
            </w:pPr>
            <w:r>
              <w:rPr>
                <w:rFonts w:hint="eastAsia" w:ascii="宋体" w:hAnsi="宋体"/>
                <w:sz w:val="18"/>
                <w:szCs w:val="21"/>
              </w:rPr>
              <w:t>修正后的投标总价（投标报价+Σ差额）</w:t>
            </w:r>
          </w:p>
        </w:tc>
        <w:tc>
          <w:tcPr>
            <w:tcW w:w="1260" w:type="dxa"/>
            <w:vAlign w:val="center"/>
          </w:tcPr>
          <w:p>
            <w:pPr>
              <w:jc w:val="center"/>
              <w:rPr>
                <w:rFonts w:ascii="宋体" w:hAnsi="宋体"/>
                <w:sz w:val="18"/>
                <w:szCs w:val="21"/>
              </w:rPr>
            </w:pPr>
          </w:p>
        </w:tc>
        <w:tc>
          <w:tcPr>
            <w:tcW w:w="2520" w:type="dxa"/>
            <w:vAlign w:val="center"/>
          </w:tcPr>
          <w:p>
            <w:pPr>
              <w:jc w:val="center"/>
              <w:rPr>
                <w:rFonts w:ascii="宋体" w:hAnsi="宋体"/>
                <w:sz w:val="18"/>
                <w:szCs w:val="21"/>
              </w:rPr>
            </w:pPr>
          </w:p>
        </w:tc>
      </w:tr>
    </w:tbl>
    <w:p>
      <w:pPr>
        <w:spacing w:line="312" w:lineRule="auto"/>
        <w:rPr>
          <w:b/>
        </w:rPr>
      </w:pPr>
      <w:r>
        <w:rPr>
          <w:rFonts w:hint="eastAsia" w:ascii="宋体" w:hAnsi="宋体"/>
          <w:szCs w:val="21"/>
        </w:rPr>
        <w:t>评标委员会全体成员签字/日期：</w:t>
      </w:r>
    </w:p>
    <w:p>
      <w:pPr>
        <w:spacing w:line="312" w:lineRule="auto"/>
        <w:rPr>
          <w:rFonts w:ascii="黑体" w:hAnsi="黑体" w:eastAsia="黑体"/>
          <w:b/>
          <w:bCs/>
          <w:sz w:val="24"/>
        </w:rPr>
      </w:pPr>
      <w:bookmarkStart w:id="181" w:name="_Toc300678116"/>
      <w:r>
        <w:rPr>
          <w:rFonts w:ascii="宋体" w:hAnsi="宋体"/>
          <w:szCs w:val="21"/>
        </w:rPr>
        <w:br w:type="page"/>
      </w:r>
    </w:p>
    <w:p>
      <w:pPr>
        <w:pStyle w:val="6"/>
        <w:spacing w:line="240" w:lineRule="auto"/>
        <w:rPr>
          <w:rFonts w:ascii="黑体" w:hAnsi="黑体" w:eastAsia="黑体"/>
          <w:b w:val="0"/>
          <w:bCs w:val="0"/>
          <w:sz w:val="24"/>
        </w:rPr>
      </w:pPr>
      <w:r>
        <w:rPr>
          <w:rFonts w:hint="eastAsia" w:ascii="黑体" w:hAnsi="黑体" w:eastAsia="黑体"/>
          <w:b w:val="0"/>
          <w:bCs w:val="0"/>
          <w:sz w:val="24"/>
        </w:rPr>
        <w:t>附表3-11：信誉评审计分表</w:t>
      </w:r>
      <w:bookmarkEnd w:id="181"/>
    </w:p>
    <w:p>
      <w:pPr>
        <w:pStyle w:val="33"/>
        <w:spacing w:before="156" w:beforeAutospacing="0" w:after="156" w:afterAutospacing="0" w:line="380" w:lineRule="atLeast"/>
        <w:ind w:firstLine="318"/>
        <w:jc w:val="center"/>
        <w:rPr>
          <w:rFonts w:ascii="Calibri" w:hAnsi="Calibri" w:cs="Calibri"/>
          <w:color w:val="333333"/>
          <w:sz w:val="32"/>
          <w:szCs w:val="32"/>
        </w:rPr>
      </w:pPr>
      <w:r>
        <w:rPr>
          <w:rFonts w:hint="eastAsia" w:ascii="宋体" w:hAnsi="宋体" w:cs="宋体"/>
          <w:b/>
          <w:color w:val="000000"/>
          <w:sz w:val="32"/>
          <w:szCs w:val="32"/>
          <w:shd w:val="clear" w:color="auto" w:fill="FFFFFF"/>
        </w:rPr>
        <w:t>信誉评审计分表</w:t>
      </w:r>
    </w:p>
    <w:tbl>
      <w:tblPr>
        <w:tblStyle w:val="42"/>
        <w:tblW w:w="8951" w:type="dxa"/>
        <w:jc w:val="center"/>
        <w:tblInd w:w="-5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828"/>
        <w:gridCol w:w="1080"/>
        <w:gridCol w:w="1026"/>
        <w:gridCol w:w="1247"/>
        <w:gridCol w:w="2880"/>
        <w:gridCol w:w="900"/>
        <w:gridCol w:w="99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37" w:hRule="atLeast"/>
          <w:jc w:val="center"/>
        </w:trPr>
        <w:tc>
          <w:tcPr>
            <w:tcW w:w="828" w:type="dxa"/>
            <w:tcBorders>
              <w:top w:val="single" w:color="auto" w:sz="12"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both"/>
              <w:rPr>
                <w:rFonts w:ascii="宋体" w:hAnsi="宋体" w:cs="宋体"/>
                <w:color w:val="333333"/>
                <w:sz w:val="18"/>
                <w:szCs w:val="18"/>
              </w:rPr>
            </w:pPr>
            <w:r>
              <w:rPr>
                <w:rFonts w:hint="eastAsia" w:ascii="宋体" w:hAnsi="宋体" w:cs="宋体"/>
                <w:color w:val="000000"/>
                <w:sz w:val="18"/>
                <w:szCs w:val="18"/>
              </w:rPr>
              <w:t>序号</w:t>
            </w:r>
          </w:p>
        </w:tc>
        <w:tc>
          <w:tcPr>
            <w:tcW w:w="1080" w:type="dxa"/>
            <w:tcBorders>
              <w:top w:val="single" w:color="auto" w:sz="12"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both"/>
              <w:rPr>
                <w:rFonts w:ascii="宋体" w:hAnsi="宋体" w:cs="宋体"/>
                <w:color w:val="333333"/>
                <w:sz w:val="18"/>
                <w:szCs w:val="18"/>
              </w:rPr>
            </w:pPr>
            <w:r>
              <w:rPr>
                <w:rFonts w:hint="eastAsia" w:ascii="宋体" w:hAnsi="宋体" w:cs="宋体"/>
                <w:color w:val="000000"/>
                <w:sz w:val="18"/>
                <w:szCs w:val="18"/>
              </w:rPr>
              <w:t>项目</w:t>
            </w:r>
          </w:p>
        </w:tc>
        <w:tc>
          <w:tcPr>
            <w:tcW w:w="6053" w:type="dxa"/>
            <w:gridSpan w:val="4"/>
            <w:tcBorders>
              <w:top w:val="single" w:color="auto" w:sz="12"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评   审  标   准</w:t>
            </w:r>
          </w:p>
        </w:tc>
        <w:tc>
          <w:tcPr>
            <w:tcW w:w="990" w:type="dxa"/>
            <w:tcBorders>
              <w:top w:val="single" w:color="auto" w:sz="12" w:space="0"/>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both"/>
              <w:rPr>
                <w:rFonts w:ascii="宋体" w:hAnsi="宋体" w:cs="宋体"/>
                <w:color w:val="333333"/>
                <w:sz w:val="18"/>
                <w:szCs w:val="18"/>
              </w:rPr>
            </w:pPr>
            <w:r>
              <w:rPr>
                <w:rFonts w:hint="eastAsia" w:ascii="宋体" w:hAnsi="宋体" w:cs="宋体"/>
                <w:color w:val="000000"/>
                <w:sz w:val="18"/>
                <w:szCs w:val="18"/>
              </w:rPr>
              <w:t>评审计分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65" w:hRule="atLeast"/>
          <w:jc w:val="center"/>
        </w:trPr>
        <w:tc>
          <w:tcPr>
            <w:tcW w:w="828" w:type="dxa"/>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1</w:t>
            </w:r>
          </w:p>
        </w:tc>
        <w:tc>
          <w:tcPr>
            <w:tcW w:w="1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both"/>
              <w:rPr>
                <w:rFonts w:ascii="宋体" w:hAnsi="宋体" w:cs="宋体"/>
                <w:color w:val="333333"/>
                <w:sz w:val="18"/>
                <w:szCs w:val="18"/>
              </w:rPr>
            </w:pPr>
            <w:r>
              <w:rPr>
                <w:rFonts w:hint="eastAsia" w:ascii="宋体" w:hAnsi="宋体" w:cs="宋体"/>
                <w:color w:val="000000"/>
                <w:sz w:val="18"/>
                <w:szCs w:val="18"/>
              </w:rPr>
              <w:t>类似项目经历</w:t>
            </w:r>
          </w:p>
        </w:tc>
        <w:tc>
          <w:tcPr>
            <w:tcW w:w="6053" w:type="dxa"/>
            <w:gridSpan w:val="4"/>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每项省内工程加5分，每项省外工程加4分，最多合计加两项工程</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22" w:hRule="atLeast"/>
          <w:jc w:val="center"/>
        </w:trPr>
        <w:tc>
          <w:tcPr>
            <w:tcW w:w="828" w:type="dxa"/>
            <w:vMerge w:val="restart"/>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2</w:t>
            </w:r>
          </w:p>
        </w:tc>
        <w:tc>
          <w:tcPr>
            <w:tcW w:w="1080" w:type="dxa"/>
            <w:vMerge w:val="restart"/>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工程获奖情况</w:t>
            </w:r>
          </w:p>
        </w:tc>
        <w:tc>
          <w:tcPr>
            <w:tcW w:w="1026"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国家级</w:t>
            </w:r>
          </w:p>
        </w:tc>
        <w:tc>
          <w:tcPr>
            <w:tcW w:w="4127"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每项鲁班奖</w:t>
            </w:r>
          </w:p>
        </w:tc>
        <w:tc>
          <w:tcPr>
            <w:tcW w:w="90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4</w:t>
            </w:r>
          </w:p>
        </w:tc>
        <w:tc>
          <w:tcPr>
            <w:tcW w:w="990" w:type="dxa"/>
            <w:tcBorders>
              <w:top w:val="single" w:color="auto" w:sz="8" w:space="0"/>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64" w:hRule="atLeast"/>
          <w:jc w:val="center"/>
        </w:trPr>
        <w:tc>
          <w:tcPr>
            <w:tcW w:w="828" w:type="dxa"/>
            <w:vMerge w:val="continue"/>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jc w:val="cente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每项在全国范围组织学习交流的建设工程项目施工安全生产标准化工地或全国建筑工程装饰奖等</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3</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40" w:hRule="atLeast"/>
          <w:jc w:val="center"/>
        </w:trPr>
        <w:tc>
          <w:tcPr>
            <w:tcW w:w="828" w:type="dxa"/>
            <w:vMerge w:val="continue"/>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restart"/>
            <w:tcBorders>
              <w:top w:val="nil"/>
              <w:left w:val="nil"/>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省级</w:t>
            </w: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每项芙蓉奖工程</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3</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80" w:hRule="atLeast"/>
          <w:jc w:val="center"/>
        </w:trPr>
        <w:tc>
          <w:tcPr>
            <w:tcW w:w="828" w:type="dxa"/>
            <w:vMerge w:val="continue"/>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nil"/>
              <w:left w:val="nil"/>
              <w:bottom w:val="nil"/>
              <w:right w:val="single" w:color="auto" w:sz="8" w:space="0"/>
            </w:tcBorders>
            <w:shd w:val="clear" w:color="auto" w:fill="auto"/>
            <w:tcMar>
              <w:top w:w="0" w:type="dxa"/>
              <w:left w:w="108" w:type="dxa"/>
              <w:bottom w:w="0" w:type="dxa"/>
              <w:right w:w="108" w:type="dxa"/>
            </w:tcMar>
            <w:vAlign w:val="center"/>
          </w:tcPr>
          <w:p>
            <w:pPr>
              <w:jc w:val="cente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每项省优质工程</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1</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633" w:hRule="atLeast"/>
          <w:jc w:val="center"/>
        </w:trPr>
        <w:tc>
          <w:tcPr>
            <w:tcW w:w="828" w:type="dxa"/>
            <w:vMerge w:val="continue"/>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nil"/>
              <w:left w:val="nil"/>
              <w:bottom w:val="nil"/>
              <w:right w:val="single" w:color="auto" w:sz="8" w:space="0"/>
            </w:tcBorders>
            <w:shd w:val="clear" w:color="auto" w:fill="auto"/>
            <w:tcMar>
              <w:top w:w="0" w:type="dxa"/>
              <w:left w:w="108" w:type="dxa"/>
              <w:bottom w:w="0" w:type="dxa"/>
              <w:right w:w="108" w:type="dxa"/>
            </w:tcMar>
            <w:vAlign w:val="center"/>
          </w:tcPr>
          <w:p>
            <w:pPr>
              <w:jc w:val="cente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每项省建筑施工安全生产标准化年度项目考评优良工地</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0.3</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27" w:hRule="atLeast"/>
          <w:jc w:val="center"/>
        </w:trPr>
        <w:tc>
          <w:tcPr>
            <w:tcW w:w="828" w:type="dxa"/>
            <w:vMerge w:val="continue"/>
            <w:tcBorders>
              <w:top w:val="nil"/>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jc w:val="cente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每项省建筑施工安全生产标准化年度考评优良企业</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2</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333333"/>
                <w:sz w:val="18"/>
                <w:szCs w:val="18"/>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89" w:hRule="atLeast"/>
          <w:jc w:val="center"/>
        </w:trPr>
        <w:tc>
          <w:tcPr>
            <w:tcW w:w="828" w:type="dxa"/>
            <w:vMerge w:val="restart"/>
            <w:tcBorders>
              <w:top w:val="single" w:color="auto" w:sz="8" w:space="0"/>
              <w:left w:val="single" w:color="auto" w:sz="12" w:space="0"/>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3</w:t>
            </w:r>
          </w:p>
        </w:tc>
        <w:tc>
          <w:tcPr>
            <w:tcW w:w="1080" w:type="dxa"/>
            <w:vMerge w:val="restart"/>
            <w:tcBorders>
              <w:top w:val="single" w:color="auto" w:sz="4" w:space="0"/>
              <w:left w:val="nil"/>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企业获奖与认证</w:t>
            </w:r>
          </w:p>
        </w:tc>
        <w:tc>
          <w:tcPr>
            <w:tcW w:w="1026" w:type="dxa"/>
            <w:vMerge w:val="restart"/>
            <w:tcBorders>
              <w:top w:val="single" w:color="auto" w:sz="4" w:space="0"/>
              <w:left w:val="nil"/>
              <w:bottom w:val="nil"/>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省级</w:t>
            </w: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安全认证优秀</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5</w:t>
            </w:r>
          </w:p>
        </w:tc>
        <w:tc>
          <w:tcPr>
            <w:tcW w:w="990" w:type="dxa"/>
            <w:vMerge w:val="restart"/>
            <w:tcBorders>
              <w:top w:val="nil"/>
              <w:left w:val="nil"/>
              <w:bottom w:val="nil"/>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79" w:hRule="atLeast"/>
          <w:jc w:val="center"/>
        </w:trPr>
        <w:tc>
          <w:tcPr>
            <w:tcW w:w="828" w:type="dxa"/>
            <w:vMerge w:val="continue"/>
            <w:tcBorders>
              <w:top w:val="single" w:color="auto" w:sz="8" w:space="0"/>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jc w:val="cente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安全认证合格</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4.5</w:t>
            </w:r>
          </w:p>
        </w:tc>
        <w:tc>
          <w:tcPr>
            <w:tcW w:w="990" w:type="dxa"/>
            <w:vMerge w:val="continue"/>
            <w:tcBorders>
              <w:top w:val="nil"/>
              <w:left w:val="nil"/>
              <w:bottom w:val="nil"/>
              <w:right w:val="single" w:color="auto" w:sz="12" w:space="0"/>
            </w:tcBorders>
            <w:shd w:val="clear" w:color="auto" w:fill="auto"/>
            <w:tcMar>
              <w:top w:w="0" w:type="dxa"/>
              <w:left w:w="108" w:type="dxa"/>
              <w:bottom w:w="0" w:type="dxa"/>
              <w:right w:w="108" w:type="dxa"/>
            </w:tcMar>
            <w:vAlign w:val="center"/>
          </w:tcPr>
          <w:p>
            <w:pPr>
              <w:rPr>
                <w:rFonts w:ascii="宋体" w:hAnsi="宋体" w:cs="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64" w:hRule="atLeast"/>
          <w:jc w:val="center"/>
        </w:trPr>
        <w:tc>
          <w:tcPr>
            <w:tcW w:w="828" w:type="dxa"/>
            <w:vMerge w:val="continue"/>
            <w:tcBorders>
              <w:top w:val="single" w:color="auto" w:sz="8" w:space="0"/>
              <w:left w:val="single" w:color="auto" w:sz="12" w:space="0"/>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nil"/>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市级</w:t>
            </w: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安全认证优秀</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4</w:t>
            </w:r>
          </w:p>
        </w:tc>
        <w:tc>
          <w:tcPr>
            <w:tcW w:w="990" w:type="dxa"/>
            <w:vMerge w:val="continue"/>
            <w:tcBorders>
              <w:top w:val="nil"/>
              <w:left w:val="nil"/>
              <w:bottom w:val="nil"/>
              <w:right w:val="single" w:color="auto" w:sz="12" w:space="0"/>
            </w:tcBorders>
            <w:shd w:val="clear" w:color="auto" w:fill="auto"/>
            <w:tcMar>
              <w:top w:w="0" w:type="dxa"/>
              <w:left w:w="108" w:type="dxa"/>
              <w:bottom w:w="0" w:type="dxa"/>
              <w:right w:w="108" w:type="dxa"/>
            </w:tcMar>
            <w:vAlign w:val="center"/>
          </w:tcPr>
          <w:p>
            <w:pPr>
              <w:rPr>
                <w:rFonts w:ascii="宋体" w:hAnsi="宋体" w:cs="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04" w:hRule="atLeast"/>
          <w:jc w:val="center"/>
        </w:trPr>
        <w:tc>
          <w:tcPr>
            <w:tcW w:w="828" w:type="dxa"/>
            <w:vMerge w:val="continue"/>
            <w:tcBorders>
              <w:top w:val="single" w:color="auto" w:sz="8" w:space="0"/>
              <w:left w:val="single" w:color="auto" w:sz="12" w:space="0"/>
              <w:bottom w:val="single" w:color="auto" w:sz="4"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2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412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安全认证合格</w:t>
            </w:r>
          </w:p>
        </w:tc>
        <w:tc>
          <w:tcPr>
            <w:tcW w:w="900"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3.5</w:t>
            </w:r>
          </w:p>
        </w:tc>
        <w:tc>
          <w:tcPr>
            <w:tcW w:w="990" w:type="dxa"/>
            <w:vMerge w:val="continue"/>
            <w:tcBorders>
              <w:top w:val="nil"/>
              <w:left w:val="nil"/>
              <w:bottom w:val="single" w:color="auto" w:sz="4" w:space="0"/>
              <w:right w:val="single" w:color="auto" w:sz="12" w:space="0"/>
            </w:tcBorders>
            <w:shd w:val="clear" w:color="auto" w:fill="auto"/>
            <w:tcMar>
              <w:top w:w="0" w:type="dxa"/>
              <w:left w:w="108" w:type="dxa"/>
              <w:bottom w:w="0" w:type="dxa"/>
              <w:right w:w="108" w:type="dxa"/>
            </w:tcMar>
            <w:vAlign w:val="center"/>
          </w:tcPr>
          <w:p>
            <w:pPr>
              <w:rPr>
                <w:rFonts w:ascii="宋体" w:hAnsi="宋体" w:cs="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515" w:hRule="atLeast"/>
          <w:jc w:val="center"/>
        </w:trPr>
        <w:tc>
          <w:tcPr>
            <w:tcW w:w="828" w:type="dxa"/>
            <w:vMerge w:val="restart"/>
            <w:tcBorders>
              <w:top w:val="single" w:color="auto" w:sz="4"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4</w:t>
            </w:r>
          </w:p>
        </w:tc>
        <w:tc>
          <w:tcPr>
            <w:tcW w:w="1080"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安全考评不合格情况</w:t>
            </w:r>
          </w:p>
        </w:tc>
        <w:tc>
          <w:tcPr>
            <w:tcW w:w="5153" w:type="dxa"/>
            <w:gridSpan w:val="3"/>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每项省建筑施工安全生产标准化季度项目考评不合格项目</w:t>
            </w:r>
          </w:p>
        </w:tc>
        <w:tc>
          <w:tcPr>
            <w:tcW w:w="900"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-0.3</w:t>
            </w:r>
          </w:p>
        </w:tc>
        <w:tc>
          <w:tcPr>
            <w:tcW w:w="990" w:type="dxa"/>
            <w:tcBorders>
              <w:top w:val="single" w:color="auto" w:sz="4" w:space="0"/>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80"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5153" w:type="dxa"/>
            <w:gridSpan w:val="3"/>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每项省建筑施工安全生产标准化年度考评不合格企业</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jc w:val="center"/>
              <w:rPr>
                <w:rFonts w:ascii="宋体" w:hAnsi="宋体" w:cs="宋体"/>
                <w:color w:val="333333"/>
                <w:sz w:val="18"/>
                <w:szCs w:val="18"/>
              </w:rPr>
            </w:pPr>
            <w:r>
              <w:rPr>
                <w:rFonts w:hint="eastAsia" w:ascii="宋体" w:hAnsi="宋体" w:cs="宋体"/>
                <w:color w:val="000000"/>
                <w:sz w:val="18"/>
                <w:szCs w:val="18"/>
              </w:rPr>
              <w:t>-2</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19" w:hRule="atLeast"/>
          <w:jc w:val="center"/>
        </w:trPr>
        <w:tc>
          <w:tcPr>
            <w:tcW w:w="828" w:type="dxa"/>
            <w:vMerge w:val="restart"/>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5</w:t>
            </w:r>
          </w:p>
        </w:tc>
        <w:tc>
          <w:tcPr>
            <w:tcW w:w="1080"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60" w:lineRule="atLeast"/>
              <w:ind w:firstLine="300"/>
              <w:jc w:val="center"/>
              <w:rPr>
                <w:rFonts w:ascii="宋体" w:hAnsi="宋体" w:cs="宋体"/>
                <w:color w:val="333333"/>
                <w:sz w:val="18"/>
                <w:szCs w:val="18"/>
              </w:rPr>
            </w:pPr>
            <w:r>
              <w:rPr>
                <w:rFonts w:hint="eastAsia" w:ascii="宋体" w:hAnsi="宋体" w:cs="宋体"/>
                <w:color w:val="000000"/>
                <w:spacing w:val="-12"/>
                <w:sz w:val="18"/>
                <w:szCs w:val="18"/>
              </w:rPr>
              <w:t>不良行为记录情况</w:t>
            </w:r>
          </w:p>
        </w:tc>
        <w:tc>
          <w:tcPr>
            <w:tcW w:w="2273" w:type="dxa"/>
            <w:gridSpan w:val="2"/>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拟任项目负责人</w:t>
            </w:r>
          </w:p>
        </w:tc>
        <w:tc>
          <w:tcPr>
            <w:tcW w:w="288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没有不良行为记录</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25</w:t>
            </w:r>
          </w:p>
        </w:tc>
        <w:tc>
          <w:tcPr>
            <w:tcW w:w="990" w:type="dxa"/>
            <w:tcBorders>
              <w:top w:val="single" w:color="auto" w:sz="8" w:space="0"/>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404"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2273"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3780"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每发生一次一般不良行为记录扣3分</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80"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2273"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3780"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每发生一次严重不良行为记录扣5分</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89"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2273" w:type="dxa"/>
            <w:gridSpan w:val="2"/>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pacing w:val="-8"/>
                <w:sz w:val="18"/>
                <w:szCs w:val="18"/>
              </w:rPr>
              <w:t>投标人</w:t>
            </w:r>
          </w:p>
        </w:tc>
        <w:tc>
          <w:tcPr>
            <w:tcW w:w="28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没有不良行为记录</w:t>
            </w:r>
          </w:p>
        </w:tc>
        <w:tc>
          <w:tcPr>
            <w:tcW w:w="9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75</w:t>
            </w:r>
          </w:p>
        </w:tc>
        <w:tc>
          <w:tcPr>
            <w:tcW w:w="990" w:type="dxa"/>
            <w:tcBorders>
              <w:top w:val="single" w:color="auto" w:sz="8" w:space="0"/>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290"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2273"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3780"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每发生一次一般不良行为记录扣２分</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10" w:hRule="atLeast"/>
          <w:jc w:val="center"/>
        </w:trPr>
        <w:tc>
          <w:tcPr>
            <w:tcW w:w="828" w:type="dxa"/>
            <w:vMerge w:val="continue"/>
            <w:tcBorders>
              <w:top w:val="nil"/>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1080"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2273"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ascii="宋体" w:hAnsi="宋体" w:cs="宋体"/>
                <w:sz w:val="18"/>
                <w:szCs w:val="18"/>
              </w:rPr>
            </w:pPr>
          </w:p>
        </w:tc>
        <w:tc>
          <w:tcPr>
            <w:tcW w:w="3780"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每发生一次严重不良行为记录扣４分</w:t>
            </w:r>
          </w:p>
        </w:tc>
        <w:tc>
          <w:tcPr>
            <w:tcW w:w="990" w:type="dxa"/>
            <w:tcBorders>
              <w:top w:val="nil"/>
              <w:left w:val="nil"/>
              <w:bottom w:val="single" w:color="auto" w:sz="8"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Ex>
        <w:trPr>
          <w:trHeight w:val="332" w:hRule="atLeast"/>
          <w:jc w:val="center"/>
        </w:trPr>
        <w:tc>
          <w:tcPr>
            <w:tcW w:w="828" w:type="dxa"/>
            <w:tcBorders>
              <w:top w:val="nil"/>
              <w:left w:val="single" w:color="auto" w:sz="12" w:space="0"/>
              <w:bottom w:val="single" w:color="auto" w:sz="12"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center"/>
              <w:rPr>
                <w:rFonts w:ascii="宋体" w:hAnsi="宋体" w:cs="宋体"/>
                <w:color w:val="333333"/>
                <w:sz w:val="18"/>
                <w:szCs w:val="18"/>
              </w:rPr>
            </w:pPr>
            <w:r>
              <w:rPr>
                <w:rFonts w:hint="eastAsia" w:ascii="宋体" w:hAnsi="宋体" w:cs="宋体"/>
                <w:color w:val="000000"/>
                <w:sz w:val="18"/>
                <w:szCs w:val="18"/>
              </w:rPr>
              <w:t>5</w:t>
            </w:r>
          </w:p>
        </w:tc>
        <w:tc>
          <w:tcPr>
            <w:tcW w:w="7133" w:type="dxa"/>
            <w:gridSpan w:val="5"/>
            <w:tcBorders>
              <w:top w:val="nil"/>
              <w:left w:val="nil"/>
              <w:bottom w:val="single" w:color="auto" w:sz="12" w:space="0"/>
              <w:right w:val="single" w:color="auto" w:sz="8"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000000"/>
                <w:sz w:val="18"/>
                <w:szCs w:val="18"/>
              </w:rPr>
              <w:t>合  计</w:t>
            </w:r>
          </w:p>
        </w:tc>
        <w:tc>
          <w:tcPr>
            <w:tcW w:w="990" w:type="dxa"/>
            <w:tcBorders>
              <w:top w:val="nil"/>
              <w:left w:val="nil"/>
              <w:bottom w:val="single" w:color="auto" w:sz="12" w:space="0"/>
              <w:right w:val="single" w:color="auto" w:sz="12" w:space="0"/>
            </w:tcBorders>
            <w:shd w:val="clear" w:color="auto" w:fill="auto"/>
            <w:tcMar>
              <w:top w:w="0" w:type="dxa"/>
              <w:left w:w="108" w:type="dxa"/>
              <w:bottom w:w="0" w:type="dxa"/>
              <w:right w:w="108" w:type="dxa"/>
            </w:tcMar>
            <w:vAlign w:val="center"/>
          </w:tcPr>
          <w:p>
            <w:pPr>
              <w:pStyle w:val="33"/>
              <w:spacing w:before="0" w:beforeAutospacing="0" w:after="0" w:afterAutospacing="0" w:line="320" w:lineRule="atLeast"/>
              <w:ind w:firstLine="300"/>
              <w:jc w:val="both"/>
              <w:rPr>
                <w:rFonts w:ascii="宋体" w:hAnsi="宋体" w:cs="宋体"/>
                <w:color w:val="333333"/>
                <w:sz w:val="18"/>
                <w:szCs w:val="18"/>
              </w:rPr>
            </w:pPr>
            <w:r>
              <w:rPr>
                <w:rFonts w:hint="eastAsia" w:ascii="宋体" w:hAnsi="宋体" w:cs="宋体"/>
                <w:color w:val="333333"/>
                <w:sz w:val="18"/>
                <w:szCs w:val="18"/>
              </w:rPr>
              <w:t> </w:t>
            </w:r>
          </w:p>
        </w:tc>
      </w:tr>
    </w:tbl>
    <w:p>
      <w:pPr>
        <w:pStyle w:val="33"/>
        <w:spacing w:before="0" w:beforeAutospacing="0" w:after="0" w:afterAutospacing="0" w:line="400" w:lineRule="atLeast"/>
        <w:ind w:right="-506" w:firstLine="300"/>
        <w:jc w:val="both"/>
        <w:rPr>
          <w:rFonts w:ascii="宋体" w:hAnsi="宋体" w:cs="宋体"/>
          <w:color w:val="333333"/>
          <w:sz w:val="18"/>
          <w:szCs w:val="18"/>
        </w:rPr>
      </w:pPr>
      <w:r>
        <w:rPr>
          <w:rFonts w:hint="eastAsia" w:ascii="宋体" w:hAnsi="宋体" w:cs="宋体"/>
          <w:color w:val="000000"/>
          <w:sz w:val="18"/>
          <w:szCs w:val="18"/>
          <w:shd w:val="clear" w:color="auto" w:fill="FFFFFF"/>
        </w:rPr>
        <w:t>备注：</w:t>
      </w:r>
    </w:p>
    <w:p>
      <w:pPr>
        <w:pStyle w:val="33"/>
        <w:spacing w:before="0" w:beforeAutospacing="0" w:after="0" w:afterAutospacing="0" w:line="480" w:lineRule="atLeast"/>
        <w:ind w:right="-506" w:firstLine="467"/>
        <w:jc w:val="both"/>
        <w:rPr>
          <w:rFonts w:ascii="宋体" w:hAnsi="宋体" w:cs="宋体"/>
          <w:b/>
          <w:bCs/>
          <w:color w:val="333333"/>
          <w:sz w:val="18"/>
          <w:szCs w:val="18"/>
        </w:rPr>
      </w:pPr>
      <w:r>
        <w:rPr>
          <w:rFonts w:hint="eastAsia" w:ascii="宋体" w:hAnsi="宋体" w:cs="宋体"/>
          <w:b/>
          <w:bCs/>
          <w:color w:val="000000"/>
          <w:sz w:val="18"/>
          <w:szCs w:val="18"/>
          <w:shd w:val="clear" w:color="auto" w:fill="FFFFFF"/>
        </w:rPr>
        <w:t>1．类似项目经历、工程获奖情况、企业通过安全认证、不良行为记录情况、联合体投标等除本规定另有规定外均按照《湖南省房屋建筑和市政工程施工招标投标人资格审查办法》相关规定执行，加分和扣分的有效期限计算以提交投标文件截止时间为准。</w:t>
      </w:r>
    </w:p>
    <w:p>
      <w:pPr>
        <w:pStyle w:val="33"/>
        <w:spacing w:before="0" w:beforeAutospacing="0" w:after="0" w:afterAutospacing="0" w:line="480" w:lineRule="atLeast"/>
        <w:ind w:right="-506" w:firstLine="467"/>
        <w:jc w:val="both"/>
        <w:rPr>
          <w:rFonts w:ascii="宋体" w:hAnsi="宋体" w:cs="宋体"/>
          <w:b/>
          <w:bCs/>
          <w:color w:val="333333"/>
          <w:sz w:val="18"/>
          <w:szCs w:val="18"/>
        </w:rPr>
      </w:pPr>
      <w:r>
        <w:rPr>
          <w:rFonts w:hint="eastAsia" w:ascii="宋体" w:hAnsi="宋体" w:cs="宋体"/>
          <w:b/>
          <w:bCs/>
          <w:color w:val="000000"/>
          <w:sz w:val="18"/>
          <w:szCs w:val="18"/>
          <w:shd w:val="clear" w:color="auto" w:fill="FFFFFF"/>
        </w:rPr>
        <w:t>2．鲁班奖、在全国范围组织学习交流的建设工程项目施工安全生产标准化工地、全国建筑工程装饰奖加分累计不超过2项；芙蓉奖、省优质工程加分累计不超过5项，湖南省建筑施工安全生产标准化年度项目考评优良工地加分累计不超过15项。拟任本招标项目的项目负责人获奖工程加分的工程项目合计不得超过2项。</w:t>
      </w:r>
    </w:p>
    <w:p>
      <w:pPr>
        <w:pStyle w:val="33"/>
        <w:spacing w:before="0" w:beforeAutospacing="0" w:after="0" w:afterAutospacing="0" w:line="480" w:lineRule="atLeast"/>
        <w:ind w:right="-506" w:firstLine="300"/>
        <w:jc w:val="both"/>
        <w:rPr>
          <w:rFonts w:ascii="Calibri" w:hAnsi="Calibri" w:cs="Calibri"/>
          <w:b/>
          <w:bCs/>
          <w:color w:val="333333"/>
          <w:sz w:val="18"/>
          <w:szCs w:val="18"/>
        </w:rPr>
      </w:pPr>
      <w:r>
        <w:rPr>
          <w:rFonts w:hint="eastAsia" w:ascii="宋体" w:hAnsi="宋体" w:cs="宋体"/>
          <w:b/>
          <w:bCs/>
          <w:color w:val="000000"/>
          <w:sz w:val="18"/>
          <w:szCs w:val="18"/>
          <w:shd w:val="clear" w:color="auto" w:fill="FFFFFF"/>
        </w:rPr>
        <w:t> 3．省外企业不按招标文件要求提供相应的情况、证明、文件等资料，其拟任的项目负责人、投标人的不良行为记录情况单个子项得分分别为10、50分；投标人提供相应的情况、证明、文件等资料与经查实的事实不相符合，且对该投标人有利的，按照本规定第二十三条第（一）项规定，认定其为不合格投标人。</w:t>
      </w:r>
    </w:p>
    <w:p>
      <w:pPr>
        <w:widowControl/>
        <w:spacing w:line="288" w:lineRule="auto"/>
        <w:rPr>
          <w:rFonts w:ascii="黑体" w:hAnsi="黑体" w:eastAsia="黑体"/>
          <w:sz w:val="24"/>
        </w:rPr>
      </w:pPr>
      <w:r>
        <w:rPr>
          <w:rFonts w:hint="eastAsia" w:ascii="宋体" w:hAnsi="宋体"/>
          <w:b/>
          <w:bCs/>
          <w:kern w:val="0"/>
          <w:sz w:val="18"/>
          <w:szCs w:val="18"/>
        </w:rPr>
        <w:t>评标委员会全体成员签字</w:t>
      </w:r>
      <w:r>
        <w:rPr>
          <w:rFonts w:ascii="宋体" w:hAnsi="宋体"/>
          <w:b/>
          <w:bCs/>
          <w:kern w:val="0"/>
          <w:sz w:val="18"/>
          <w:szCs w:val="18"/>
        </w:rPr>
        <w:t>/日期：</w:t>
      </w:r>
      <w:r>
        <w:br w:type="page"/>
      </w:r>
      <w:bookmarkStart w:id="182" w:name="_Toc300678117"/>
    </w:p>
    <w:p>
      <w:pPr>
        <w:pStyle w:val="6"/>
        <w:spacing w:line="460" w:lineRule="exact"/>
        <w:rPr>
          <w:rFonts w:ascii="黑体" w:hAnsi="黑体" w:eastAsia="黑体"/>
          <w:b w:val="0"/>
          <w:bCs w:val="0"/>
          <w:sz w:val="24"/>
        </w:rPr>
      </w:pPr>
      <w:r>
        <w:rPr>
          <w:rFonts w:hint="eastAsia" w:ascii="黑体" w:hAnsi="黑体" w:eastAsia="黑体"/>
          <w:b w:val="0"/>
          <w:bCs w:val="0"/>
          <w:sz w:val="24"/>
        </w:rPr>
        <w:t>附表3-12：成本评审结论记录表</w:t>
      </w:r>
      <w:bookmarkEnd w:id="182"/>
    </w:p>
    <w:p>
      <w:pPr>
        <w:spacing w:beforeLines="100" w:afterLines="100" w:line="460" w:lineRule="exact"/>
        <w:jc w:val="center"/>
        <w:rPr>
          <w:rFonts w:ascii="宋体" w:hAnsi="宋体"/>
          <w:b/>
          <w:sz w:val="28"/>
          <w:szCs w:val="28"/>
        </w:rPr>
      </w:pPr>
      <w:r>
        <w:rPr>
          <w:rFonts w:hint="eastAsia" w:ascii="黑体" w:eastAsia="黑体"/>
          <w:sz w:val="28"/>
          <w:szCs w:val="32"/>
        </w:rPr>
        <w:t>成本评审结论记录表</w:t>
      </w:r>
    </w:p>
    <w:p>
      <w:pPr>
        <w:spacing w:line="460" w:lineRule="exact"/>
        <w:rPr>
          <w:rFonts w:ascii="宋体" w:hAnsi="宋体"/>
          <w:szCs w:val="21"/>
        </w:rPr>
      </w:pPr>
      <w:r>
        <w:rPr>
          <w:rFonts w:hint="eastAsia" w:ascii="宋体" w:hAnsi="宋体"/>
          <w:szCs w:val="21"/>
        </w:rPr>
        <w:t>投标人名称：</w:t>
      </w:r>
    </w:p>
    <w:tbl>
      <w:tblPr>
        <w:tblStyle w:val="42"/>
        <w:tblW w:w="828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49"/>
        <w:gridCol w:w="1320"/>
        <w:gridCol w:w="1293"/>
        <w:gridCol w:w="1454"/>
        <w:gridCol w:w="2130"/>
        <w:gridCol w:w="12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666" w:type="dxa"/>
            <w:vAlign w:val="center"/>
          </w:tcPr>
          <w:p>
            <w:pPr>
              <w:jc w:val="center"/>
              <w:rPr>
                <w:rFonts w:ascii="宋体" w:hAnsi="宋体"/>
                <w:sz w:val="18"/>
                <w:szCs w:val="18"/>
              </w:rPr>
            </w:pPr>
            <w:r>
              <w:rPr>
                <w:rFonts w:hint="eastAsia" w:ascii="宋体" w:hAnsi="宋体"/>
                <w:sz w:val="18"/>
                <w:szCs w:val="18"/>
              </w:rPr>
              <w:t>序号</w:t>
            </w:r>
          </w:p>
        </w:tc>
        <w:tc>
          <w:tcPr>
            <w:tcW w:w="1469" w:type="dxa"/>
            <w:gridSpan w:val="2"/>
            <w:vAlign w:val="center"/>
          </w:tcPr>
          <w:p>
            <w:pPr>
              <w:jc w:val="center"/>
              <w:rPr>
                <w:rFonts w:ascii="宋体" w:hAnsi="宋体"/>
                <w:sz w:val="18"/>
                <w:szCs w:val="18"/>
              </w:rPr>
            </w:pPr>
            <w:r>
              <w:rPr>
                <w:rFonts w:hint="eastAsia" w:ascii="宋体" w:hAnsi="宋体"/>
                <w:sz w:val="18"/>
                <w:szCs w:val="18"/>
              </w:rPr>
              <w:t>招标控制价</w:t>
            </w:r>
          </w:p>
        </w:tc>
        <w:tc>
          <w:tcPr>
            <w:tcW w:w="1293" w:type="dxa"/>
            <w:vAlign w:val="center"/>
          </w:tcPr>
          <w:p>
            <w:pPr>
              <w:jc w:val="center"/>
              <w:rPr>
                <w:rFonts w:ascii="宋体" w:hAnsi="宋体"/>
                <w:sz w:val="18"/>
                <w:szCs w:val="18"/>
              </w:rPr>
            </w:pPr>
            <w:r>
              <w:rPr>
                <w:rFonts w:hint="eastAsia" w:ascii="宋体" w:hAnsi="宋体"/>
                <w:sz w:val="18"/>
                <w:szCs w:val="18"/>
              </w:rPr>
              <w:t>投标报价</w:t>
            </w:r>
          </w:p>
          <w:p>
            <w:pPr>
              <w:jc w:val="center"/>
              <w:rPr>
                <w:rFonts w:ascii="宋体" w:hAnsi="宋体"/>
                <w:sz w:val="18"/>
                <w:szCs w:val="18"/>
              </w:rPr>
            </w:pPr>
            <w:r>
              <w:rPr>
                <w:rFonts w:hint="eastAsia" w:ascii="宋体" w:hAnsi="宋体"/>
                <w:sz w:val="18"/>
                <w:szCs w:val="18"/>
              </w:rPr>
              <w:t>算术平均值</w:t>
            </w:r>
          </w:p>
        </w:tc>
        <w:tc>
          <w:tcPr>
            <w:tcW w:w="1454" w:type="dxa"/>
            <w:vAlign w:val="center"/>
          </w:tcPr>
          <w:p>
            <w:pPr>
              <w:jc w:val="center"/>
              <w:rPr>
                <w:rFonts w:ascii="宋体" w:hAnsi="宋体"/>
                <w:sz w:val="18"/>
                <w:szCs w:val="18"/>
              </w:rPr>
            </w:pPr>
            <w:r>
              <w:rPr>
                <w:rFonts w:hint="eastAsia" w:ascii="宋体" w:hAnsi="宋体"/>
                <w:sz w:val="18"/>
                <w:szCs w:val="18"/>
              </w:rPr>
              <w:t>投标报价</w:t>
            </w:r>
          </w:p>
        </w:tc>
        <w:tc>
          <w:tcPr>
            <w:tcW w:w="2130" w:type="dxa"/>
            <w:vAlign w:val="center"/>
          </w:tcPr>
          <w:p>
            <w:pPr>
              <w:jc w:val="center"/>
              <w:rPr>
                <w:rFonts w:ascii="宋体" w:hAnsi="宋体"/>
                <w:sz w:val="18"/>
                <w:szCs w:val="18"/>
              </w:rPr>
            </w:pPr>
            <w:r>
              <w:rPr>
                <w:rFonts w:hint="eastAsia" w:ascii="宋体" w:hAnsi="宋体"/>
                <w:sz w:val="18"/>
                <w:szCs w:val="18"/>
              </w:rPr>
              <w:t>本项目成本评审警戒线</w:t>
            </w:r>
          </w:p>
        </w:tc>
        <w:tc>
          <w:tcPr>
            <w:tcW w:w="1271" w:type="dxa"/>
            <w:vAlign w:val="center"/>
          </w:tcPr>
          <w:p>
            <w:pPr>
              <w:jc w:val="center"/>
              <w:rPr>
                <w:rFonts w:ascii="宋体" w:hAnsi="宋体"/>
                <w:sz w:val="18"/>
                <w:szCs w:val="18"/>
              </w:rPr>
            </w:pPr>
            <w:r>
              <w:rPr>
                <w:rFonts w:hint="eastAsia" w:ascii="宋体" w:hAnsi="宋体"/>
                <w:sz w:val="18"/>
                <w:szCs w:val="18"/>
              </w:rPr>
              <w:t>比较结果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666" w:type="dxa"/>
            <w:vAlign w:val="center"/>
          </w:tcPr>
          <w:p>
            <w:pPr>
              <w:jc w:val="center"/>
              <w:rPr>
                <w:rFonts w:ascii="宋体" w:hAnsi="宋体"/>
                <w:sz w:val="18"/>
                <w:szCs w:val="18"/>
              </w:rPr>
            </w:pPr>
          </w:p>
        </w:tc>
        <w:tc>
          <w:tcPr>
            <w:tcW w:w="1469" w:type="dxa"/>
            <w:gridSpan w:val="2"/>
            <w:vAlign w:val="center"/>
          </w:tcPr>
          <w:p>
            <w:pPr>
              <w:rPr>
                <w:rFonts w:ascii="宋体" w:hAnsi="宋体"/>
                <w:sz w:val="18"/>
                <w:szCs w:val="18"/>
              </w:rPr>
            </w:pPr>
          </w:p>
        </w:tc>
        <w:tc>
          <w:tcPr>
            <w:tcW w:w="1293" w:type="dxa"/>
            <w:vAlign w:val="center"/>
          </w:tcPr>
          <w:p>
            <w:pPr>
              <w:rPr>
                <w:rFonts w:ascii="宋体" w:hAnsi="宋体"/>
                <w:sz w:val="18"/>
                <w:szCs w:val="18"/>
              </w:rPr>
            </w:pPr>
          </w:p>
        </w:tc>
        <w:tc>
          <w:tcPr>
            <w:tcW w:w="1454" w:type="dxa"/>
            <w:vAlign w:val="center"/>
          </w:tcPr>
          <w:p>
            <w:pPr>
              <w:jc w:val="center"/>
              <w:rPr>
                <w:rFonts w:ascii="宋体" w:hAnsi="宋体"/>
                <w:sz w:val="18"/>
                <w:szCs w:val="18"/>
              </w:rPr>
            </w:pPr>
          </w:p>
        </w:tc>
        <w:tc>
          <w:tcPr>
            <w:tcW w:w="2130" w:type="dxa"/>
            <w:vAlign w:val="center"/>
          </w:tcPr>
          <w:p>
            <w:pPr>
              <w:jc w:val="center"/>
              <w:rPr>
                <w:rFonts w:ascii="宋体" w:hAnsi="宋体"/>
                <w:sz w:val="18"/>
                <w:szCs w:val="18"/>
              </w:rPr>
            </w:pPr>
          </w:p>
        </w:tc>
        <w:tc>
          <w:tcPr>
            <w:tcW w:w="1271" w:type="dxa"/>
            <w:vAlign w:val="center"/>
          </w:tcPr>
          <w:p>
            <w:pPr>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90" w:hRule="atLeast"/>
          <w:jc w:val="center"/>
        </w:trPr>
        <w:tc>
          <w:tcPr>
            <w:tcW w:w="8283" w:type="dxa"/>
            <w:gridSpan w:val="7"/>
          </w:tcPr>
          <w:p>
            <w:pPr>
              <w:spacing w:beforeLines="30"/>
              <w:rPr>
                <w:rFonts w:ascii="宋体" w:hAnsi="宋体"/>
                <w:sz w:val="18"/>
                <w:szCs w:val="18"/>
              </w:rPr>
            </w:pPr>
            <w:r>
              <w:rPr>
                <w:rFonts w:hint="eastAsia" w:ascii="宋体" w:hAnsi="宋体"/>
                <w:sz w:val="18"/>
                <w:szCs w:val="18"/>
              </w:rPr>
              <w:t>比较后需投标人澄清和说明的主要事项概要：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90" w:hRule="atLeast"/>
          <w:jc w:val="center"/>
        </w:trPr>
        <w:tc>
          <w:tcPr>
            <w:tcW w:w="8283" w:type="dxa"/>
            <w:gridSpan w:val="7"/>
          </w:tcPr>
          <w:p>
            <w:pPr>
              <w:spacing w:beforeLines="30"/>
              <w:rPr>
                <w:rFonts w:ascii="宋体" w:hAnsi="宋体"/>
                <w:sz w:val="18"/>
                <w:szCs w:val="18"/>
              </w:rPr>
            </w:pPr>
            <w:r>
              <w:rPr>
                <w:rFonts w:hint="eastAsia" w:ascii="宋体" w:hAnsi="宋体"/>
                <w:sz w:val="18"/>
                <w:szCs w:val="18"/>
              </w:rPr>
              <w:t>投标人澄清、说明、补正和提供进一步证明的情况说明：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815" w:type="dxa"/>
            <w:gridSpan w:val="2"/>
            <w:vAlign w:val="center"/>
          </w:tcPr>
          <w:p>
            <w:pPr>
              <w:jc w:val="center"/>
              <w:rPr>
                <w:rFonts w:ascii="宋体" w:hAnsi="宋体"/>
                <w:sz w:val="18"/>
                <w:szCs w:val="18"/>
              </w:rPr>
            </w:pPr>
            <w:r>
              <w:rPr>
                <w:rFonts w:hint="eastAsia" w:ascii="宋体" w:hAnsi="宋体"/>
                <w:sz w:val="18"/>
                <w:szCs w:val="18"/>
              </w:rPr>
              <w:t>评审</w:t>
            </w:r>
          </w:p>
          <w:p>
            <w:pPr>
              <w:jc w:val="center"/>
              <w:rPr>
                <w:rFonts w:ascii="宋体" w:hAnsi="宋体"/>
                <w:sz w:val="18"/>
                <w:szCs w:val="18"/>
              </w:rPr>
            </w:pPr>
            <w:r>
              <w:rPr>
                <w:rFonts w:hint="eastAsia" w:ascii="宋体" w:hAnsi="宋体"/>
                <w:sz w:val="18"/>
                <w:szCs w:val="18"/>
              </w:rPr>
              <w:t>结论</w:t>
            </w:r>
          </w:p>
        </w:tc>
        <w:tc>
          <w:tcPr>
            <w:tcW w:w="7468" w:type="dxa"/>
            <w:gridSpan w:val="5"/>
            <w:vAlign w:val="center"/>
          </w:tcPr>
          <w:p>
            <w:pPr>
              <w:ind w:firstLine="180" w:firstLineChars="100"/>
              <w:rPr>
                <w:rFonts w:ascii="宋体" w:hAnsi="宋体"/>
                <w:sz w:val="18"/>
                <w:szCs w:val="18"/>
              </w:rPr>
            </w:pPr>
            <w:r>
              <w:rPr>
                <w:rFonts w:hint="eastAsia" w:ascii="宋体" w:hAnsi="宋体"/>
                <w:sz w:val="18"/>
                <w:szCs w:val="18"/>
              </w:rPr>
              <w:t xml:space="preserve"> □低于成本     □不低于成本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399" w:hRule="atLeast"/>
          <w:jc w:val="center"/>
        </w:trPr>
        <w:tc>
          <w:tcPr>
            <w:tcW w:w="815" w:type="dxa"/>
            <w:gridSpan w:val="2"/>
            <w:vAlign w:val="center"/>
          </w:tcPr>
          <w:p>
            <w:pPr>
              <w:jc w:val="center"/>
              <w:rPr>
                <w:rFonts w:ascii="宋体" w:hAnsi="宋体"/>
                <w:sz w:val="18"/>
                <w:szCs w:val="18"/>
              </w:rPr>
            </w:pPr>
            <w:r>
              <w:rPr>
                <w:rFonts w:hint="eastAsia" w:ascii="宋体" w:hAnsi="宋体"/>
                <w:sz w:val="18"/>
                <w:szCs w:val="18"/>
              </w:rPr>
              <w:t>评</w:t>
            </w:r>
          </w:p>
          <w:p>
            <w:pPr>
              <w:jc w:val="center"/>
              <w:rPr>
                <w:rFonts w:ascii="宋体" w:hAnsi="宋体"/>
                <w:sz w:val="18"/>
                <w:szCs w:val="18"/>
              </w:rPr>
            </w:pPr>
            <w:r>
              <w:rPr>
                <w:rFonts w:hint="eastAsia" w:ascii="宋体" w:hAnsi="宋体"/>
                <w:sz w:val="18"/>
                <w:szCs w:val="18"/>
              </w:rPr>
              <w:t>审</w:t>
            </w:r>
          </w:p>
          <w:p>
            <w:pPr>
              <w:jc w:val="center"/>
              <w:rPr>
                <w:rFonts w:ascii="宋体" w:hAnsi="宋体"/>
                <w:sz w:val="18"/>
                <w:szCs w:val="18"/>
              </w:rPr>
            </w:pPr>
            <w:r>
              <w:rPr>
                <w:rFonts w:hint="eastAsia" w:ascii="宋体" w:hAnsi="宋体"/>
                <w:sz w:val="18"/>
                <w:szCs w:val="18"/>
              </w:rPr>
              <w:t>意</w:t>
            </w:r>
          </w:p>
          <w:p>
            <w:pPr>
              <w:jc w:val="center"/>
              <w:rPr>
                <w:rFonts w:ascii="宋体" w:hAnsi="宋体"/>
                <w:sz w:val="18"/>
                <w:szCs w:val="18"/>
              </w:rPr>
            </w:pPr>
            <w:r>
              <w:rPr>
                <w:rFonts w:hint="eastAsia" w:ascii="宋体" w:hAnsi="宋体"/>
                <w:sz w:val="18"/>
                <w:szCs w:val="18"/>
              </w:rPr>
              <w:t>见</w:t>
            </w:r>
          </w:p>
          <w:p>
            <w:pPr>
              <w:jc w:val="center"/>
              <w:rPr>
                <w:rFonts w:ascii="宋体" w:hAnsi="宋体"/>
                <w:sz w:val="18"/>
                <w:szCs w:val="18"/>
              </w:rPr>
            </w:pPr>
            <w:r>
              <w:rPr>
                <w:rFonts w:hint="eastAsia" w:ascii="宋体" w:hAnsi="宋体"/>
                <w:sz w:val="18"/>
                <w:szCs w:val="18"/>
              </w:rPr>
              <w:t>概</w:t>
            </w:r>
          </w:p>
          <w:p>
            <w:pPr>
              <w:jc w:val="center"/>
              <w:rPr>
                <w:rFonts w:ascii="宋体" w:hAnsi="宋体"/>
                <w:sz w:val="18"/>
                <w:szCs w:val="18"/>
              </w:rPr>
            </w:pPr>
            <w:r>
              <w:rPr>
                <w:rFonts w:hint="eastAsia" w:ascii="宋体" w:hAnsi="宋体"/>
                <w:sz w:val="18"/>
                <w:szCs w:val="18"/>
              </w:rPr>
              <w:t>要</w:t>
            </w:r>
          </w:p>
        </w:tc>
        <w:tc>
          <w:tcPr>
            <w:tcW w:w="7468" w:type="dxa"/>
            <w:gridSpan w:val="5"/>
            <w:vAlign w:val="center"/>
          </w:tcPr>
          <w:p>
            <w:pPr>
              <w:jc w:val="center"/>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27" w:hRule="atLeast"/>
          <w:jc w:val="center"/>
        </w:trPr>
        <w:tc>
          <w:tcPr>
            <w:tcW w:w="815" w:type="dxa"/>
            <w:gridSpan w:val="2"/>
            <w:vAlign w:val="center"/>
          </w:tcPr>
          <w:p>
            <w:pPr>
              <w:jc w:val="center"/>
              <w:rPr>
                <w:rFonts w:ascii="宋体" w:hAnsi="宋体"/>
                <w:sz w:val="18"/>
                <w:szCs w:val="18"/>
              </w:rPr>
            </w:pPr>
            <w:r>
              <w:rPr>
                <w:rFonts w:hint="eastAsia" w:ascii="宋体" w:hAnsi="宋体"/>
                <w:sz w:val="18"/>
                <w:szCs w:val="18"/>
              </w:rPr>
              <w:t>评</w:t>
            </w:r>
          </w:p>
          <w:p>
            <w:pPr>
              <w:jc w:val="center"/>
              <w:rPr>
                <w:rFonts w:ascii="宋体" w:hAnsi="宋体"/>
                <w:sz w:val="18"/>
                <w:szCs w:val="18"/>
              </w:rPr>
            </w:pPr>
            <w:r>
              <w:rPr>
                <w:rFonts w:hint="eastAsia" w:ascii="宋体" w:hAnsi="宋体"/>
                <w:sz w:val="18"/>
                <w:szCs w:val="18"/>
              </w:rPr>
              <w:t>标</w:t>
            </w:r>
          </w:p>
          <w:p>
            <w:pPr>
              <w:jc w:val="center"/>
              <w:rPr>
                <w:rFonts w:ascii="宋体" w:hAnsi="宋体"/>
                <w:sz w:val="18"/>
                <w:szCs w:val="18"/>
              </w:rPr>
            </w:pPr>
            <w:r>
              <w:rPr>
                <w:rFonts w:hint="eastAsia" w:ascii="宋体" w:hAnsi="宋体"/>
                <w:sz w:val="18"/>
                <w:szCs w:val="18"/>
              </w:rPr>
              <w:t>委</w:t>
            </w:r>
          </w:p>
          <w:p>
            <w:pPr>
              <w:jc w:val="center"/>
              <w:rPr>
                <w:rFonts w:ascii="宋体" w:hAnsi="宋体"/>
                <w:sz w:val="18"/>
                <w:szCs w:val="18"/>
              </w:rPr>
            </w:pPr>
            <w:r>
              <w:rPr>
                <w:rFonts w:hint="eastAsia" w:ascii="宋体" w:hAnsi="宋体"/>
                <w:sz w:val="18"/>
                <w:szCs w:val="18"/>
              </w:rPr>
              <w:t>员</w:t>
            </w:r>
          </w:p>
          <w:p>
            <w:pPr>
              <w:jc w:val="center"/>
              <w:rPr>
                <w:rFonts w:ascii="宋体" w:hAnsi="宋体"/>
                <w:sz w:val="18"/>
                <w:szCs w:val="18"/>
              </w:rPr>
            </w:pPr>
            <w:r>
              <w:rPr>
                <w:rFonts w:hint="eastAsia" w:ascii="宋体" w:hAnsi="宋体"/>
                <w:sz w:val="18"/>
                <w:szCs w:val="18"/>
              </w:rPr>
              <w:t>会</w:t>
            </w:r>
          </w:p>
          <w:p>
            <w:pPr>
              <w:jc w:val="center"/>
              <w:rPr>
                <w:rFonts w:ascii="宋体" w:hAnsi="宋体"/>
                <w:sz w:val="18"/>
                <w:szCs w:val="18"/>
              </w:rPr>
            </w:pPr>
            <w:r>
              <w:rPr>
                <w:rFonts w:hint="eastAsia" w:ascii="宋体" w:hAnsi="宋体"/>
                <w:sz w:val="18"/>
                <w:szCs w:val="18"/>
              </w:rPr>
              <w:t>全</w:t>
            </w:r>
          </w:p>
          <w:p>
            <w:pPr>
              <w:jc w:val="center"/>
              <w:rPr>
                <w:rFonts w:ascii="宋体" w:hAnsi="宋体"/>
                <w:sz w:val="18"/>
                <w:szCs w:val="18"/>
              </w:rPr>
            </w:pPr>
            <w:r>
              <w:rPr>
                <w:rFonts w:hint="eastAsia" w:ascii="宋体" w:hAnsi="宋体"/>
                <w:sz w:val="18"/>
                <w:szCs w:val="18"/>
              </w:rPr>
              <w:t>体</w:t>
            </w:r>
          </w:p>
          <w:p>
            <w:pPr>
              <w:jc w:val="center"/>
              <w:rPr>
                <w:rFonts w:ascii="宋体" w:hAnsi="宋体"/>
                <w:sz w:val="18"/>
                <w:szCs w:val="18"/>
              </w:rPr>
            </w:pPr>
            <w:r>
              <w:rPr>
                <w:rFonts w:hint="eastAsia" w:ascii="宋体" w:hAnsi="宋体"/>
                <w:sz w:val="18"/>
                <w:szCs w:val="18"/>
              </w:rPr>
              <w:t>成</w:t>
            </w:r>
          </w:p>
          <w:p>
            <w:pPr>
              <w:jc w:val="center"/>
              <w:rPr>
                <w:rFonts w:ascii="宋体" w:hAnsi="宋体"/>
                <w:sz w:val="18"/>
                <w:szCs w:val="18"/>
              </w:rPr>
            </w:pPr>
            <w:r>
              <w:rPr>
                <w:rFonts w:hint="eastAsia" w:ascii="宋体" w:hAnsi="宋体"/>
                <w:sz w:val="18"/>
                <w:szCs w:val="18"/>
              </w:rPr>
              <w:t>员</w:t>
            </w:r>
          </w:p>
          <w:p>
            <w:pPr>
              <w:jc w:val="center"/>
              <w:rPr>
                <w:rFonts w:ascii="宋体" w:hAnsi="宋体"/>
                <w:sz w:val="18"/>
                <w:szCs w:val="18"/>
              </w:rPr>
            </w:pPr>
            <w:r>
              <w:rPr>
                <w:rFonts w:hint="eastAsia" w:ascii="宋体" w:hAnsi="宋体"/>
                <w:sz w:val="18"/>
                <w:szCs w:val="18"/>
              </w:rPr>
              <w:t>签</w:t>
            </w:r>
          </w:p>
          <w:p>
            <w:pPr>
              <w:jc w:val="center"/>
              <w:rPr>
                <w:rFonts w:ascii="宋体" w:hAnsi="宋体"/>
                <w:sz w:val="18"/>
                <w:szCs w:val="18"/>
              </w:rPr>
            </w:pPr>
            <w:r>
              <w:rPr>
                <w:rFonts w:hint="eastAsia" w:ascii="宋体" w:hAnsi="宋体"/>
                <w:sz w:val="18"/>
                <w:szCs w:val="18"/>
              </w:rPr>
              <w:t>名</w:t>
            </w:r>
          </w:p>
        </w:tc>
        <w:tc>
          <w:tcPr>
            <w:tcW w:w="7468" w:type="dxa"/>
            <w:gridSpan w:val="5"/>
            <w:vAlign w:val="bottom"/>
          </w:tcPr>
          <w:p>
            <w:pPr>
              <w:wordWrap w:val="0"/>
              <w:spacing w:afterLines="50"/>
              <w:jc w:val="right"/>
              <w:rPr>
                <w:rFonts w:ascii="宋体" w:hAnsi="宋体"/>
                <w:sz w:val="18"/>
                <w:szCs w:val="18"/>
              </w:rPr>
            </w:pPr>
            <w:r>
              <w:rPr>
                <w:rFonts w:hint="eastAsia" w:ascii="宋体" w:hAnsi="宋体"/>
                <w:sz w:val="18"/>
                <w:szCs w:val="18"/>
              </w:rPr>
              <w:t xml:space="preserve">年   月   日       </w:t>
            </w:r>
          </w:p>
        </w:tc>
      </w:tr>
    </w:tbl>
    <w:p>
      <w:pPr>
        <w:jc w:val="left"/>
        <w:rPr>
          <w:rFonts w:hAnsi="黑体"/>
          <w:sz w:val="24"/>
        </w:rPr>
      </w:pPr>
      <w:r>
        <w:br w:type="page"/>
      </w:r>
      <w:bookmarkStart w:id="183" w:name="_Toc300678118"/>
    </w:p>
    <w:bookmarkEnd w:id="183"/>
    <w:p>
      <w:pPr>
        <w:pStyle w:val="6"/>
        <w:spacing w:line="640" w:lineRule="exact"/>
        <w:rPr>
          <w:rFonts w:ascii="黑体" w:hAnsi="黑体" w:eastAsia="黑体"/>
          <w:b w:val="0"/>
          <w:bCs w:val="0"/>
          <w:sz w:val="24"/>
          <w:szCs w:val="24"/>
        </w:rPr>
      </w:pPr>
      <w:bookmarkStart w:id="184" w:name="_Toc300678155"/>
      <w:bookmarkStart w:id="185" w:name="_Toc300678119"/>
      <w:r>
        <w:rPr>
          <w:rFonts w:hint="eastAsia" w:ascii="黑体" w:hAnsi="黑体" w:eastAsia="黑体"/>
          <w:b w:val="0"/>
          <w:sz w:val="24"/>
        </w:rPr>
        <w:t>附表3-13：</w:t>
      </w:r>
      <w:bookmarkEnd w:id="184"/>
      <w:r>
        <w:rPr>
          <w:rFonts w:hint="eastAsia" w:ascii="黑体" w:hAnsi="黑体" w:eastAsia="黑体"/>
          <w:b w:val="0"/>
          <w:sz w:val="24"/>
          <w:szCs w:val="24"/>
        </w:rPr>
        <w:t>投标报价评审计分表</w:t>
      </w:r>
    </w:p>
    <w:p>
      <w:pPr>
        <w:spacing w:line="640" w:lineRule="exact"/>
        <w:jc w:val="center"/>
        <w:rPr>
          <w:rFonts w:ascii="黑体" w:hAnsi="宋体" w:eastAsia="黑体"/>
          <w:sz w:val="28"/>
          <w:szCs w:val="28"/>
        </w:rPr>
      </w:pPr>
      <w:r>
        <w:rPr>
          <w:rFonts w:ascii="黑体" w:hAnsi="宋体" w:eastAsia="黑体"/>
          <w:sz w:val="28"/>
          <w:szCs w:val="28"/>
        </w:rPr>
        <w:t>投标报价评审计分表</w:t>
      </w:r>
    </w:p>
    <w:tbl>
      <w:tblPr>
        <w:tblStyle w:val="42"/>
        <w:tblW w:w="831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0"/>
        <w:gridCol w:w="167"/>
        <w:gridCol w:w="1263"/>
        <w:gridCol w:w="1619"/>
        <w:gridCol w:w="1874"/>
        <w:gridCol w:w="1188"/>
        <w:gridCol w:w="14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720" w:type="dxa"/>
            <w:tcBorders>
              <w:top w:val="single" w:color="auto" w:sz="12" w:space="0"/>
              <w:left w:val="single" w:color="auto" w:sz="12"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序号</w:t>
            </w:r>
          </w:p>
        </w:tc>
        <w:tc>
          <w:tcPr>
            <w:tcW w:w="3049" w:type="dxa"/>
            <w:gridSpan w:val="3"/>
            <w:tcBorders>
              <w:top w:val="single" w:color="auto" w:sz="12"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项       目</w:t>
            </w:r>
          </w:p>
        </w:tc>
        <w:tc>
          <w:tcPr>
            <w:tcW w:w="1874" w:type="dxa"/>
            <w:tcBorders>
              <w:top w:val="single" w:color="auto" w:sz="12"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评分标准</w:t>
            </w:r>
          </w:p>
        </w:tc>
        <w:tc>
          <w:tcPr>
            <w:tcW w:w="2675" w:type="dxa"/>
            <w:gridSpan w:val="2"/>
            <w:tcBorders>
              <w:top w:val="single" w:color="auto" w:sz="12" w:space="0"/>
              <w:left w:val="single" w:color="auto" w:sz="4" w:space="0"/>
              <w:bottom w:val="single" w:color="auto" w:sz="4" w:space="0"/>
              <w:right w:val="single" w:color="auto" w:sz="12" w:space="0"/>
            </w:tcBorders>
            <w:vAlign w:val="center"/>
          </w:tcPr>
          <w:p>
            <w:pPr>
              <w:jc w:val="center"/>
              <w:rPr>
                <w:rFonts w:ascii="宋体" w:hAnsi="宋体"/>
                <w:sz w:val="18"/>
              </w:rPr>
            </w:pPr>
            <w:r>
              <w:rPr>
                <w:rFonts w:hint="eastAsia" w:ascii="宋体" w:hAnsi="宋体"/>
                <w:sz w:val="18"/>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720" w:type="dxa"/>
            <w:tcBorders>
              <w:top w:val="single" w:color="auto" w:sz="4" w:space="0"/>
              <w:left w:val="single" w:color="auto" w:sz="12"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1</w:t>
            </w:r>
          </w:p>
        </w:tc>
        <w:tc>
          <w:tcPr>
            <w:tcW w:w="304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p>
          <w:p>
            <w:pPr>
              <w:jc w:val="center"/>
              <w:rPr>
                <w:rFonts w:ascii="宋体" w:hAnsi="宋体"/>
                <w:sz w:val="18"/>
              </w:rPr>
            </w:pPr>
            <w:r>
              <w:rPr>
                <w:rFonts w:hint="eastAsia" w:ascii="宋体" w:hAnsi="宋体"/>
                <w:sz w:val="18"/>
              </w:rPr>
              <w:t>最终投标价＞基准价</w:t>
            </w:r>
          </w:p>
          <w:p>
            <w:pPr>
              <w:jc w:val="center"/>
              <w:rPr>
                <w:rFonts w:ascii="宋体" w:hAnsi="宋体"/>
                <w:sz w:val="18"/>
              </w:rPr>
            </w:pPr>
          </w:p>
        </w:tc>
        <w:tc>
          <w:tcPr>
            <w:tcW w:w="18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r>
              <w:rPr>
                <w:rFonts w:hint="eastAsia" w:ascii="宋体" w:hAnsi="宋体"/>
                <w:sz w:val="18"/>
              </w:rPr>
              <w:t>从0开始每升1%减2分，即100-2*100X</w:t>
            </w:r>
          </w:p>
        </w:tc>
        <w:tc>
          <w:tcPr>
            <w:tcW w:w="2675" w:type="dxa"/>
            <w:gridSpan w:val="2"/>
            <w:vMerge w:val="restart"/>
            <w:tcBorders>
              <w:top w:val="single" w:color="auto" w:sz="4" w:space="0"/>
              <w:left w:val="single" w:color="auto" w:sz="4" w:space="0"/>
              <w:bottom w:val="single" w:color="auto" w:sz="4" w:space="0"/>
              <w:right w:val="single" w:color="auto" w:sz="12" w:space="0"/>
            </w:tcBorders>
            <w:vAlign w:val="center"/>
          </w:tcPr>
          <w:p>
            <w:pPr>
              <w:rPr>
                <w:rFonts w:ascii="宋体" w:hAnsi="宋体"/>
                <w:sz w:val="18"/>
              </w:rPr>
            </w:pPr>
          </w:p>
          <w:p>
            <w:pPr>
              <w:rPr>
                <w:rFonts w:ascii="宋体" w:hAnsi="宋体"/>
                <w:sz w:val="18"/>
              </w:rPr>
            </w:pPr>
            <w:r>
              <w:rPr>
                <w:rFonts w:hint="eastAsia" w:ascii="宋体" w:hAnsi="宋体"/>
                <w:sz w:val="18"/>
              </w:rPr>
              <w:t>X为最终投标价升、降率百分点数的绝对值，即</w:t>
            </w:r>
          </w:p>
          <w:p>
            <w:pPr>
              <w:rPr>
                <w:rFonts w:ascii="宋体" w:hAnsi="宋体"/>
                <w:sz w:val="18"/>
              </w:rPr>
            </w:pPr>
            <w:r>
              <w:rPr>
                <w:rFonts w:ascii="宋体" w:hAnsi="宋体"/>
                <w:sz w:val="18"/>
              </w:rPr>
              <w:pict>
                <v:line id="Line 34" o:spid="_x0000_s1065" o:spt="20" style="position:absolute;left:0pt;margin-left:1.25pt;margin-top:8.55pt;height:40.2pt;width:0.25pt;z-index:251708416;mso-width-relative:page;mso-height-relative:page;" coordsize="21600,21600">
                  <v:path arrowok="t"/>
                  <v:fill focussize="0,0"/>
                  <v:stroke/>
                  <v:imagedata o:title=""/>
                  <o:lock v:ext="edit"/>
                </v:line>
              </w:pict>
            </w:r>
            <w:r>
              <w:rPr>
                <w:rFonts w:ascii="宋体" w:hAnsi="宋体"/>
                <w:sz w:val="18"/>
              </w:rPr>
              <w:pict>
                <v:line id="Line 33" o:spid="_x0000_s1066" o:spt="20" style="position:absolute;left:0pt;flip:x y;margin-left:81.85pt;margin-top:6.7pt;height:39pt;width:0.05pt;z-index:251707392;mso-width-relative:page;mso-height-relative:page;" coordsize="21600,21600">
                  <v:path arrowok="t"/>
                  <v:fill focussize="0,0"/>
                  <v:stroke/>
                  <v:imagedata o:title=""/>
                  <o:lock v:ext="edit"/>
                </v:line>
              </w:pict>
            </w:r>
            <w:r>
              <w:rPr>
                <w:rFonts w:hint="eastAsia" w:ascii="宋体" w:hAnsi="宋体"/>
                <w:sz w:val="18"/>
              </w:rPr>
              <w:t>最终投标价—基准价</w:t>
            </w:r>
          </w:p>
          <w:p>
            <w:pPr>
              <w:rPr>
                <w:rFonts w:ascii="宋体" w:hAnsi="宋体"/>
                <w:sz w:val="18"/>
              </w:rPr>
            </w:pPr>
            <w:r>
              <w:rPr>
                <w:rFonts w:ascii="宋体" w:hAnsi="宋体"/>
                <w:sz w:val="18"/>
              </w:rPr>
              <w:pict>
                <v:line id="Line 32" o:spid="_x0000_s1067" o:spt="20" style="position:absolute;left:0pt;flip:y;margin-left:1.25pt;margin-top:8.55pt;height:0pt;width:81pt;z-index:251706368;mso-width-relative:page;mso-height-relative:page;" coordsize="21600,21600">
                  <v:path arrowok="t"/>
                  <v:fill focussize="0,0"/>
                  <v:stroke/>
                  <v:imagedata o:title=""/>
                  <o:lock v:ext="edit"/>
                </v:line>
              </w:pict>
            </w:r>
            <w:r>
              <w:rPr>
                <w:rFonts w:hint="eastAsia" w:ascii="宋体" w:hAnsi="宋体"/>
                <w:sz w:val="18"/>
              </w:rPr>
              <w:t xml:space="preserve">                  ×100%</w:t>
            </w:r>
          </w:p>
          <w:p>
            <w:pPr>
              <w:rPr>
                <w:rFonts w:ascii="宋体" w:hAnsi="宋体"/>
                <w:sz w:val="18"/>
              </w:rPr>
            </w:pPr>
            <w:r>
              <w:rPr>
                <w:rFonts w:hint="eastAsia" w:ascii="宋体" w:hAnsi="宋体"/>
                <w:sz w:val="18"/>
              </w:rPr>
              <w:t xml:space="preserve">      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720" w:type="dxa"/>
            <w:tcBorders>
              <w:top w:val="single" w:color="auto" w:sz="4" w:space="0"/>
              <w:left w:val="single" w:color="auto" w:sz="12"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2</w:t>
            </w:r>
          </w:p>
        </w:tc>
        <w:tc>
          <w:tcPr>
            <w:tcW w:w="304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最终投标价=基准价</w:t>
            </w:r>
          </w:p>
        </w:tc>
        <w:tc>
          <w:tcPr>
            <w:tcW w:w="18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r>
              <w:rPr>
                <w:rFonts w:hint="eastAsia" w:ascii="宋体" w:hAnsi="宋体"/>
                <w:sz w:val="18"/>
              </w:rPr>
              <w:t>100分</w:t>
            </w:r>
          </w:p>
        </w:tc>
        <w:tc>
          <w:tcPr>
            <w:tcW w:w="2675" w:type="dxa"/>
            <w:gridSpan w:val="2"/>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074" w:hRule="atLeast"/>
          <w:jc w:val="center"/>
        </w:trPr>
        <w:tc>
          <w:tcPr>
            <w:tcW w:w="720" w:type="dxa"/>
            <w:tcBorders>
              <w:top w:val="single" w:color="auto" w:sz="4" w:space="0"/>
              <w:left w:val="single" w:color="auto" w:sz="12"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3</w:t>
            </w:r>
          </w:p>
        </w:tc>
        <w:tc>
          <w:tcPr>
            <w:tcW w:w="304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p>
          <w:p>
            <w:pPr>
              <w:jc w:val="center"/>
              <w:rPr>
                <w:rFonts w:ascii="宋体" w:hAnsi="宋体"/>
                <w:sz w:val="18"/>
              </w:rPr>
            </w:pPr>
            <w:r>
              <w:rPr>
                <w:rFonts w:hint="eastAsia" w:ascii="宋体" w:hAnsi="宋体"/>
                <w:sz w:val="18"/>
              </w:rPr>
              <w:t>最终投标价＜基准价</w:t>
            </w:r>
          </w:p>
          <w:p>
            <w:pPr>
              <w:jc w:val="center"/>
              <w:rPr>
                <w:rFonts w:ascii="宋体" w:hAnsi="宋体"/>
                <w:sz w:val="18"/>
              </w:rPr>
            </w:pPr>
          </w:p>
        </w:tc>
        <w:tc>
          <w:tcPr>
            <w:tcW w:w="1874"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r>
              <w:rPr>
                <w:rFonts w:hint="eastAsia" w:ascii="宋体" w:hAnsi="宋体"/>
                <w:sz w:val="18"/>
              </w:rPr>
              <w:t>从0开始每降1%减1分，即100-100X</w:t>
            </w:r>
          </w:p>
        </w:tc>
        <w:tc>
          <w:tcPr>
            <w:tcW w:w="2675" w:type="dxa"/>
            <w:gridSpan w:val="2"/>
            <w:vMerge w:val="continue"/>
            <w:tcBorders>
              <w:top w:val="single" w:color="auto" w:sz="4" w:space="0"/>
              <w:left w:val="single" w:color="auto" w:sz="4" w:space="0"/>
              <w:bottom w:val="single" w:color="auto" w:sz="4" w:space="0"/>
              <w:right w:val="single" w:color="auto" w:sz="12" w:space="0"/>
            </w:tcBorders>
            <w:vAlign w:val="center"/>
          </w:tcPr>
          <w:p>
            <w:pPr>
              <w:widowControl/>
              <w:jc w:val="left"/>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887" w:type="dxa"/>
            <w:gridSpan w:val="2"/>
            <w:tcBorders>
              <w:top w:val="single" w:color="auto" w:sz="4" w:space="0"/>
              <w:left w:val="single" w:color="auto" w:sz="12"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投标人</w:t>
            </w:r>
          </w:p>
        </w:tc>
        <w:tc>
          <w:tcPr>
            <w:tcW w:w="12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投标报价</w:t>
            </w:r>
          </w:p>
        </w:tc>
        <w:tc>
          <w:tcPr>
            <w:tcW w:w="161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最终投标价</w:t>
            </w:r>
          </w:p>
        </w:tc>
        <w:tc>
          <w:tcPr>
            <w:tcW w:w="187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基准价</w:t>
            </w:r>
          </w:p>
        </w:tc>
        <w:tc>
          <w:tcPr>
            <w:tcW w:w="11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X值</w:t>
            </w:r>
          </w:p>
        </w:tc>
        <w:tc>
          <w:tcPr>
            <w:tcW w:w="1487" w:type="dxa"/>
            <w:tcBorders>
              <w:top w:val="single" w:color="auto" w:sz="4" w:space="0"/>
              <w:left w:val="single" w:color="auto" w:sz="4" w:space="0"/>
              <w:bottom w:val="single" w:color="auto" w:sz="4" w:space="0"/>
              <w:right w:val="single" w:color="auto" w:sz="12" w:space="0"/>
            </w:tcBorders>
            <w:vAlign w:val="center"/>
          </w:tcPr>
          <w:p>
            <w:pPr>
              <w:jc w:val="center"/>
              <w:rPr>
                <w:rFonts w:ascii="宋体" w:hAnsi="宋体"/>
                <w:sz w:val="18"/>
              </w:rPr>
            </w:pPr>
            <w:r>
              <w:rPr>
                <w:rFonts w:hint="eastAsia" w:ascii="宋体" w:hAnsi="宋体"/>
                <w:sz w:val="18"/>
              </w:rPr>
              <w:t>投标报价得分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887" w:type="dxa"/>
            <w:gridSpan w:val="2"/>
            <w:tcBorders>
              <w:top w:val="single" w:color="auto" w:sz="4" w:space="0"/>
              <w:left w:val="single" w:color="auto" w:sz="12" w:space="0"/>
              <w:bottom w:val="single" w:color="auto" w:sz="4" w:space="0"/>
              <w:right w:val="single" w:color="auto" w:sz="4" w:space="0"/>
            </w:tcBorders>
            <w:vAlign w:val="center"/>
          </w:tcPr>
          <w:p>
            <w:pPr>
              <w:rPr>
                <w:rFonts w:ascii="宋体" w:hAnsi="宋体"/>
                <w:sz w:val="18"/>
              </w:rPr>
            </w:pPr>
          </w:p>
        </w:tc>
        <w:tc>
          <w:tcPr>
            <w:tcW w:w="1263"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619"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874"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18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487" w:type="dxa"/>
            <w:tcBorders>
              <w:top w:val="single" w:color="auto" w:sz="4" w:space="0"/>
              <w:left w:val="single" w:color="auto" w:sz="4" w:space="0"/>
              <w:bottom w:val="single" w:color="auto" w:sz="4" w:space="0"/>
              <w:right w:val="single" w:color="auto" w:sz="12" w:space="0"/>
            </w:tcBorders>
            <w:vAlign w:val="center"/>
          </w:tcPr>
          <w:p>
            <w:pPr>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887" w:type="dxa"/>
            <w:gridSpan w:val="2"/>
            <w:tcBorders>
              <w:top w:val="single" w:color="auto" w:sz="4" w:space="0"/>
              <w:left w:val="single" w:color="auto" w:sz="12" w:space="0"/>
              <w:bottom w:val="single" w:color="auto" w:sz="4" w:space="0"/>
              <w:right w:val="single" w:color="auto" w:sz="4" w:space="0"/>
            </w:tcBorders>
            <w:vAlign w:val="center"/>
          </w:tcPr>
          <w:p>
            <w:pPr>
              <w:rPr>
                <w:rFonts w:ascii="宋体" w:hAnsi="宋体"/>
                <w:sz w:val="18"/>
              </w:rPr>
            </w:pPr>
          </w:p>
        </w:tc>
        <w:tc>
          <w:tcPr>
            <w:tcW w:w="1263"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619"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8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18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487" w:type="dxa"/>
            <w:tcBorders>
              <w:top w:val="single" w:color="auto" w:sz="4" w:space="0"/>
              <w:left w:val="single" w:color="auto" w:sz="4" w:space="0"/>
              <w:bottom w:val="single" w:color="auto" w:sz="4" w:space="0"/>
              <w:right w:val="single" w:color="auto" w:sz="12" w:space="0"/>
            </w:tcBorders>
            <w:vAlign w:val="center"/>
          </w:tcPr>
          <w:p>
            <w:pPr>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887" w:type="dxa"/>
            <w:gridSpan w:val="2"/>
            <w:tcBorders>
              <w:top w:val="single" w:color="auto" w:sz="4" w:space="0"/>
              <w:left w:val="single" w:color="auto" w:sz="12" w:space="0"/>
              <w:bottom w:val="single" w:color="auto" w:sz="4" w:space="0"/>
              <w:right w:val="single" w:color="auto" w:sz="4" w:space="0"/>
            </w:tcBorders>
            <w:vAlign w:val="center"/>
          </w:tcPr>
          <w:p>
            <w:pPr>
              <w:rPr>
                <w:rFonts w:ascii="宋体" w:hAnsi="宋体"/>
                <w:sz w:val="18"/>
              </w:rPr>
            </w:pPr>
          </w:p>
        </w:tc>
        <w:tc>
          <w:tcPr>
            <w:tcW w:w="1263"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619"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8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18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487" w:type="dxa"/>
            <w:tcBorders>
              <w:top w:val="single" w:color="auto" w:sz="4" w:space="0"/>
              <w:left w:val="single" w:color="auto" w:sz="4" w:space="0"/>
              <w:bottom w:val="single" w:color="auto" w:sz="4" w:space="0"/>
              <w:right w:val="single" w:color="auto" w:sz="12" w:space="0"/>
            </w:tcBorders>
            <w:vAlign w:val="center"/>
          </w:tcPr>
          <w:p>
            <w:pPr>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exact"/>
          <w:jc w:val="center"/>
        </w:trPr>
        <w:tc>
          <w:tcPr>
            <w:tcW w:w="887" w:type="dxa"/>
            <w:gridSpan w:val="2"/>
            <w:tcBorders>
              <w:top w:val="single" w:color="auto" w:sz="4" w:space="0"/>
              <w:left w:val="single" w:color="auto" w:sz="12" w:space="0"/>
              <w:bottom w:val="single" w:color="auto" w:sz="4" w:space="0"/>
              <w:right w:val="single" w:color="auto" w:sz="4" w:space="0"/>
            </w:tcBorders>
            <w:vAlign w:val="center"/>
          </w:tcPr>
          <w:p>
            <w:pPr>
              <w:rPr>
                <w:rFonts w:ascii="宋体" w:hAnsi="宋体"/>
                <w:sz w:val="18"/>
              </w:rPr>
            </w:pPr>
          </w:p>
        </w:tc>
        <w:tc>
          <w:tcPr>
            <w:tcW w:w="1263"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619"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8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188" w:type="dxa"/>
            <w:tcBorders>
              <w:top w:val="single" w:color="auto" w:sz="4" w:space="0"/>
              <w:left w:val="single" w:color="auto" w:sz="4" w:space="0"/>
              <w:bottom w:val="single" w:color="auto" w:sz="4" w:space="0"/>
              <w:right w:val="single" w:color="auto" w:sz="4" w:space="0"/>
            </w:tcBorders>
            <w:vAlign w:val="center"/>
          </w:tcPr>
          <w:p>
            <w:pPr>
              <w:rPr>
                <w:rFonts w:ascii="宋体" w:hAnsi="宋体"/>
                <w:sz w:val="18"/>
              </w:rPr>
            </w:pPr>
          </w:p>
        </w:tc>
        <w:tc>
          <w:tcPr>
            <w:tcW w:w="1487" w:type="dxa"/>
            <w:tcBorders>
              <w:top w:val="single" w:color="auto" w:sz="4" w:space="0"/>
              <w:left w:val="single" w:color="auto" w:sz="4" w:space="0"/>
              <w:bottom w:val="single" w:color="auto" w:sz="4" w:space="0"/>
              <w:right w:val="single" w:color="auto" w:sz="12" w:space="0"/>
            </w:tcBorders>
            <w:vAlign w:val="center"/>
          </w:tcPr>
          <w:p>
            <w:pPr>
              <w:rPr>
                <w:rFonts w:ascii="宋体" w:hAnsi="宋体"/>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exact"/>
          <w:jc w:val="center"/>
        </w:trPr>
        <w:tc>
          <w:tcPr>
            <w:tcW w:w="8318" w:type="dxa"/>
            <w:gridSpan w:val="7"/>
            <w:tcBorders>
              <w:top w:val="single" w:color="auto" w:sz="4" w:space="0"/>
              <w:left w:val="single" w:color="auto" w:sz="12" w:space="0"/>
              <w:bottom w:val="single" w:color="auto" w:sz="12" w:space="0"/>
              <w:right w:val="single" w:color="auto" w:sz="12" w:space="0"/>
            </w:tcBorders>
            <w:vAlign w:val="center"/>
          </w:tcPr>
          <w:p>
            <w:pPr>
              <w:rPr>
                <w:rFonts w:ascii="宋体" w:hAnsi="宋体"/>
                <w:sz w:val="18"/>
              </w:rPr>
            </w:pPr>
            <w:r>
              <w:rPr>
                <w:rFonts w:hint="eastAsia" w:ascii="宋体" w:hAnsi="宋体"/>
                <w:sz w:val="18"/>
              </w:rPr>
              <w:t>对投标报价的调整记录：</w:t>
            </w:r>
          </w:p>
        </w:tc>
      </w:tr>
    </w:tbl>
    <w:p>
      <w:pPr>
        <w:spacing w:line="300" w:lineRule="auto"/>
        <w:rPr>
          <w:rFonts w:ascii="宋体" w:hAnsi="宋体"/>
          <w:sz w:val="18"/>
          <w:szCs w:val="18"/>
        </w:rPr>
      </w:pPr>
      <w:r>
        <w:rPr>
          <w:rFonts w:hint="eastAsia" w:ascii="宋体" w:hAnsi="宋体"/>
          <w:sz w:val="18"/>
          <w:szCs w:val="18"/>
        </w:rPr>
        <w:t>备注：</w:t>
      </w:r>
    </w:p>
    <w:p>
      <w:pPr>
        <w:spacing w:line="300" w:lineRule="auto"/>
        <w:rPr>
          <w:rFonts w:ascii="宋体" w:hAnsi="宋体"/>
          <w:sz w:val="18"/>
          <w:szCs w:val="18"/>
        </w:rPr>
      </w:pPr>
      <w:r>
        <w:rPr>
          <w:rFonts w:hint="eastAsia" w:ascii="宋体" w:hAnsi="宋体"/>
          <w:sz w:val="18"/>
          <w:szCs w:val="18"/>
        </w:rPr>
        <w:t xml:space="preserve">    1．投标报价得分，基本分100分。</w:t>
      </w:r>
    </w:p>
    <w:p>
      <w:pPr>
        <w:spacing w:line="300" w:lineRule="auto"/>
        <w:rPr>
          <w:rFonts w:ascii="宋体" w:hAnsi="宋体"/>
          <w:sz w:val="18"/>
          <w:szCs w:val="18"/>
        </w:rPr>
      </w:pPr>
      <w:r>
        <w:rPr>
          <w:rFonts w:hint="eastAsia" w:ascii="宋体" w:hAnsi="宋体"/>
          <w:sz w:val="18"/>
          <w:szCs w:val="18"/>
        </w:rPr>
        <w:t xml:space="preserve">    2．除经初步评审为不合格投标人（包括投标报价文件无效）的和被认定为最终投标报价低于其企业成本的外，其他的最终投标报价均应按规定进入最终投标价的算术平均。</w:t>
      </w:r>
    </w:p>
    <w:p>
      <w:pPr>
        <w:spacing w:line="300" w:lineRule="auto"/>
        <w:rPr>
          <w:rFonts w:ascii="宋体" w:hAnsi="宋体"/>
          <w:sz w:val="18"/>
          <w:szCs w:val="18"/>
        </w:rPr>
      </w:pPr>
      <w:r>
        <w:rPr>
          <w:rFonts w:hint="eastAsia" w:ascii="宋体" w:hAnsi="宋体"/>
          <w:sz w:val="18"/>
          <w:szCs w:val="18"/>
        </w:rPr>
        <w:t xml:space="preserve">    3．符合招标控制价≥最终投标价≥0.90×最终投标价的算术平均值的最终投标价进入基准价计算。 </w:t>
      </w:r>
    </w:p>
    <w:p>
      <w:pPr>
        <w:spacing w:line="300" w:lineRule="auto"/>
        <w:rPr>
          <w:rFonts w:ascii="宋体" w:hAnsi="宋体"/>
          <w:sz w:val="18"/>
          <w:szCs w:val="18"/>
          <w:lang w:val="pt-BR"/>
        </w:rPr>
      </w:pPr>
      <w:r>
        <w:rPr>
          <w:rFonts w:hint="eastAsia" w:ascii="宋体" w:hAnsi="宋体"/>
          <w:sz w:val="18"/>
          <w:szCs w:val="18"/>
          <w:lang w:val="pt-BR"/>
        </w:rPr>
        <w:t xml:space="preserve">    4．</w:t>
      </w:r>
      <w:r>
        <w:rPr>
          <w:rFonts w:hint="eastAsia" w:ascii="宋体" w:hAnsi="宋体"/>
          <w:sz w:val="18"/>
          <w:szCs w:val="18"/>
        </w:rPr>
        <w:t>基准价公式</w:t>
      </w:r>
      <w:r>
        <w:rPr>
          <w:rFonts w:hint="eastAsia" w:ascii="宋体" w:hAnsi="宋体"/>
          <w:sz w:val="18"/>
          <w:szCs w:val="18"/>
          <w:lang w:val="pt-BR"/>
        </w:rPr>
        <w:t xml:space="preserve">： </w:t>
      </w:r>
    </w:p>
    <w:p>
      <w:pPr>
        <w:spacing w:line="300" w:lineRule="auto"/>
        <w:rPr>
          <w:rFonts w:ascii="宋体" w:hAnsi="宋体"/>
          <w:sz w:val="18"/>
          <w:szCs w:val="18"/>
          <w:lang w:val="pt-BR"/>
        </w:rPr>
      </w:pPr>
      <w:r>
        <w:rPr>
          <w:rFonts w:hint="eastAsia" w:ascii="宋体" w:hAnsi="宋体"/>
          <w:sz w:val="18"/>
          <w:szCs w:val="18"/>
          <w:lang w:val="pt-BR"/>
        </w:rPr>
        <w:t xml:space="preserve">                          A1+A2+……＋Ai+……＋An</w:t>
      </w:r>
    </w:p>
    <w:p>
      <w:pPr>
        <w:spacing w:line="300" w:lineRule="auto"/>
        <w:rPr>
          <w:rFonts w:ascii="宋体" w:hAnsi="宋体"/>
          <w:sz w:val="18"/>
          <w:szCs w:val="18"/>
          <w:lang w:val="pt-BR"/>
        </w:rPr>
      </w:pPr>
      <w:r>
        <w:rPr>
          <w:rFonts w:ascii="宋体" w:hAnsi="宋体"/>
          <w:sz w:val="18"/>
          <w:szCs w:val="18"/>
        </w:rPr>
        <w:pict>
          <v:line id="Line 35" o:spid="_x0000_s1068" o:spt="20" style="position:absolute;left:0pt;margin-left:72pt;margin-top:2.65pt;height:0pt;width:188.6pt;z-index:251709440;mso-width-relative:page;mso-height-relative:page;" coordsize="21600,21600">
            <v:path arrowok="t"/>
            <v:fill focussize="0,0"/>
            <v:stroke/>
            <v:imagedata o:title=""/>
            <o:lock v:ext="edit"/>
          </v:line>
        </w:pict>
      </w:r>
      <w:r>
        <w:rPr>
          <w:rFonts w:hint="eastAsia" w:ascii="宋体" w:hAnsi="宋体"/>
          <w:sz w:val="18"/>
          <w:szCs w:val="18"/>
        </w:rPr>
        <w:t>基准价</w:t>
      </w:r>
      <w:r>
        <w:rPr>
          <w:rFonts w:hint="eastAsia" w:ascii="宋体" w:hAnsi="宋体"/>
          <w:sz w:val="18"/>
          <w:szCs w:val="18"/>
          <w:lang w:val="pt-BR"/>
        </w:rPr>
        <w:t>=                    N                         X（1—</w:t>
      </w:r>
      <w:r>
        <w:rPr>
          <w:rFonts w:hint="eastAsia" w:ascii="宋体" w:hAnsi="宋体"/>
          <w:sz w:val="18"/>
          <w:szCs w:val="18"/>
        </w:rPr>
        <w:t>β</w:t>
      </w:r>
      <w:r>
        <w:rPr>
          <w:rFonts w:hint="eastAsia" w:ascii="宋体" w:hAnsi="宋体"/>
          <w:sz w:val="18"/>
          <w:szCs w:val="18"/>
          <w:lang w:val="pt-BR"/>
        </w:rPr>
        <w:t>）</w:t>
      </w:r>
    </w:p>
    <w:p>
      <w:pPr>
        <w:spacing w:line="300" w:lineRule="auto"/>
        <w:rPr>
          <w:rFonts w:ascii="宋体" w:hAnsi="宋体"/>
          <w:sz w:val="18"/>
          <w:szCs w:val="18"/>
        </w:rPr>
      </w:pPr>
      <w:r>
        <w:rPr>
          <w:rFonts w:hint="eastAsia" w:ascii="宋体" w:hAnsi="宋体"/>
          <w:sz w:val="18"/>
          <w:szCs w:val="18"/>
          <w:lang w:val="pt-BR"/>
        </w:rPr>
        <w:t xml:space="preserve">       i=1…i…n; Ai</w:t>
      </w:r>
      <w:r>
        <w:rPr>
          <w:rFonts w:hint="eastAsia" w:ascii="宋体" w:hAnsi="宋体"/>
          <w:sz w:val="18"/>
          <w:szCs w:val="18"/>
        </w:rPr>
        <w:t>为进入基准价计算的最终投标价</w:t>
      </w:r>
      <w:r>
        <w:rPr>
          <w:rFonts w:hint="eastAsia" w:ascii="宋体" w:hAnsi="宋体"/>
          <w:sz w:val="18"/>
          <w:szCs w:val="18"/>
          <w:lang w:val="pt-BR"/>
        </w:rPr>
        <w:t>; N</w:t>
      </w:r>
      <w:r>
        <w:rPr>
          <w:rFonts w:hint="eastAsia" w:ascii="宋体" w:hAnsi="宋体"/>
          <w:sz w:val="18"/>
          <w:szCs w:val="18"/>
        </w:rPr>
        <w:t>为进入基准价计算的最终投标价的个数；β为下浮点数，下浮点数为1%、1.5%、2%、2.5%、3%，由招标人在开标现场随机抽取确定。</w:t>
      </w:r>
    </w:p>
    <w:p>
      <w:pPr>
        <w:spacing w:line="300" w:lineRule="auto"/>
        <w:rPr>
          <w:rFonts w:ascii="宋体" w:hAnsi="宋体"/>
          <w:sz w:val="18"/>
          <w:szCs w:val="18"/>
        </w:rPr>
      </w:pPr>
      <w:r>
        <w:rPr>
          <w:rFonts w:hint="eastAsia" w:ascii="宋体" w:hAnsi="宋体"/>
          <w:sz w:val="18"/>
          <w:szCs w:val="18"/>
        </w:rPr>
        <w:t xml:space="preserve">    5．最终投标价以人民币万元为单位，计算保留至小数点后2位（百分比亦然），小数点后第3位采取4舍5入。</w:t>
      </w:r>
    </w:p>
    <w:p>
      <w:pPr>
        <w:rPr>
          <w:rFonts w:ascii="宋体" w:hAnsi="宋体"/>
        </w:rPr>
      </w:pPr>
    </w:p>
    <w:p>
      <w:pPr>
        <w:rPr>
          <w:rFonts w:ascii="宋体" w:hAnsi="宋体"/>
        </w:rPr>
      </w:pPr>
      <w:r>
        <w:rPr>
          <w:rFonts w:hint="eastAsia" w:ascii="宋体" w:hAnsi="宋体"/>
          <w:szCs w:val="21"/>
        </w:rPr>
        <w:t>评标委员会全体成员签字/日期：</w:t>
      </w:r>
    </w:p>
    <w:bookmarkEnd w:id="185"/>
    <w:p>
      <w:pPr>
        <w:spacing w:line="640" w:lineRule="exact"/>
        <w:rPr>
          <w:rFonts w:ascii="黑体" w:hAnsi="黑体" w:eastAsia="黑体"/>
          <w:b/>
          <w:bCs/>
          <w:sz w:val="24"/>
        </w:rPr>
      </w:pPr>
      <w:r>
        <w:br w:type="page"/>
      </w:r>
      <w:bookmarkStart w:id="186" w:name="_Toc300678121"/>
    </w:p>
    <w:p>
      <w:pPr>
        <w:pStyle w:val="6"/>
        <w:spacing w:line="640" w:lineRule="exact"/>
        <w:rPr>
          <w:b w:val="0"/>
          <w:szCs w:val="21"/>
        </w:rPr>
      </w:pPr>
      <w:r>
        <w:rPr>
          <w:rFonts w:hint="eastAsia" w:ascii="黑体" w:hAnsi="黑体" w:eastAsia="黑体"/>
          <w:b w:val="0"/>
          <w:bCs w:val="0"/>
          <w:sz w:val="24"/>
        </w:rPr>
        <w:t>附表3-14：权数取值表</w:t>
      </w:r>
      <w:bookmarkEnd w:id="186"/>
    </w:p>
    <w:p>
      <w:pPr>
        <w:adjustRightInd w:val="0"/>
        <w:snapToGrid w:val="0"/>
        <w:spacing w:line="360" w:lineRule="auto"/>
        <w:jc w:val="center"/>
        <w:rPr>
          <w:rFonts w:ascii="宋体" w:hAnsi="宋体"/>
          <w:szCs w:val="21"/>
        </w:rPr>
      </w:pPr>
      <w:r>
        <w:rPr>
          <w:rFonts w:hint="eastAsia" w:ascii="宋体" w:hAnsi="宋体"/>
          <w:sz w:val="28"/>
          <w:szCs w:val="28"/>
        </w:rPr>
        <w:t>权数取值表</w:t>
      </w:r>
      <w:r>
        <w:rPr>
          <w:rFonts w:ascii="宋体" w:hAnsi="宋体"/>
          <w:b/>
          <w:sz w:val="28"/>
          <w:szCs w:val="21"/>
        </w:rPr>
        <w:t xml:space="preserve"> </w:t>
      </w:r>
      <w:r>
        <w:rPr>
          <w:rFonts w:ascii="宋体" w:hAnsi="宋体"/>
          <w:b/>
          <w:szCs w:val="21"/>
        </w:rPr>
        <w:t xml:space="preserve">           </w:t>
      </w:r>
    </w:p>
    <w:tbl>
      <w:tblPr>
        <w:tblStyle w:val="42"/>
        <w:tblW w:w="834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1613"/>
        <w:gridCol w:w="1967"/>
        <w:gridCol w:w="20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Merge w:val="restart"/>
            <w:vAlign w:val="center"/>
          </w:tcPr>
          <w:p>
            <w:pPr>
              <w:adjustRightInd w:val="0"/>
              <w:snapToGrid w:val="0"/>
              <w:spacing w:line="360" w:lineRule="auto"/>
              <w:jc w:val="center"/>
              <w:rPr>
                <w:rFonts w:hint="eastAsia" w:ascii="宋体" w:hAnsi="宋体"/>
                <w:sz w:val="18"/>
              </w:rPr>
            </w:pPr>
            <w:r>
              <w:rPr>
                <w:rFonts w:hint="eastAsia" w:ascii="宋体" w:hAnsi="宋体"/>
                <w:sz w:val="18"/>
              </w:rPr>
              <w:t>序号</w:t>
            </w:r>
          </w:p>
        </w:tc>
        <w:tc>
          <w:tcPr>
            <w:tcW w:w="1980" w:type="dxa"/>
            <w:vMerge w:val="restart"/>
            <w:vAlign w:val="center"/>
          </w:tcPr>
          <w:p>
            <w:pPr>
              <w:adjustRightInd w:val="0"/>
              <w:snapToGrid w:val="0"/>
              <w:spacing w:line="360" w:lineRule="auto"/>
              <w:jc w:val="center"/>
              <w:rPr>
                <w:rFonts w:hint="eastAsia" w:ascii="宋体" w:hAnsi="宋体"/>
                <w:sz w:val="18"/>
              </w:rPr>
            </w:pPr>
            <w:r>
              <w:rPr>
                <w:rFonts w:hint="eastAsia" w:ascii="宋体" w:hAnsi="宋体"/>
                <w:sz w:val="18"/>
              </w:rPr>
              <w:t>项     目</w:t>
            </w:r>
          </w:p>
        </w:tc>
        <w:tc>
          <w:tcPr>
            <w:tcW w:w="3580" w:type="dxa"/>
            <w:gridSpan w:val="2"/>
            <w:vAlign w:val="center"/>
          </w:tcPr>
          <w:p>
            <w:pPr>
              <w:adjustRightInd w:val="0"/>
              <w:snapToGrid w:val="0"/>
              <w:spacing w:line="360" w:lineRule="auto"/>
              <w:jc w:val="center"/>
              <w:rPr>
                <w:rFonts w:hint="eastAsia" w:ascii="宋体" w:hAnsi="宋体"/>
                <w:sz w:val="18"/>
              </w:rPr>
            </w:pPr>
            <w:r>
              <w:rPr>
                <w:rFonts w:hint="eastAsia" w:ascii="宋体" w:hAnsi="宋体"/>
                <w:sz w:val="18"/>
              </w:rPr>
              <w:t>权        数</w:t>
            </w:r>
          </w:p>
        </w:tc>
        <w:tc>
          <w:tcPr>
            <w:tcW w:w="2064" w:type="dxa"/>
            <w:vMerge w:val="restart"/>
            <w:vAlign w:val="center"/>
          </w:tcPr>
          <w:p>
            <w:pPr>
              <w:adjustRightInd w:val="0"/>
              <w:snapToGrid w:val="0"/>
              <w:spacing w:line="360" w:lineRule="auto"/>
              <w:jc w:val="center"/>
              <w:rPr>
                <w:rFonts w:hint="eastAsia" w:ascii="宋体" w:hAnsi="宋体"/>
                <w:sz w:val="18"/>
              </w:rPr>
            </w:pPr>
            <w:r>
              <w:rPr>
                <w:rFonts w:hint="eastAsia" w:ascii="宋体" w:hAnsi="宋体"/>
                <w:sz w:val="18"/>
              </w:rPr>
              <w:t>具体权数取值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Merge w:val="continue"/>
            <w:vAlign w:val="center"/>
          </w:tcPr>
          <w:p>
            <w:pPr>
              <w:adjustRightInd w:val="0"/>
              <w:snapToGrid w:val="0"/>
              <w:spacing w:line="360" w:lineRule="auto"/>
              <w:jc w:val="center"/>
              <w:rPr>
                <w:rFonts w:hint="eastAsia" w:ascii="宋体" w:hAnsi="宋体"/>
                <w:sz w:val="18"/>
              </w:rPr>
            </w:pPr>
          </w:p>
        </w:tc>
        <w:tc>
          <w:tcPr>
            <w:tcW w:w="1980" w:type="dxa"/>
            <w:vMerge w:val="continue"/>
            <w:vAlign w:val="center"/>
          </w:tcPr>
          <w:p>
            <w:pPr>
              <w:adjustRightInd w:val="0"/>
              <w:snapToGrid w:val="0"/>
              <w:spacing w:line="360" w:lineRule="auto"/>
              <w:jc w:val="center"/>
              <w:rPr>
                <w:rFonts w:hint="eastAsia" w:ascii="宋体" w:hAnsi="宋体"/>
                <w:sz w:val="18"/>
              </w:rPr>
            </w:pPr>
          </w:p>
        </w:tc>
        <w:tc>
          <w:tcPr>
            <w:tcW w:w="1613" w:type="dxa"/>
            <w:vAlign w:val="center"/>
          </w:tcPr>
          <w:p>
            <w:pPr>
              <w:adjustRightInd w:val="0"/>
              <w:snapToGrid w:val="0"/>
              <w:spacing w:line="360" w:lineRule="auto"/>
              <w:jc w:val="center"/>
              <w:rPr>
                <w:rFonts w:hint="eastAsia" w:ascii="宋体" w:hAnsi="宋体"/>
                <w:sz w:val="18"/>
              </w:rPr>
            </w:pPr>
            <w:r>
              <w:rPr>
                <w:rFonts w:hint="eastAsia" w:ascii="宋体" w:hAnsi="宋体"/>
                <w:sz w:val="18"/>
              </w:rPr>
              <w:t>综合评估法（Ⅰ）</w:t>
            </w:r>
          </w:p>
        </w:tc>
        <w:tc>
          <w:tcPr>
            <w:tcW w:w="1967" w:type="dxa"/>
            <w:vAlign w:val="center"/>
          </w:tcPr>
          <w:p>
            <w:pPr>
              <w:adjustRightInd w:val="0"/>
              <w:snapToGrid w:val="0"/>
              <w:spacing w:line="360" w:lineRule="auto"/>
              <w:jc w:val="center"/>
              <w:rPr>
                <w:rFonts w:hint="eastAsia" w:ascii="宋体" w:hAnsi="宋体"/>
                <w:sz w:val="18"/>
              </w:rPr>
            </w:pPr>
            <w:r>
              <w:rPr>
                <w:rFonts w:hint="eastAsia" w:ascii="宋体" w:hAnsi="宋体"/>
                <w:sz w:val="18"/>
              </w:rPr>
              <w:t>综合评估法（Ⅱ）</w:t>
            </w:r>
          </w:p>
        </w:tc>
        <w:tc>
          <w:tcPr>
            <w:tcW w:w="2064" w:type="dxa"/>
            <w:vMerge w:val="continue"/>
            <w:vAlign w:val="center"/>
          </w:tcPr>
          <w:p>
            <w:pPr>
              <w:adjustRightInd w:val="0"/>
              <w:snapToGrid w:val="0"/>
              <w:spacing w:line="360" w:lineRule="auto"/>
              <w:jc w:val="center"/>
              <w:rPr>
                <w:rFonts w:hint="eastAsia" w:ascii="宋体" w:hAnsi="宋体"/>
                <w:sz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Align w:val="center"/>
          </w:tcPr>
          <w:p>
            <w:pPr>
              <w:adjustRightInd w:val="0"/>
              <w:snapToGrid w:val="0"/>
              <w:spacing w:line="360" w:lineRule="auto"/>
              <w:jc w:val="center"/>
              <w:rPr>
                <w:rFonts w:hint="eastAsia" w:ascii="宋体" w:hAnsi="宋体"/>
                <w:sz w:val="18"/>
              </w:rPr>
            </w:pPr>
            <w:r>
              <w:rPr>
                <w:rFonts w:hint="eastAsia" w:ascii="宋体" w:hAnsi="宋体"/>
                <w:sz w:val="18"/>
              </w:rPr>
              <w:t>1</w:t>
            </w:r>
          </w:p>
        </w:tc>
        <w:tc>
          <w:tcPr>
            <w:tcW w:w="1980" w:type="dxa"/>
            <w:vAlign w:val="center"/>
          </w:tcPr>
          <w:p>
            <w:pPr>
              <w:adjustRightInd w:val="0"/>
              <w:snapToGrid w:val="0"/>
              <w:spacing w:line="360" w:lineRule="auto"/>
              <w:rPr>
                <w:rFonts w:hint="eastAsia" w:ascii="宋体" w:hAnsi="宋体"/>
                <w:sz w:val="18"/>
              </w:rPr>
            </w:pPr>
            <w:r>
              <w:rPr>
                <w:rFonts w:hint="eastAsia" w:ascii="宋体" w:hAnsi="宋体"/>
                <w:sz w:val="18"/>
              </w:rPr>
              <w:t>技术标（K</w:t>
            </w:r>
            <w:r>
              <w:rPr>
                <w:rFonts w:hint="eastAsia" w:ascii="宋体" w:hAnsi="宋体"/>
                <w:sz w:val="18"/>
                <w:vertAlign w:val="subscript"/>
              </w:rPr>
              <w:t>1</w:t>
            </w:r>
            <w:r>
              <w:rPr>
                <w:rFonts w:hint="eastAsia" w:ascii="宋体" w:hAnsi="宋体"/>
                <w:sz w:val="18"/>
              </w:rPr>
              <w:t>）</w:t>
            </w:r>
          </w:p>
        </w:tc>
        <w:tc>
          <w:tcPr>
            <w:tcW w:w="1613" w:type="dxa"/>
            <w:vAlign w:val="center"/>
          </w:tcPr>
          <w:p>
            <w:pPr>
              <w:adjustRightInd w:val="0"/>
              <w:snapToGrid w:val="0"/>
              <w:spacing w:line="360" w:lineRule="auto"/>
              <w:jc w:val="center"/>
              <w:rPr>
                <w:rFonts w:hint="eastAsia" w:ascii="宋体" w:hAnsi="宋体"/>
                <w:sz w:val="18"/>
              </w:rPr>
            </w:pPr>
          </w:p>
        </w:tc>
        <w:tc>
          <w:tcPr>
            <w:tcW w:w="1967" w:type="dxa"/>
            <w:vAlign w:val="center"/>
          </w:tcPr>
          <w:p>
            <w:pPr>
              <w:adjustRightInd w:val="0"/>
              <w:snapToGrid w:val="0"/>
              <w:spacing w:line="360" w:lineRule="auto"/>
              <w:jc w:val="center"/>
              <w:rPr>
                <w:rFonts w:hint="eastAsia" w:ascii="宋体" w:hAnsi="宋体"/>
                <w:sz w:val="18"/>
              </w:rPr>
            </w:pPr>
            <w:r>
              <w:rPr>
                <w:rFonts w:hint="eastAsia" w:ascii="宋体" w:hAnsi="宋体"/>
                <w:sz w:val="18"/>
              </w:rPr>
              <w:t>0.15-0.25</w:t>
            </w:r>
          </w:p>
        </w:tc>
        <w:tc>
          <w:tcPr>
            <w:tcW w:w="2064" w:type="dxa"/>
            <w:vAlign w:val="center"/>
          </w:tcPr>
          <w:p>
            <w:pPr>
              <w:adjustRightInd w:val="0"/>
              <w:snapToGrid w:val="0"/>
              <w:spacing w:line="360" w:lineRule="auto"/>
              <w:jc w:val="center"/>
              <w:rPr>
                <w:rFonts w:hint="eastAsia" w:ascii="宋体" w:hAnsi="宋体"/>
                <w:sz w:val="18"/>
              </w:rPr>
            </w:pPr>
            <w:r>
              <w:rPr>
                <w:rFonts w:hint="eastAsia" w:ascii="宋体" w:hAnsi="宋体"/>
                <w:sz w:val="18"/>
              </w:rPr>
              <w:t>0.25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Align w:val="center"/>
          </w:tcPr>
          <w:p>
            <w:pPr>
              <w:adjustRightInd w:val="0"/>
              <w:snapToGrid w:val="0"/>
              <w:spacing w:line="360" w:lineRule="auto"/>
              <w:jc w:val="center"/>
              <w:rPr>
                <w:rFonts w:hint="eastAsia" w:ascii="宋体" w:hAnsi="宋体"/>
                <w:sz w:val="18"/>
              </w:rPr>
            </w:pPr>
            <w:r>
              <w:rPr>
                <w:rFonts w:hint="eastAsia" w:ascii="宋体" w:hAnsi="宋体"/>
                <w:sz w:val="18"/>
              </w:rPr>
              <w:t>2</w:t>
            </w:r>
          </w:p>
        </w:tc>
        <w:tc>
          <w:tcPr>
            <w:tcW w:w="1980" w:type="dxa"/>
            <w:vAlign w:val="center"/>
          </w:tcPr>
          <w:p>
            <w:pPr>
              <w:adjustRightInd w:val="0"/>
              <w:snapToGrid w:val="0"/>
              <w:spacing w:line="360" w:lineRule="auto"/>
              <w:rPr>
                <w:rFonts w:hint="eastAsia" w:ascii="宋体" w:hAnsi="宋体"/>
                <w:sz w:val="18"/>
              </w:rPr>
            </w:pPr>
            <w:r>
              <w:rPr>
                <w:rFonts w:hint="eastAsia" w:ascii="宋体" w:hAnsi="宋体"/>
                <w:sz w:val="18"/>
              </w:rPr>
              <w:t>项目管理机构（K</w:t>
            </w:r>
            <w:r>
              <w:rPr>
                <w:rFonts w:hint="eastAsia" w:ascii="宋体" w:hAnsi="宋体"/>
                <w:sz w:val="18"/>
                <w:vertAlign w:val="subscript"/>
              </w:rPr>
              <w:t>2</w:t>
            </w:r>
            <w:r>
              <w:rPr>
                <w:rFonts w:hint="eastAsia" w:ascii="宋体" w:hAnsi="宋体"/>
                <w:sz w:val="18"/>
              </w:rPr>
              <w:t>）</w:t>
            </w:r>
          </w:p>
        </w:tc>
        <w:tc>
          <w:tcPr>
            <w:tcW w:w="1613" w:type="dxa"/>
            <w:vAlign w:val="center"/>
          </w:tcPr>
          <w:p>
            <w:pPr>
              <w:adjustRightInd w:val="0"/>
              <w:snapToGrid w:val="0"/>
              <w:spacing w:line="360" w:lineRule="auto"/>
              <w:jc w:val="center"/>
              <w:rPr>
                <w:rFonts w:hint="eastAsia" w:ascii="宋体" w:hAnsi="宋体"/>
                <w:sz w:val="18"/>
              </w:rPr>
            </w:pPr>
          </w:p>
        </w:tc>
        <w:tc>
          <w:tcPr>
            <w:tcW w:w="1967" w:type="dxa"/>
            <w:vAlign w:val="center"/>
          </w:tcPr>
          <w:p>
            <w:pPr>
              <w:adjustRightInd w:val="0"/>
              <w:snapToGrid w:val="0"/>
              <w:spacing w:line="360" w:lineRule="auto"/>
              <w:jc w:val="center"/>
              <w:rPr>
                <w:rFonts w:hint="eastAsia" w:ascii="宋体" w:hAnsi="宋体"/>
                <w:sz w:val="18"/>
              </w:rPr>
            </w:pPr>
            <w:r>
              <w:rPr>
                <w:rFonts w:hint="eastAsia" w:ascii="宋体" w:hAnsi="宋体"/>
                <w:sz w:val="18"/>
              </w:rPr>
              <w:t>0.10-0.15</w:t>
            </w:r>
          </w:p>
        </w:tc>
        <w:tc>
          <w:tcPr>
            <w:tcW w:w="2064" w:type="dxa"/>
            <w:vAlign w:val="center"/>
          </w:tcPr>
          <w:p>
            <w:pPr>
              <w:adjustRightInd w:val="0"/>
              <w:snapToGrid w:val="0"/>
              <w:spacing w:line="360" w:lineRule="auto"/>
              <w:jc w:val="center"/>
              <w:rPr>
                <w:rFonts w:hint="default" w:ascii="宋体" w:hAnsi="宋体" w:eastAsia="宋体"/>
                <w:sz w:val="18"/>
                <w:lang w:val="en-US" w:eastAsia="zh-CN"/>
              </w:rPr>
            </w:pPr>
            <w:r>
              <w:rPr>
                <w:rFonts w:hint="eastAsia" w:ascii="宋体" w:hAnsi="宋体"/>
                <w:sz w:val="18"/>
              </w:rPr>
              <w:t>0.</w:t>
            </w:r>
            <w:r>
              <w:rPr>
                <w:rFonts w:hint="eastAsia" w:ascii="宋体" w:hAnsi="宋体"/>
                <w:sz w:val="18"/>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Align w:val="center"/>
          </w:tcPr>
          <w:p>
            <w:pPr>
              <w:adjustRightInd w:val="0"/>
              <w:snapToGrid w:val="0"/>
              <w:spacing w:line="360" w:lineRule="auto"/>
              <w:jc w:val="center"/>
              <w:rPr>
                <w:rFonts w:hint="eastAsia" w:ascii="宋体" w:hAnsi="宋体"/>
                <w:sz w:val="18"/>
              </w:rPr>
            </w:pPr>
            <w:r>
              <w:rPr>
                <w:rFonts w:hint="eastAsia" w:ascii="宋体" w:hAnsi="宋体"/>
                <w:sz w:val="18"/>
              </w:rPr>
              <w:t>3</w:t>
            </w:r>
          </w:p>
        </w:tc>
        <w:tc>
          <w:tcPr>
            <w:tcW w:w="1980" w:type="dxa"/>
            <w:vAlign w:val="center"/>
          </w:tcPr>
          <w:p>
            <w:pPr>
              <w:adjustRightInd w:val="0"/>
              <w:snapToGrid w:val="0"/>
              <w:spacing w:line="360" w:lineRule="auto"/>
              <w:rPr>
                <w:rFonts w:hint="eastAsia" w:ascii="宋体" w:hAnsi="宋体"/>
                <w:sz w:val="18"/>
              </w:rPr>
            </w:pPr>
            <w:r>
              <w:rPr>
                <w:rFonts w:hint="eastAsia" w:ascii="宋体" w:hAnsi="宋体"/>
                <w:spacing w:val="-14"/>
                <w:sz w:val="18"/>
              </w:rPr>
              <w:t>信誉</w:t>
            </w:r>
            <w:r>
              <w:rPr>
                <w:rFonts w:hint="eastAsia" w:ascii="宋体" w:hAnsi="宋体"/>
                <w:sz w:val="18"/>
              </w:rPr>
              <w:t>（K</w:t>
            </w:r>
            <w:r>
              <w:rPr>
                <w:rFonts w:hint="eastAsia" w:ascii="宋体" w:hAnsi="宋体"/>
                <w:sz w:val="18"/>
                <w:vertAlign w:val="subscript"/>
              </w:rPr>
              <w:t>3</w:t>
            </w:r>
            <w:r>
              <w:rPr>
                <w:rFonts w:hint="eastAsia" w:ascii="宋体" w:hAnsi="宋体"/>
                <w:sz w:val="18"/>
              </w:rPr>
              <w:t>）</w:t>
            </w:r>
          </w:p>
        </w:tc>
        <w:tc>
          <w:tcPr>
            <w:tcW w:w="1613" w:type="dxa"/>
            <w:vAlign w:val="center"/>
          </w:tcPr>
          <w:p>
            <w:pPr>
              <w:adjustRightInd w:val="0"/>
              <w:snapToGrid w:val="0"/>
              <w:spacing w:line="360" w:lineRule="auto"/>
              <w:jc w:val="center"/>
              <w:rPr>
                <w:rFonts w:hint="eastAsia" w:ascii="宋体" w:hAnsi="宋体"/>
                <w:sz w:val="18"/>
              </w:rPr>
            </w:pPr>
            <w:r>
              <w:rPr>
                <w:rFonts w:hint="eastAsia" w:ascii="宋体" w:hAnsi="宋体"/>
                <w:sz w:val="18"/>
              </w:rPr>
              <w:t>0.15-0.25</w:t>
            </w:r>
          </w:p>
        </w:tc>
        <w:tc>
          <w:tcPr>
            <w:tcW w:w="1967" w:type="dxa"/>
            <w:vAlign w:val="center"/>
          </w:tcPr>
          <w:p>
            <w:pPr>
              <w:adjustRightInd w:val="0"/>
              <w:snapToGrid w:val="0"/>
              <w:spacing w:line="360" w:lineRule="auto"/>
              <w:jc w:val="center"/>
              <w:rPr>
                <w:rFonts w:hint="eastAsia" w:ascii="宋体" w:hAnsi="宋体"/>
                <w:sz w:val="18"/>
              </w:rPr>
            </w:pPr>
            <w:r>
              <w:rPr>
                <w:rFonts w:hint="eastAsia" w:ascii="宋体" w:hAnsi="宋体"/>
                <w:sz w:val="18"/>
              </w:rPr>
              <w:t>0.15-0.25</w:t>
            </w:r>
          </w:p>
        </w:tc>
        <w:tc>
          <w:tcPr>
            <w:tcW w:w="2064" w:type="dxa"/>
            <w:vAlign w:val="center"/>
          </w:tcPr>
          <w:p>
            <w:pPr>
              <w:adjustRightInd w:val="0"/>
              <w:snapToGrid w:val="0"/>
              <w:spacing w:line="360" w:lineRule="auto"/>
              <w:jc w:val="center"/>
              <w:rPr>
                <w:rFonts w:hint="eastAsia" w:ascii="宋体" w:hAnsi="宋体"/>
                <w:sz w:val="18"/>
              </w:rPr>
            </w:pPr>
            <w:r>
              <w:rPr>
                <w:rFonts w:hint="eastAsia" w:ascii="宋体" w:hAnsi="宋体"/>
                <w:sz w:val="18"/>
              </w:rPr>
              <w:t>0.</w:t>
            </w:r>
            <w:r>
              <w:rPr>
                <w:rFonts w:ascii="宋体" w:hAnsi="宋体"/>
                <w:sz w:val="18"/>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0" w:type="dxa"/>
            <w:vAlign w:val="center"/>
          </w:tcPr>
          <w:p>
            <w:pPr>
              <w:adjustRightInd w:val="0"/>
              <w:snapToGrid w:val="0"/>
              <w:spacing w:line="360" w:lineRule="auto"/>
              <w:jc w:val="center"/>
              <w:rPr>
                <w:rFonts w:hint="eastAsia" w:ascii="宋体" w:hAnsi="宋体"/>
                <w:sz w:val="18"/>
              </w:rPr>
            </w:pPr>
            <w:r>
              <w:rPr>
                <w:rFonts w:hint="eastAsia" w:ascii="宋体" w:hAnsi="宋体"/>
                <w:sz w:val="18"/>
              </w:rPr>
              <w:t>4</w:t>
            </w:r>
          </w:p>
        </w:tc>
        <w:tc>
          <w:tcPr>
            <w:tcW w:w="1980" w:type="dxa"/>
            <w:vAlign w:val="center"/>
          </w:tcPr>
          <w:p>
            <w:pPr>
              <w:adjustRightInd w:val="0"/>
              <w:snapToGrid w:val="0"/>
              <w:spacing w:line="360" w:lineRule="auto"/>
              <w:rPr>
                <w:rFonts w:hint="eastAsia" w:ascii="宋体" w:hAnsi="宋体"/>
                <w:sz w:val="18"/>
              </w:rPr>
            </w:pPr>
            <w:r>
              <w:rPr>
                <w:rFonts w:hint="eastAsia" w:ascii="宋体" w:hAnsi="宋体"/>
                <w:sz w:val="18"/>
              </w:rPr>
              <w:t>投标报价（K</w:t>
            </w:r>
            <w:r>
              <w:rPr>
                <w:rFonts w:hint="eastAsia" w:ascii="宋体" w:hAnsi="宋体"/>
                <w:sz w:val="18"/>
                <w:vertAlign w:val="subscript"/>
              </w:rPr>
              <w:t>4</w:t>
            </w:r>
            <w:r>
              <w:rPr>
                <w:rFonts w:hint="eastAsia" w:ascii="宋体" w:hAnsi="宋体"/>
                <w:sz w:val="18"/>
              </w:rPr>
              <w:t>）</w:t>
            </w:r>
          </w:p>
        </w:tc>
        <w:tc>
          <w:tcPr>
            <w:tcW w:w="1613" w:type="dxa"/>
            <w:vAlign w:val="center"/>
          </w:tcPr>
          <w:p>
            <w:pPr>
              <w:adjustRightInd w:val="0"/>
              <w:snapToGrid w:val="0"/>
              <w:spacing w:line="360" w:lineRule="auto"/>
              <w:jc w:val="center"/>
              <w:rPr>
                <w:rFonts w:hint="eastAsia" w:ascii="宋体" w:hAnsi="宋体"/>
                <w:sz w:val="18"/>
              </w:rPr>
            </w:pPr>
            <w:r>
              <w:rPr>
                <w:rFonts w:hint="eastAsia" w:ascii="宋体" w:hAnsi="宋体"/>
                <w:sz w:val="18"/>
              </w:rPr>
              <w:t>0.75-0.85</w:t>
            </w:r>
          </w:p>
        </w:tc>
        <w:tc>
          <w:tcPr>
            <w:tcW w:w="1967" w:type="dxa"/>
            <w:vAlign w:val="center"/>
          </w:tcPr>
          <w:p>
            <w:pPr>
              <w:adjustRightInd w:val="0"/>
              <w:snapToGrid w:val="0"/>
              <w:spacing w:line="360" w:lineRule="auto"/>
              <w:jc w:val="center"/>
              <w:rPr>
                <w:rFonts w:hint="eastAsia" w:ascii="宋体" w:hAnsi="宋体"/>
                <w:sz w:val="18"/>
              </w:rPr>
            </w:pPr>
            <w:r>
              <w:rPr>
                <w:rFonts w:hint="eastAsia" w:ascii="宋体" w:hAnsi="宋体"/>
                <w:sz w:val="18"/>
              </w:rPr>
              <w:t>0.45-0.60</w:t>
            </w:r>
          </w:p>
        </w:tc>
        <w:tc>
          <w:tcPr>
            <w:tcW w:w="2064" w:type="dxa"/>
            <w:vAlign w:val="center"/>
          </w:tcPr>
          <w:p>
            <w:pPr>
              <w:adjustRightInd w:val="0"/>
              <w:snapToGrid w:val="0"/>
              <w:spacing w:line="360" w:lineRule="auto"/>
              <w:jc w:val="center"/>
              <w:rPr>
                <w:rFonts w:hint="default" w:ascii="宋体" w:hAnsi="宋体" w:eastAsia="宋体"/>
                <w:sz w:val="18"/>
                <w:lang w:val="en-US" w:eastAsia="zh-CN"/>
              </w:rPr>
            </w:pPr>
            <w:r>
              <w:rPr>
                <w:rFonts w:hint="eastAsia" w:ascii="宋体" w:hAnsi="宋体"/>
                <w:sz w:val="18"/>
              </w:rPr>
              <w:t>0.</w:t>
            </w:r>
            <w:r>
              <w:rPr>
                <w:rFonts w:hint="eastAsia" w:ascii="宋体" w:hAnsi="宋体"/>
                <w:sz w:val="18"/>
                <w:lang w:val="en-US" w:eastAsia="zh-CN"/>
              </w:rPr>
              <w:t>45</w:t>
            </w:r>
          </w:p>
        </w:tc>
      </w:tr>
    </w:tbl>
    <w:p>
      <w:pPr>
        <w:ind w:firstLine="3142"/>
        <w:rPr>
          <w:sz w:val="24"/>
        </w:rPr>
      </w:pPr>
    </w:p>
    <w:p>
      <w:pPr>
        <w:pStyle w:val="6"/>
        <w:spacing w:line="640" w:lineRule="exact"/>
        <w:rPr>
          <w:rFonts w:ascii="黑体" w:hAnsi="黑体" w:eastAsia="黑体"/>
          <w:b w:val="0"/>
          <w:bCs w:val="0"/>
          <w:sz w:val="24"/>
        </w:rPr>
      </w:pPr>
      <w:bookmarkStart w:id="187" w:name="_Toc300678122"/>
      <w:r>
        <w:rPr>
          <w:rFonts w:hint="eastAsia" w:ascii="黑体" w:hAnsi="黑体" w:eastAsia="黑体"/>
          <w:b w:val="0"/>
          <w:bCs w:val="0"/>
          <w:sz w:val="24"/>
        </w:rPr>
        <w:t>附表3-15：综合得分计算表</w:t>
      </w:r>
      <w:bookmarkEnd w:id="187"/>
    </w:p>
    <w:p>
      <w:pPr>
        <w:spacing w:line="640" w:lineRule="exact"/>
        <w:jc w:val="center"/>
        <w:rPr>
          <w:rFonts w:ascii="黑体" w:hAnsi="宋体" w:eastAsia="黑体"/>
          <w:sz w:val="28"/>
          <w:szCs w:val="28"/>
        </w:rPr>
      </w:pPr>
      <w:r>
        <w:rPr>
          <w:rFonts w:hint="eastAsia" w:ascii="黑体" w:hAnsi="宋体" w:eastAsia="黑体"/>
          <w:sz w:val="28"/>
          <w:szCs w:val="28"/>
        </w:rPr>
        <w:t xml:space="preserve"> 综合得分计算表</w:t>
      </w:r>
    </w:p>
    <w:tbl>
      <w:tblPr>
        <w:tblStyle w:val="42"/>
        <w:tblW w:w="83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40"/>
        <w:gridCol w:w="1457"/>
        <w:gridCol w:w="1550"/>
        <w:gridCol w:w="21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8362" w:type="dxa"/>
            <w:gridSpan w:val="5"/>
            <w:vAlign w:val="center"/>
          </w:tcPr>
          <w:p>
            <w:pPr>
              <w:rPr>
                <w:rFonts w:ascii="宋体" w:hAnsi="宋体"/>
                <w:sz w:val="18"/>
                <w:szCs w:val="21"/>
              </w:rPr>
            </w:pPr>
            <w:r>
              <w:rPr>
                <w:rFonts w:hint="eastAsia" w:ascii="宋体" w:hAnsi="宋体"/>
                <w:sz w:val="18"/>
                <w:szCs w:val="21"/>
              </w:rPr>
              <w:t>投标人（                                  ）                  总分（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Merge w:val="restart"/>
            <w:vAlign w:val="center"/>
          </w:tcPr>
          <w:p>
            <w:pPr>
              <w:ind w:firstLine="240"/>
              <w:jc w:val="center"/>
              <w:rPr>
                <w:rFonts w:ascii="宋体" w:hAnsi="宋体"/>
                <w:sz w:val="18"/>
                <w:szCs w:val="21"/>
              </w:rPr>
            </w:pPr>
            <w:r>
              <w:rPr>
                <w:rFonts w:hint="eastAsia" w:ascii="宋体" w:hAnsi="宋体"/>
                <w:sz w:val="18"/>
                <w:szCs w:val="21"/>
              </w:rPr>
              <w:t>评委编号</w:t>
            </w:r>
          </w:p>
        </w:tc>
        <w:tc>
          <w:tcPr>
            <w:tcW w:w="6623" w:type="dxa"/>
            <w:gridSpan w:val="4"/>
            <w:vAlign w:val="center"/>
          </w:tcPr>
          <w:p>
            <w:pPr>
              <w:jc w:val="center"/>
              <w:rPr>
                <w:rFonts w:ascii="宋体" w:hAnsi="宋体"/>
                <w:sz w:val="18"/>
                <w:szCs w:val="21"/>
              </w:rPr>
            </w:pPr>
            <w:r>
              <w:rPr>
                <w:rFonts w:hint="eastAsia" w:ascii="宋体" w:hAnsi="宋体"/>
                <w:sz w:val="18"/>
                <w:szCs w:val="21"/>
              </w:rPr>
              <w:t>单   项   评   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Merge w:val="continue"/>
            <w:vAlign w:val="center"/>
          </w:tcPr>
          <w:p>
            <w:pPr>
              <w:widowControl/>
              <w:jc w:val="center"/>
              <w:rPr>
                <w:rFonts w:ascii="宋体" w:hAnsi="宋体"/>
                <w:sz w:val="18"/>
                <w:szCs w:val="21"/>
              </w:rPr>
            </w:pPr>
          </w:p>
        </w:tc>
        <w:tc>
          <w:tcPr>
            <w:tcW w:w="1440" w:type="dxa"/>
            <w:vAlign w:val="center"/>
          </w:tcPr>
          <w:p>
            <w:pPr>
              <w:jc w:val="center"/>
              <w:rPr>
                <w:rFonts w:ascii="宋体" w:hAnsi="宋体"/>
                <w:sz w:val="18"/>
                <w:szCs w:val="21"/>
              </w:rPr>
            </w:pPr>
            <w:r>
              <w:rPr>
                <w:rFonts w:hint="eastAsia" w:ascii="宋体" w:hAnsi="宋体"/>
                <w:sz w:val="18"/>
                <w:szCs w:val="21"/>
              </w:rPr>
              <w:t>技术标</w:t>
            </w:r>
          </w:p>
        </w:tc>
        <w:tc>
          <w:tcPr>
            <w:tcW w:w="1457" w:type="dxa"/>
            <w:vAlign w:val="center"/>
          </w:tcPr>
          <w:p>
            <w:pPr>
              <w:jc w:val="center"/>
              <w:rPr>
                <w:rFonts w:ascii="宋体" w:hAnsi="宋体"/>
                <w:sz w:val="18"/>
                <w:szCs w:val="21"/>
              </w:rPr>
            </w:pPr>
            <w:r>
              <w:rPr>
                <w:rFonts w:hint="eastAsia" w:ascii="宋体" w:hAnsi="宋体"/>
                <w:sz w:val="18"/>
                <w:szCs w:val="21"/>
              </w:rPr>
              <w:t>项目管理机构</w:t>
            </w:r>
          </w:p>
        </w:tc>
        <w:tc>
          <w:tcPr>
            <w:tcW w:w="1550" w:type="dxa"/>
            <w:vAlign w:val="center"/>
          </w:tcPr>
          <w:p>
            <w:pPr>
              <w:jc w:val="center"/>
              <w:rPr>
                <w:rFonts w:ascii="宋体" w:hAnsi="宋体"/>
                <w:sz w:val="18"/>
                <w:szCs w:val="21"/>
              </w:rPr>
            </w:pPr>
            <w:r>
              <w:rPr>
                <w:rFonts w:hint="eastAsia" w:ascii="宋体" w:hAnsi="宋体"/>
                <w:sz w:val="18"/>
                <w:szCs w:val="21"/>
              </w:rPr>
              <w:t>信誉</w:t>
            </w:r>
          </w:p>
        </w:tc>
        <w:tc>
          <w:tcPr>
            <w:tcW w:w="2176" w:type="dxa"/>
            <w:vAlign w:val="center"/>
          </w:tcPr>
          <w:p>
            <w:pPr>
              <w:jc w:val="center"/>
              <w:rPr>
                <w:rFonts w:ascii="宋体" w:hAnsi="宋体"/>
                <w:sz w:val="18"/>
                <w:szCs w:val="21"/>
              </w:rPr>
            </w:pPr>
            <w:r>
              <w:rPr>
                <w:rFonts w:hint="eastAsia" w:ascii="宋体" w:hAnsi="宋体"/>
                <w:sz w:val="18"/>
                <w:szCs w:val="21"/>
              </w:rPr>
              <w:t>综合得分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1</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restart"/>
            <w:vAlign w:val="center"/>
          </w:tcPr>
          <w:p>
            <w:pPr>
              <w:jc w:val="center"/>
              <w:rPr>
                <w:rFonts w:ascii="宋体" w:hAnsi="宋体"/>
                <w:sz w:val="18"/>
                <w:szCs w:val="21"/>
              </w:rPr>
            </w:pPr>
          </w:p>
        </w:tc>
        <w:tc>
          <w:tcPr>
            <w:tcW w:w="2176" w:type="dxa"/>
            <w:vMerge w:val="restart"/>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2</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continue"/>
            <w:vAlign w:val="center"/>
          </w:tcPr>
          <w:p>
            <w:pPr>
              <w:jc w:val="center"/>
              <w:rPr>
                <w:rFonts w:ascii="宋体" w:hAnsi="宋体"/>
                <w:sz w:val="18"/>
                <w:szCs w:val="21"/>
              </w:rPr>
            </w:pPr>
          </w:p>
        </w:tc>
        <w:tc>
          <w:tcPr>
            <w:tcW w:w="2176" w:type="dxa"/>
            <w:vMerge w:val="continue"/>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3</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continue"/>
            <w:vAlign w:val="center"/>
          </w:tcPr>
          <w:p>
            <w:pPr>
              <w:jc w:val="center"/>
              <w:rPr>
                <w:rFonts w:ascii="宋体" w:hAnsi="宋体"/>
                <w:sz w:val="18"/>
                <w:szCs w:val="21"/>
              </w:rPr>
            </w:pPr>
          </w:p>
        </w:tc>
        <w:tc>
          <w:tcPr>
            <w:tcW w:w="2176" w:type="dxa"/>
            <w:vMerge w:val="continue"/>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4</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continue"/>
            <w:vAlign w:val="center"/>
          </w:tcPr>
          <w:p>
            <w:pPr>
              <w:jc w:val="center"/>
              <w:rPr>
                <w:rFonts w:ascii="宋体" w:hAnsi="宋体"/>
                <w:sz w:val="18"/>
                <w:szCs w:val="21"/>
              </w:rPr>
            </w:pPr>
          </w:p>
        </w:tc>
        <w:tc>
          <w:tcPr>
            <w:tcW w:w="2176" w:type="dxa"/>
            <w:vMerge w:val="continue"/>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5</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continue"/>
            <w:vAlign w:val="center"/>
          </w:tcPr>
          <w:p>
            <w:pPr>
              <w:jc w:val="center"/>
              <w:rPr>
                <w:rFonts w:ascii="宋体" w:hAnsi="宋体"/>
                <w:sz w:val="18"/>
                <w:szCs w:val="21"/>
              </w:rPr>
            </w:pPr>
          </w:p>
        </w:tc>
        <w:tc>
          <w:tcPr>
            <w:tcW w:w="2176" w:type="dxa"/>
            <w:vMerge w:val="continue"/>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Merge w:val="continue"/>
            <w:vAlign w:val="center"/>
          </w:tcPr>
          <w:p>
            <w:pPr>
              <w:jc w:val="center"/>
              <w:rPr>
                <w:rFonts w:ascii="宋体" w:hAnsi="宋体"/>
                <w:sz w:val="18"/>
                <w:szCs w:val="21"/>
              </w:rPr>
            </w:pPr>
          </w:p>
        </w:tc>
        <w:tc>
          <w:tcPr>
            <w:tcW w:w="2176" w:type="dxa"/>
            <w:vMerge w:val="continue"/>
            <w:vAlign w:val="center"/>
          </w:tcPr>
          <w:p>
            <w:pPr>
              <w:ind w:firstLine="720"/>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单项得分Pi</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Align w:val="center"/>
          </w:tcPr>
          <w:p>
            <w:pPr>
              <w:jc w:val="center"/>
              <w:rPr>
                <w:rFonts w:ascii="宋体" w:hAnsi="宋体"/>
                <w:sz w:val="18"/>
                <w:szCs w:val="21"/>
              </w:rPr>
            </w:pPr>
          </w:p>
        </w:tc>
        <w:tc>
          <w:tcPr>
            <w:tcW w:w="2176" w:type="dxa"/>
            <w:vAlign w:val="center"/>
          </w:tcPr>
          <w:p>
            <w:pPr>
              <w:ind w:firstLine="720"/>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vertAlign w:val="subscript"/>
              </w:rPr>
            </w:pPr>
            <w:r>
              <w:rPr>
                <w:rFonts w:hint="eastAsia" w:ascii="宋体" w:hAnsi="宋体"/>
                <w:sz w:val="18"/>
                <w:szCs w:val="21"/>
              </w:rPr>
              <w:t>权数K</w:t>
            </w:r>
            <w:r>
              <w:rPr>
                <w:rFonts w:hint="eastAsia" w:ascii="宋体" w:hAnsi="宋体"/>
                <w:sz w:val="18"/>
                <w:szCs w:val="21"/>
                <w:vertAlign w:val="subscript"/>
              </w:rPr>
              <w:t>i</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Align w:val="center"/>
          </w:tcPr>
          <w:p>
            <w:pPr>
              <w:jc w:val="center"/>
              <w:rPr>
                <w:rFonts w:ascii="宋体" w:hAnsi="宋体"/>
                <w:sz w:val="18"/>
                <w:szCs w:val="21"/>
              </w:rPr>
            </w:pPr>
          </w:p>
        </w:tc>
        <w:tc>
          <w:tcPr>
            <w:tcW w:w="2176" w:type="dxa"/>
            <w:vAlign w:val="center"/>
          </w:tcPr>
          <w:p>
            <w:pPr>
              <w:ind w:firstLine="720"/>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1739" w:type="dxa"/>
            <w:vAlign w:val="center"/>
          </w:tcPr>
          <w:p>
            <w:pPr>
              <w:jc w:val="center"/>
              <w:rPr>
                <w:rFonts w:ascii="宋体" w:hAnsi="宋体"/>
                <w:sz w:val="18"/>
                <w:szCs w:val="21"/>
              </w:rPr>
            </w:pPr>
            <w:r>
              <w:rPr>
                <w:rFonts w:hint="eastAsia" w:ascii="宋体" w:hAnsi="宋体"/>
                <w:sz w:val="18"/>
                <w:szCs w:val="21"/>
              </w:rPr>
              <w:t>Ki Pi</w:t>
            </w:r>
          </w:p>
        </w:tc>
        <w:tc>
          <w:tcPr>
            <w:tcW w:w="1440" w:type="dxa"/>
            <w:vAlign w:val="center"/>
          </w:tcPr>
          <w:p>
            <w:pPr>
              <w:jc w:val="center"/>
              <w:rPr>
                <w:rFonts w:ascii="宋体" w:hAnsi="宋体"/>
                <w:sz w:val="18"/>
                <w:szCs w:val="21"/>
              </w:rPr>
            </w:pPr>
          </w:p>
        </w:tc>
        <w:tc>
          <w:tcPr>
            <w:tcW w:w="1457" w:type="dxa"/>
            <w:vAlign w:val="center"/>
          </w:tcPr>
          <w:p>
            <w:pPr>
              <w:jc w:val="center"/>
              <w:rPr>
                <w:rFonts w:ascii="宋体" w:hAnsi="宋体"/>
                <w:sz w:val="18"/>
                <w:szCs w:val="21"/>
              </w:rPr>
            </w:pPr>
          </w:p>
        </w:tc>
        <w:tc>
          <w:tcPr>
            <w:tcW w:w="1550" w:type="dxa"/>
            <w:vAlign w:val="center"/>
          </w:tcPr>
          <w:p>
            <w:pPr>
              <w:jc w:val="center"/>
              <w:rPr>
                <w:rFonts w:ascii="宋体" w:hAnsi="宋体"/>
                <w:sz w:val="18"/>
                <w:szCs w:val="21"/>
              </w:rPr>
            </w:pPr>
          </w:p>
        </w:tc>
        <w:tc>
          <w:tcPr>
            <w:tcW w:w="2176" w:type="dxa"/>
            <w:vAlign w:val="center"/>
          </w:tcPr>
          <w:p>
            <w:pPr>
              <w:jc w:val="center"/>
              <w:rPr>
                <w:rFonts w:ascii="宋体" w:hAnsi="宋体"/>
                <w:sz w:val="18"/>
                <w:szCs w:val="21"/>
              </w:rPr>
            </w:pPr>
          </w:p>
        </w:tc>
      </w:tr>
    </w:tbl>
    <w:p>
      <w:pPr>
        <w:spacing w:line="300" w:lineRule="auto"/>
        <w:rPr>
          <w:rFonts w:ascii="宋体" w:hAnsi="宋体"/>
          <w:sz w:val="18"/>
          <w:szCs w:val="18"/>
        </w:rPr>
      </w:pPr>
      <w:r>
        <w:rPr>
          <w:rFonts w:hint="eastAsia" w:ascii="宋体" w:hAnsi="宋体"/>
          <w:sz w:val="18"/>
          <w:szCs w:val="18"/>
        </w:rPr>
        <w:t>备注：</w:t>
      </w:r>
    </w:p>
    <w:p>
      <w:pPr>
        <w:spacing w:line="300" w:lineRule="auto"/>
        <w:ind w:firstLine="450" w:firstLineChars="250"/>
        <w:rPr>
          <w:rFonts w:ascii="宋体" w:hAnsi="宋体"/>
          <w:sz w:val="18"/>
          <w:szCs w:val="18"/>
        </w:rPr>
      </w:pPr>
      <w:r>
        <w:rPr>
          <w:rFonts w:hint="eastAsia" w:ascii="宋体" w:hAnsi="宋体"/>
          <w:sz w:val="18"/>
          <w:szCs w:val="18"/>
        </w:rPr>
        <w:t>1．综合得分计算保留2位小数（百分比亦取2位小数），第3位小数4舍5入。</w:t>
      </w:r>
    </w:p>
    <w:p>
      <w:pPr>
        <w:spacing w:line="300" w:lineRule="auto"/>
        <w:ind w:firstLine="450" w:firstLineChars="250"/>
        <w:rPr>
          <w:rFonts w:ascii="宋体" w:hAnsi="宋体"/>
          <w:sz w:val="18"/>
          <w:szCs w:val="18"/>
        </w:rPr>
      </w:pPr>
      <w:r>
        <w:rPr>
          <w:rFonts w:hint="eastAsia" w:ascii="宋体" w:hAnsi="宋体"/>
          <w:sz w:val="18"/>
          <w:szCs w:val="18"/>
        </w:rPr>
        <w:t>2．采用综合评估法（Ⅰ）的，投标人综合得分为信誉和投标报价的单项得分乘以相应的权数取值（附表3-14）之和。</w:t>
      </w:r>
    </w:p>
    <w:p>
      <w:pPr>
        <w:spacing w:line="300" w:lineRule="auto"/>
        <w:ind w:left="90" w:leftChars="43" w:firstLine="360" w:firstLineChars="200"/>
        <w:rPr>
          <w:rFonts w:ascii="宋体" w:hAnsi="宋体"/>
          <w:sz w:val="18"/>
          <w:szCs w:val="18"/>
        </w:rPr>
      </w:pPr>
      <w:r>
        <w:rPr>
          <w:rFonts w:hint="eastAsia" w:ascii="宋体" w:hAnsi="宋体"/>
          <w:sz w:val="18"/>
          <w:szCs w:val="18"/>
        </w:rPr>
        <w:t>3．投标人的投标报价单项得分计算和综合得分计算可以委托招标人的工作人员实施，但其计算结果应当交由评标委员会签字确认。</w:t>
      </w:r>
    </w:p>
    <w:p>
      <w:pPr>
        <w:jc w:val="left"/>
        <w:rPr>
          <w:rFonts w:ascii="黑体" w:hAnsi="宋体" w:eastAsia="黑体"/>
          <w:sz w:val="24"/>
          <w:szCs w:val="28"/>
        </w:rPr>
      </w:pPr>
      <w:r>
        <w:rPr>
          <w:rFonts w:hint="eastAsia" w:ascii="宋体" w:hAnsi="宋体"/>
          <w:szCs w:val="21"/>
        </w:rPr>
        <w:t>评标委员会全体成员签字/日期：</w:t>
      </w:r>
      <w:r>
        <w:rPr>
          <w:rFonts w:ascii="宋体" w:hAnsi="宋体"/>
          <w:szCs w:val="21"/>
        </w:rPr>
        <w:br w:type="page"/>
      </w:r>
    </w:p>
    <w:p>
      <w:pPr>
        <w:pStyle w:val="6"/>
        <w:spacing w:line="600" w:lineRule="exact"/>
        <w:rPr>
          <w:rFonts w:ascii="黑体" w:hAnsi="宋体" w:eastAsia="黑体"/>
          <w:sz w:val="24"/>
        </w:rPr>
      </w:pPr>
      <w:bookmarkStart w:id="188" w:name="_Toc300678123"/>
      <w:r>
        <w:rPr>
          <w:rFonts w:hint="eastAsia" w:ascii="黑体" w:hAnsi="黑体" w:eastAsia="黑体"/>
          <w:b w:val="0"/>
          <w:bCs w:val="0"/>
          <w:sz w:val="24"/>
        </w:rPr>
        <w:t>附表3-16：经评审的投标人排序表</w:t>
      </w:r>
      <w:bookmarkEnd w:id="188"/>
    </w:p>
    <w:p>
      <w:pPr>
        <w:spacing w:line="600" w:lineRule="exact"/>
        <w:jc w:val="center"/>
        <w:rPr>
          <w:rFonts w:ascii="黑体" w:hAnsi="宋体" w:eastAsia="黑体"/>
          <w:sz w:val="32"/>
          <w:szCs w:val="32"/>
        </w:rPr>
      </w:pPr>
      <w:r>
        <w:rPr>
          <w:rFonts w:hint="eastAsia" w:ascii="黑体" w:hAnsi="宋体" w:eastAsia="黑体"/>
          <w:sz w:val="28"/>
          <w:szCs w:val="32"/>
        </w:rPr>
        <w:t>经评审的投标人排序表</w:t>
      </w:r>
    </w:p>
    <w:p>
      <w:pPr>
        <w:spacing w:afterLines="50" w:line="400" w:lineRule="exact"/>
        <w:rPr>
          <w:rFonts w:ascii="仿宋_GB2312" w:hAnsi="宋体"/>
          <w:szCs w:val="21"/>
        </w:rPr>
      </w:pPr>
      <w:r>
        <w:rPr>
          <w:rFonts w:hint="eastAsia" w:ascii="宋体" w:hAnsi="宋体"/>
          <w:szCs w:val="21"/>
        </w:rPr>
        <w:t>工程名称： （项目名称） 标段</w:t>
      </w:r>
    </w:p>
    <w:tbl>
      <w:tblPr>
        <w:tblStyle w:val="42"/>
        <w:tblW w:w="8349" w:type="dxa"/>
        <w:jc w:val="center"/>
        <w:tblInd w:w="0" w:type="dxa"/>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4703"/>
        <w:gridCol w:w="2547"/>
      </w:tblGrid>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1099" w:type="dxa"/>
            <w:tcBorders>
              <w:top w:val="single" w:color="000000" w:sz="12" w:space="0"/>
              <w:left w:val="single" w:color="000000" w:sz="12"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排序</w:t>
            </w:r>
          </w:p>
        </w:tc>
        <w:tc>
          <w:tcPr>
            <w:tcW w:w="4703" w:type="dxa"/>
            <w:tcBorders>
              <w:top w:val="single" w:color="000000" w:sz="12" w:space="0"/>
              <w:left w:val="single" w:color="auto" w:sz="4"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投标人名称</w:t>
            </w:r>
          </w:p>
        </w:tc>
        <w:tc>
          <w:tcPr>
            <w:tcW w:w="2547" w:type="dxa"/>
            <w:tcBorders>
              <w:top w:val="single" w:color="000000" w:sz="12" w:space="0"/>
              <w:left w:val="single" w:color="auto" w:sz="4" w:space="0"/>
              <w:bottom w:val="single" w:color="auto" w:sz="4" w:space="0"/>
              <w:right w:val="single" w:color="auto" w:sz="12" w:space="0"/>
            </w:tcBorders>
            <w:vAlign w:val="center"/>
          </w:tcPr>
          <w:p>
            <w:pPr>
              <w:jc w:val="center"/>
              <w:rPr>
                <w:rFonts w:ascii="仿宋_GB2312" w:hAnsi="宋体"/>
                <w:sz w:val="18"/>
                <w:szCs w:val="21"/>
              </w:rPr>
            </w:pPr>
            <w:r>
              <w:rPr>
                <w:rFonts w:hint="eastAsia" w:ascii="仿宋_GB2312" w:hAnsi="宋体"/>
                <w:sz w:val="18"/>
                <w:szCs w:val="21"/>
              </w:rPr>
              <w:t>投标报价（万元）</w:t>
            </w: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1099" w:type="dxa"/>
            <w:tcBorders>
              <w:top w:val="single" w:color="auto" w:sz="4" w:space="0"/>
              <w:left w:val="single" w:color="000000" w:sz="12" w:space="0"/>
              <w:bottom w:val="single" w:color="auto" w:sz="4" w:space="0"/>
              <w:right w:val="single" w:color="auto" w:sz="4" w:space="0"/>
            </w:tcBorders>
            <w:vAlign w:val="center"/>
          </w:tcPr>
          <w:p>
            <w:pPr>
              <w:jc w:val="center"/>
              <w:rPr>
                <w:rFonts w:ascii="仿宋_GB2312" w:hAnsi="宋体"/>
                <w:szCs w:val="21"/>
              </w:rPr>
            </w:pPr>
          </w:p>
        </w:tc>
        <w:tc>
          <w:tcPr>
            <w:tcW w:w="470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szCs w:val="21"/>
              </w:rPr>
            </w:pPr>
          </w:p>
        </w:tc>
        <w:tc>
          <w:tcPr>
            <w:tcW w:w="2547" w:type="dxa"/>
            <w:tcBorders>
              <w:top w:val="single" w:color="auto" w:sz="4" w:space="0"/>
              <w:left w:val="single" w:color="auto" w:sz="4" w:space="0"/>
              <w:bottom w:val="single" w:color="auto" w:sz="4" w:space="0"/>
              <w:right w:val="single" w:color="auto" w:sz="12" w:space="0"/>
            </w:tcBorders>
            <w:vAlign w:val="center"/>
          </w:tcPr>
          <w:p>
            <w:pPr>
              <w:jc w:val="center"/>
              <w:rPr>
                <w:rFonts w:ascii="仿宋_GB2312" w:hAnsi="宋体"/>
                <w:szCs w:val="21"/>
              </w:rP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099" w:type="dxa"/>
            <w:tcBorders>
              <w:top w:val="single" w:color="auto" w:sz="4" w:space="0"/>
              <w:left w:val="single" w:color="000000" w:sz="12" w:space="0"/>
              <w:bottom w:val="single" w:color="auto" w:sz="4" w:space="0"/>
              <w:right w:val="single" w:color="auto" w:sz="4" w:space="0"/>
            </w:tcBorders>
            <w:vAlign w:val="center"/>
          </w:tcPr>
          <w:p>
            <w:pPr>
              <w:jc w:val="center"/>
              <w:rPr>
                <w:rFonts w:ascii="仿宋_GB2312" w:hAnsi="宋体"/>
                <w:szCs w:val="21"/>
              </w:rPr>
            </w:pPr>
          </w:p>
        </w:tc>
        <w:tc>
          <w:tcPr>
            <w:tcW w:w="470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szCs w:val="21"/>
              </w:rPr>
            </w:pPr>
          </w:p>
        </w:tc>
        <w:tc>
          <w:tcPr>
            <w:tcW w:w="2547" w:type="dxa"/>
            <w:tcBorders>
              <w:top w:val="single" w:color="auto" w:sz="4" w:space="0"/>
              <w:left w:val="single" w:color="auto" w:sz="4" w:space="0"/>
              <w:bottom w:val="single" w:color="auto" w:sz="4" w:space="0"/>
              <w:right w:val="single" w:color="auto" w:sz="12" w:space="0"/>
            </w:tcBorders>
            <w:vAlign w:val="center"/>
          </w:tcPr>
          <w:p>
            <w:pPr>
              <w:jc w:val="center"/>
              <w:rPr>
                <w:rFonts w:ascii="仿宋_GB2312" w:hAnsi="宋体"/>
                <w:szCs w:val="21"/>
              </w:rP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099" w:type="dxa"/>
            <w:tcBorders>
              <w:top w:val="single" w:color="auto" w:sz="4" w:space="0"/>
              <w:left w:val="single" w:color="000000" w:sz="12" w:space="0"/>
              <w:bottom w:val="single" w:color="000000" w:sz="12" w:space="0"/>
              <w:right w:val="single" w:color="auto" w:sz="4" w:space="0"/>
            </w:tcBorders>
            <w:vAlign w:val="center"/>
          </w:tcPr>
          <w:p>
            <w:pPr>
              <w:jc w:val="center"/>
              <w:rPr>
                <w:rFonts w:ascii="仿宋_GB2312" w:hAnsi="宋体"/>
                <w:szCs w:val="21"/>
              </w:rPr>
            </w:pPr>
          </w:p>
        </w:tc>
        <w:tc>
          <w:tcPr>
            <w:tcW w:w="4703" w:type="dxa"/>
            <w:tcBorders>
              <w:top w:val="single" w:color="auto" w:sz="4" w:space="0"/>
              <w:left w:val="single" w:color="auto" w:sz="4" w:space="0"/>
              <w:bottom w:val="single" w:color="000000" w:sz="12" w:space="0"/>
              <w:right w:val="single" w:color="auto" w:sz="4" w:space="0"/>
            </w:tcBorders>
            <w:vAlign w:val="center"/>
          </w:tcPr>
          <w:p>
            <w:pPr>
              <w:jc w:val="center"/>
              <w:rPr>
                <w:rFonts w:ascii="仿宋_GB2312" w:hAnsi="宋体"/>
                <w:szCs w:val="21"/>
              </w:rPr>
            </w:pPr>
          </w:p>
        </w:tc>
        <w:tc>
          <w:tcPr>
            <w:tcW w:w="2547" w:type="dxa"/>
            <w:tcBorders>
              <w:top w:val="single" w:color="auto" w:sz="4" w:space="0"/>
              <w:left w:val="single" w:color="auto" w:sz="4" w:space="0"/>
              <w:bottom w:val="single" w:color="000000" w:sz="12" w:space="0"/>
              <w:right w:val="single" w:color="auto" w:sz="12" w:space="0"/>
            </w:tcBorders>
            <w:vAlign w:val="center"/>
          </w:tcPr>
          <w:p>
            <w:pPr>
              <w:jc w:val="center"/>
              <w:rPr>
                <w:rFonts w:ascii="仿宋_GB2312" w:hAnsi="宋体"/>
                <w:szCs w:val="21"/>
              </w:rPr>
            </w:pPr>
          </w:p>
        </w:tc>
      </w:tr>
    </w:tbl>
    <w:p>
      <w:pPr>
        <w:spacing w:line="480" w:lineRule="auto"/>
        <w:jc w:val="left"/>
        <w:rPr>
          <w:rFonts w:ascii="黑体" w:eastAsia="黑体"/>
          <w:szCs w:val="21"/>
        </w:rPr>
      </w:pPr>
      <w:r>
        <w:rPr>
          <w:rFonts w:hint="eastAsia" w:ascii="宋体" w:hAnsi="宋体"/>
          <w:szCs w:val="21"/>
        </w:rPr>
        <w:t>评标委员会全体成员签字/日期：</w:t>
      </w:r>
    </w:p>
    <w:p>
      <w:pPr>
        <w:jc w:val="left"/>
        <w:rPr>
          <w:rFonts w:ascii="黑体" w:hAnsi="宋体" w:eastAsia="黑体"/>
          <w:sz w:val="28"/>
          <w:szCs w:val="28"/>
        </w:rPr>
      </w:pPr>
    </w:p>
    <w:p>
      <w:pPr>
        <w:pStyle w:val="6"/>
        <w:spacing w:line="600" w:lineRule="exact"/>
        <w:rPr>
          <w:rFonts w:ascii="黑体" w:hAnsi="黑体" w:eastAsia="黑体"/>
          <w:b w:val="0"/>
          <w:bCs w:val="0"/>
          <w:sz w:val="24"/>
        </w:rPr>
      </w:pPr>
      <w:bookmarkStart w:id="189" w:name="_Toc300678124"/>
      <w:r>
        <w:rPr>
          <w:rFonts w:hint="eastAsia" w:ascii="黑体" w:hAnsi="黑体" w:eastAsia="黑体"/>
          <w:b w:val="0"/>
          <w:bCs w:val="0"/>
          <w:sz w:val="24"/>
        </w:rPr>
        <w:t>附表3-17：中标候选人表</w:t>
      </w:r>
      <w:bookmarkEnd w:id="189"/>
    </w:p>
    <w:p>
      <w:pPr>
        <w:spacing w:line="600" w:lineRule="exact"/>
        <w:jc w:val="center"/>
        <w:rPr>
          <w:rFonts w:ascii="黑体" w:hAnsi="宋体" w:eastAsia="黑体"/>
          <w:sz w:val="32"/>
          <w:szCs w:val="32"/>
        </w:rPr>
      </w:pPr>
      <w:r>
        <w:rPr>
          <w:rFonts w:hint="eastAsia" w:ascii="黑体" w:hAnsi="宋体" w:eastAsia="黑体"/>
          <w:sz w:val="28"/>
          <w:szCs w:val="32"/>
        </w:rPr>
        <w:t>中标候选人表</w:t>
      </w:r>
    </w:p>
    <w:p>
      <w:pPr>
        <w:spacing w:afterLines="50" w:line="600" w:lineRule="exact"/>
        <w:rPr>
          <w:rFonts w:ascii="仿宋_GB2312" w:hAnsi="宋体"/>
          <w:b/>
          <w:szCs w:val="21"/>
        </w:rPr>
      </w:pPr>
      <w:r>
        <w:rPr>
          <w:rFonts w:hint="eastAsia" w:ascii="宋体" w:hAnsi="宋体"/>
          <w:szCs w:val="21"/>
        </w:rPr>
        <w:t>工程名称： （项目名称） 标段</w:t>
      </w:r>
    </w:p>
    <w:tbl>
      <w:tblPr>
        <w:tblStyle w:val="42"/>
        <w:tblW w:w="8336" w:type="dxa"/>
        <w:jc w:val="center"/>
        <w:tblInd w:w="0" w:type="dxa"/>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4215"/>
        <w:gridCol w:w="3041"/>
      </w:tblGrid>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1080" w:type="dxa"/>
            <w:tcBorders>
              <w:top w:val="single" w:color="000000" w:sz="12" w:space="0"/>
              <w:left w:val="single" w:color="000000" w:sz="12"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排序</w:t>
            </w:r>
          </w:p>
        </w:tc>
        <w:tc>
          <w:tcPr>
            <w:tcW w:w="4215" w:type="dxa"/>
            <w:tcBorders>
              <w:top w:val="single" w:color="000000" w:sz="12" w:space="0"/>
              <w:left w:val="single" w:color="auto" w:sz="4"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中标候选人</w:t>
            </w:r>
          </w:p>
        </w:tc>
        <w:tc>
          <w:tcPr>
            <w:tcW w:w="3041" w:type="dxa"/>
            <w:tcBorders>
              <w:top w:val="single" w:color="000000" w:sz="12" w:space="0"/>
              <w:left w:val="single" w:color="auto" w:sz="4" w:space="0"/>
              <w:bottom w:val="single" w:color="auto" w:sz="4" w:space="0"/>
              <w:right w:val="single" w:color="auto" w:sz="12" w:space="0"/>
            </w:tcBorders>
            <w:vAlign w:val="center"/>
          </w:tcPr>
          <w:p>
            <w:pPr>
              <w:jc w:val="center"/>
              <w:rPr>
                <w:rFonts w:ascii="仿宋_GB2312" w:hAnsi="宋体"/>
                <w:sz w:val="18"/>
                <w:szCs w:val="21"/>
              </w:rPr>
            </w:pPr>
            <w:r>
              <w:rPr>
                <w:rFonts w:hint="eastAsia" w:ascii="仿宋_GB2312" w:hAnsi="宋体"/>
                <w:sz w:val="18"/>
                <w:szCs w:val="21"/>
              </w:rPr>
              <w:t>投标报价（万元）</w:t>
            </w: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1080" w:type="dxa"/>
            <w:tcBorders>
              <w:top w:val="single" w:color="auto" w:sz="4" w:space="0"/>
              <w:left w:val="single" w:color="000000" w:sz="12"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第一名</w:t>
            </w:r>
          </w:p>
        </w:tc>
        <w:tc>
          <w:tcPr>
            <w:tcW w:w="421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sz w:val="18"/>
                <w:szCs w:val="21"/>
              </w:rPr>
            </w:pPr>
          </w:p>
        </w:tc>
        <w:tc>
          <w:tcPr>
            <w:tcW w:w="3041" w:type="dxa"/>
            <w:tcBorders>
              <w:top w:val="single" w:color="auto" w:sz="4" w:space="0"/>
              <w:left w:val="single" w:color="auto" w:sz="4" w:space="0"/>
              <w:bottom w:val="single" w:color="auto" w:sz="4" w:space="0"/>
              <w:right w:val="single" w:color="auto" w:sz="12" w:space="0"/>
            </w:tcBorders>
            <w:vAlign w:val="center"/>
          </w:tcPr>
          <w:p>
            <w:pPr>
              <w:jc w:val="center"/>
              <w:rPr>
                <w:rFonts w:ascii="仿宋_GB2312" w:hAnsi="宋体"/>
                <w:sz w:val="18"/>
                <w:szCs w:val="21"/>
              </w:rP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1080" w:type="dxa"/>
            <w:tcBorders>
              <w:top w:val="single" w:color="auto" w:sz="4" w:space="0"/>
              <w:left w:val="single" w:color="000000" w:sz="12" w:space="0"/>
              <w:bottom w:val="single" w:color="auto" w:sz="4"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第二名</w:t>
            </w:r>
          </w:p>
        </w:tc>
        <w:tc>
          <w:tcPr>
            <w:tcW w:w="421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sz w:val="18"/>
                <w:szCs w:val="21"/>
              </w:rPr>
            </w:pPr>
          </w:p>
        </w:tc>
        <w:tc>
          <w:tcPr>
            <w:tcW w:w="3041" w:type="dxa"/>
            <w:tcBorders>
              <w:top w:val="single" w:color="auto" w:sz="4" w:space="0"/>
              <w:left w:val="single" w:color="auto" w:sz="4" w:space="0"/>
              <w:bottom w:val="single" w:color="auto" w:sz="4" w:space="0"/>
              <w:right w:val="single" w:color="auto" w:sz="12" w:space="0"/>
            </w:tcBorders>
            <w:vAlign w:val="center"/>
          </w:tcPr>
          <w:p>
            <w:pPr>
              <w:jc w:val="center"/>
              <w:rPr>
                <w:rFonts w:ascii="仿宋_GB2312" w:hAnsi="宋体"/>
                <w:sz w:val="18"/>
                <w:szCs w:val="21"/>
              </w:rP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080" w:type="dxa"/>
            <w:tcBorders>
              <w:top w:val="single" w:color="auto" w:sz="4" w:space="0"/>
              <w:left w:val="single" w:color="000000" w:sz="12" w:space="0"/>
              <w:bottom w:val="single" w:color="000000" w:sz="12" w:space="0"/>
              <w:right w:val="single" w:color="auto" w:sz="4" w:space="0"/>
            </w:tcBorders>
            <w:vAlign w:val="center"/>
          </w:tcPr>
          <w:p>
            <w:pPr>
              <w:jc w:val="center"/>
              <w:rPr>
                <w:rFonts w:ascii="仿宋_GB2312" w:hAnsi="宋体"/>
                <w:sz w:val="18"/>
                <w:szCs w:val="21"/>
              </w:rPr>
            </w:pPr>
            <w:r>
              <w:rPr>
                <w:rFonts w:hint="eastAsia" w:ascii="仿宋_GB2312" w:hAnsi="宋体"/>
                <w:sz w:val="18"/>
                <w:szCs w:val="21"/>
              </w:rPr>
              <w:t>第三名</w:t>
            </w:r>
          </w:p>
        </w:tc>
        <w:tc>
          <w:tcPr>
            <w:tcW w:w="4215" w:type="dxa"/>
            <w:tcBorders>
              <w:top w:val="single" w:color="auto" w:sz="4" w:space="0"/>
              <w:left w:val="single" w:color="auto" w:sz="4" w:space="0"/>
              <w:bottom w:val="single" w:color="000000" w:sz="12" w:space="0"/>
              <w:right w:val="single" w:color="auto" w:sz="4" w:space="0"/>
            </w:tcBorders>
            <w:vAlign w:val="center"/>
          </w:tcPr>
          <w:p>
            <w:pPr>
              <w:jc w:val="center"/>
              <w:rPr>
                <w:rFonts w:ascii="仿宋_GB2312" w:hAnsi="宋体"/>
                <w:sz w:val="18"/>
                <w:szCs w:val="21"/>
              </w:rPr>
            </w:pPr>
          </w:p>
        </w:tc>
        <w:tc>
          <w:tcPr>
            <w:tcW w:w="3041" w:type="dxa"/>
            <w:tcBorders>
              <w:top w:val="single" w:color="auto" w:sz="4" w:space="0"/>
              <w:left w:val="single" w:color="auto" w:sz="4" w:space="0"/>
              <w:bottom w:val="single" w:color="000000" w:sz="12" w:space="0"/>
              <w:right w:val="single" w:color="auto" w:sz="12" w:space="0"/>
            </w:tcBorders>
            <w:vAlign w:val="center"/>
          </w:tcPr>
          <w:p>
            <w:pPr>
              <w:jc w:val="center"/>
              <w:rPr>
                <w:rFonts w:ascii="仿宋_GB2312" w:hAnsi="宋体"/>
                <w:sz w:val="18"/>
                <w:szCs w:val="21"/>
              </w:rPr>
            </w:pPr>
          </w:p>
        </w:tc>
      </w:tr>
    </w:tbl>
    <w:p>
      <w:pPr>
        <w:jc w:val="left"/>
        <w:rPr>
          <w:rFonts w:ascii="黑体" w:eastAsia="黑体"/>
          <w:szCs w:val="21"/>
        </w:rPr>
      </w:pPr>
    </w:p>
    <w:p>
      <w:pPr>
        <w:jc w:val="left"/>
        <w:rPr>
          <w:rFonts w:ascii="宋体" w:hAnsi="宋体"/>
          <w:szCs w:val="21"/>
        </w:rPr>
      </w:pPr>
      <w:r>
        <w:rPr>
          <w:rFonts w:hint="eastAsia" w:ascii="宋体" w:hAnsi="宋体"/>
          <w:szCs w:val="21"/>
        </w:rPr>
        <w:t>签订合同前要处理的事宜：</w:t>
      </w: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r>
        <w:rPr>
          <w:rFonts w:hint="eastAsia" w:ascii="宋体" w:hAnsi="宋体"/>
          <w:szCs w:val="21"/>
        </w:rPr>
        <w:t>评标委员会全体成员签字：</w:t>
      </w:r>
    </w:p>
    <w:p>
      <w:pPr>
        <w:jc w:val="left"/>
        <w:rPr>
          <w:rFonts w:ascii="宋体" w:hAnsi="宋体"/>
          <w:szCs w:val="21"/>
        </w:rPr>
      </w:pPr>
    </w:p>
    <w:p>
      <w:pPr>
        <w:jc w:val="left"/>
        <w:rPr>
          <w:rFonts w:ascii="宋体" w:hAnsi="宋体"/>
          <w:szCs w:val="21"/>
        </w:rPr>
      </w:pPr>
    </w:p>
    <w:p>
      <w:pPr>
        <w:jc w:val="left"/>
        <w:rPr>
          <w:rFonts w:ascii="宋体" w:hAnsi="宋体"/>
          <w:szCs w:val="21"/>
        </w:rPr>
      </w:pPr>
    </w:p>
    <w:p>
      <w:pPr>
        <w:jc w:val="left"/>
        <w:rPr>
          <w:rFonts w:ascii="宋体" w:hAnsi="宋体"/>
          <w:szCs w:val="21"/>
        </w:rPr>
      </w:pPr>
      <w:r>
        <w:rPr>
          <w:rFonts w:hint="eastAsia" w:ascii="宋体" w:hAnsi="宋体"/>
          <w:szCs w:val="21"/>
        </w:rPr>
        <w:t>监督人员签字：</w:t>
      </w:r>
    </w:p>
    <w:p>
      <w:pPr>
        <w:jc w:val="left"/>
        <w:rPr>
          <w:b/>
          <w:bCs/>
          <w:kern w:val="0"/>
        </w:rPr>
      </w:pPr>
      <w:r>
        <w:rPr>
          <w:rFonts w:hint="eastAsia"/>
        </w:rPr>
        <w:t>日期：  年  月  日</w:t>
      </w:r>
      <w:bookmarkStart w:id="190" w:name="_Toc300678220"/>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jc w:val="left"/>
        <w:rPr>
          <w:b/>
          <w:bCs/>
          <w:kern w:val="0"/>
        </w:rPr>
      </w:pPr>
    </w:p>
    <w:p>
      <w:pPr>
        <w:pStyle w:val="2"/>
        <w:spacing w:before="0" w:after="0"/>
        <w:jc w:val="center"/>
        <w:rPr>
          <w:rFonts w:ascii="黑体" w:hAnsi="黑体" w:eastAsia="黑体"/>
          <w:b w:val="0"/>
          <w:bCs w:val="0"/>
        </w:rPr>
      </w:pPr>
      <w:bookmarkStart w:id="191" w:name="_Toc3662"/>
      <w:bookmarkStart w:id="192" w:name="_Toc2109"/>
      <w:bookmarkStart w:id="193" w:name="_Toc724"/>
      <w:bookmarkStart w:id="194" w:name="_Toc10979"/>
      <w:bookmarkStart w:id="195" w:name="_Toc484015091"/>
      <w:bookmarkStart w:id="196" w:name="_Toc486318723"/>
      <w:r>
        <w:rPr>
          <w:rFonts w:hint="eastAsia" w:ascii="黑体" w:hAnsi="黑体" w:eastAsia="黑体"/>
          <w:b w:val="0"/>
          <w:bCs w:val="0"/>
        </w:rPr>
        <w:t>第四章  合同条款及格式</w:t>
      </w:r>
      <w:bookmarkEnd w:id="190"/>
      <w:bookmarkEnd w:id="191"/>
      <w:bookmarkEnd w:id="192"/>
      <w:bookmarkEnd w:id="193"/>
      <w:bookmarkEnd w:id="194"/>
      <w:bookmarkEnd w:id="195"/>
      <w:bookmarkEnd w:id="196"/>
    </w:p>
    <w:p>
      <w:pPr>
        <w:rPr>
          <w:rFonts w:ascii="宋体"/>
          <w:b/>
          <w:sz w:val="28"/>
          <w:szCs w:val="28"/>
          <w:u w:val="single"/>
        </w:rPr>
      </w:pPr>
      <w:r>
        <w:rPr>
          <w:rFonts w:ascii="黑体" w:eastAsia="黑体"/>
          <w:sz w:val="32"/>
          <w:szCs w:val="32"/>
        </w:rPr>
        <w:br w:type="page"/>
      </w:r>
      <w:r>
        <w:rPr>
          <w:rFonts w:hint="eastAsia" w:ascii="宋体" w:hAnsi="宋体"/>
          <w:b/>
          <w:sz w:val="28"/>
          <w:szCs w:val="28"/>
          <w:u w:val="single"/>
        </w:rPr>
        <w:t>（</w:t>
      </w:r>
      <w:r>
        <w:rPr>
          <w:rFonts w:ascii="宋体" w:hAnsi="宋体"/>
          <w:b/>
          <w:sz w:val="28"/>
          <w:szCs w:val="28"/>
          <w:u w:val="single"/>
        </w:rPr>
        <w:t>HNJS-2014</w:t>
      </w:r>
      <w:r>
        <w:rPr>
          <w:rFonts w:hint="eastAsia" w:ascii="宋体" w:hAnsi="宋体"/>
          <w:b/>
          <w:sz w:val="28"/>
          <w:szCs w:val="28"/>
          <w:u w:val="single"/>
        </w:rPr>
        <w:t>）</w:t>
      </w: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52"/>
          <w:szCs w:val="52"/>
        </w:rPr>
      </w:pPr>
      <w:r>
        <w:rPr>
          <w:rFonts w:hint="eastAsia" w:ascii="宋体" w:hAnsi="宋体"/>
          <w:b/>
          <w:sz w:val="52"/>
          <w:szCs w:val="52"/>
        </w:rPr>
        <w:t>湖南省建设工程施工合同</w:t>
      </w:r>
    </w:p>
    <w:p>
      <w:pPr>
        <w:jc w:val="center"/>
        <w:rPr>
          <w:rFonts w:ascii="宋体"/>
          <w:b/>
          <w:sz w:val="52"/>
          <w:szCs w:val="52"/>
        </w:rPr>
      </w:pPr>
    </w:p>
    <w:p>
      <w:pPr>
        <w:jc w:val="center"/>
        <w:rPr>
          <w:rFonts w:ascii="宋体" w:hAnsi="宋体"/>
          <w:b/>
          <w:sz w:val="52"/>
          <w:szCs w:val="52"/>
        </w:rPr>
      </w:pPr>
      <w:r>
        <w:rPr>
          <w:rFonts w:ascii="宋体" w:hAnsi="宋体"/>
          <w:b/>
          <w:sz w:val="52"/>
          <w:szCs w:val="52"/>
        </w:rPr>
        <w:t>(</w:t>
      </w:r>
      <w:r>
        <w:rPr>
          <w:rFonts w:hint="eastAsia" w:ascii="宋体" w:hAnsi="宋体"/>
          <w:b/>
          <w:sz w:val="52"/>
          <w:szCs w:val="52"/>
        </w:rPr>
        <w:t>示范文本</w:t>
      </w:r>
      <w:r>
        <w:rPr>
          <w:rFonts w:ascii="宋体" w:hAnsi="宋体"/>
          <w:b/>
          <w:sz w:val="52"/>
          <w:szCs w:val="52"/>
        </w:rPr>
        <w:t>)</w:t>
      </w: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jc w:val="center"/>
        <w:rPr>
          <w:rFonts w:ascii="宋体"/>
          <w:b/>
          <w:sz w:val="32"/>
          <w:szCs w:val="32"/>
        </w:rPr>
      </w:pPr>
    </w:p>
    <w:p>
      <w:pPr>
        <w:ind w:firstLine="1799" w:firstLineChars="640"/>
        <w:rPr>
          <w:rFonts w:ascii="宋体"/>
          <w:b/>
          <w:sz w:val="28"/>
          <w:szCs w:val="28"/>
        </w:rPr>
      </w:pPr>
      <w:r>
        <w:rPr>
          <w:rFonts w:hint="eastAsia" w:ascii="宋体" w:hAnsi="宋体"/>
          <w:b/>
          <w:sz w:val="28"/>
          <w:szCs w:val="28"/>
        </w:rPr>
        <w:t>湖南省住房和城乡建设厅</w:t>
      </w:r>
    </w:p>
    <w:p>
      <w:pPr>
        <w:rPr>
          <w:rFonts w:ascii="宋体"/>
          <w:b/>
          <w:sz w:val="30"/>
          <w:szCs w:val="30"/>
        </w:rPr>
      </w:pPr>
      <w:r>
        <w:rPr>
          <w:rFonts w:hint="eastAsia" w:ascii="宋体"/>
          <w:b/>
          <w:sz w:val="30"/>
          <w:szCs w:val="30"/>
        </w:rPr>
        <w:t>制定</w:t>
      </w:r>
    </w:p>
    <w:p>
      <w:pPr>
        <w:ind w:firstLine="2221" w:firstLineChars="790"/>
        <w:rPr>
          <w:rFonts w:ascii="宋体"/>
          <w:b/>
          <w:sz w:val="28"/>
          <w:szCs w:val="28"/>
        </w:rPr>
      </w:pPr>
      <w:r>
        <w:rPr>
          <w:rFonts w:hint="eastAsia" w:ascii="宋体" w:hAnsi="宋体"/>
          <w:b/>
          <w:sz w:val="28"/>
          <w:szCs w:val="28"/>
        </w:rPr>
        <w:t>湖省工商行政理局</w:t>
      </w:r>
    </w:p>
    <w:p>
      <w:pPr>
        <w:jc w:val="center"/>
        <w:rPr>
          <w:rFonts w:ascii="宋体"/>
          <w:sz w:val="28"/>
          <w:szCs w:val="28"/>
        </w:rPr>
      </w:pPr>
    </w:p>
    <w:p>
      <w:pPr>
        <w:pStyle w:val="2"/>
        <w:jc w:val="center"/>
      </w:pPr>
      <w:bookmarkStart w:id="197" w:name="_Toc30846"/>
      <w:bookmarkStart w:id="198" w:name="_Toc3772"/>
      <w:bookmarkStart w:id="199" w:name="_Toc486318724"/>
      <w:bookmarkStart w:id="200" w:name="_Toc484015092"/>
      <w:bookmarkStart w:id="201" w:name="_Toc14055"/>
      <w:bookmarkStart w:id="202" w:name="_Toc20343"/>
      <w:r>
        <w:rPr>
          <w:rFonts w:hint="eastAsia"/>
        </w:rPr>
        <w:t>第一部分合同协议书</w:t>
      </w:r>
      <w:bookmarkEnd w:id="197"/>
      <w:bookmarkEnd w:id="198"/>
      <w:bookmarkEnd w:id="199"/>
      <w:bookmarkEnd w:id="200"/>
      <w:bookmarkEnd w:id="201"/>
      <w:bookmarkEnd w:id="202"/>
    </w:p>
    <w:p>
      <w:pPr>
        <w:rPr>
          <w:rFonts w:ascii="宋体"/>
          <w:sz w:val="24"/>
        </w:rPr>
      </w:pPr>
    </w:p>
    <w:p>
      <w:pPr>
        <w:spacing w:line="480" w:lineRule="auto"/>
        <w:rPr>
          <w:rFonts w:ascii="宋体"/>
          <w:b/>
          <w:sz w:val="24"/>
          <w:szCs w:val="21"/>
          <w:u w:val="single"/>
        </w:rPr>
      </w:pPr>
      <w:r>
        <w:rPr>
          <w:rFonts w:hint="eastAsia" w:ascii="宋体" w:hAnsi="宋体"/>
          <w:b/>
          <w:sz w:val="24"/>
          <w:szCs w:val="21"/>
        </w:rPr>
        <w:t>发包人（全称）：</w:t>
      </w:r>
    </w:p>
    <w:p>
      <w:pPr>
        <w:spacing w:line="480" w:lineRule="auto"/>
        <w:rPr>
          <w:rFonts w:ascii="宋体" w:hAnsi="宋体"/>
          <w:b/>
          <w:sz w:val="24"/>
          <w:szCs w:val="21"/>
          <w:u w:val="single"/>
        </w:rPr>
      </w:pPr>
      <w:r>
        <w:rPr>
          <w:rFonts w:hint="eastAsia" w:ascii="宋体" w:hAnsi="宋体"/>
          <w:b/>
          <w:sz w:val="24"/>
          <w:szCs w:val="21"/>
        </w:rPr>
        <w:t>承包人（全称）：</w:t>
      </w:r>
    </w:p>
    <w:p>
      <w:pPr>
        <w:rPr>
          <w:rFonts w:ascii="宋体"/>
          <w:sz w:val="24"/>
          <w:szCs w:val="21"/>
        </w:rPr>
      </w:pPr>
    </w:p>
    <w:p>
      <w:pPr>
        <w:spacing w:line="360" w:lineRule="auto"/>
        <w:ind w:firstLine="480" w:firstLineChars="200"/>
        <w:rPr>
          <w:rFonts w:ascii="宋体"/>
          <w:sz w:val="24"/>
          <w:szCs w:val="21"/>
        </w:rPr>
      </w:pPr>
      <w:r>
        <w:rPr>
          <w:rFonts w:hint="eastAsia" w:ascii="宋体" w:hAnsi="宋体"/>
          <w:sz w:val="24"/>
          <w:szCs w:val="21"/>
        </w:rPr>
        <w:t>根据《中华人民共和国合同法》、《中华人民共和国建筑法》及有关法律规定，遵循平等、自愿、公平和诚实信用的原则，双方就工程施工及有关事项协商一致，共同达成如下协议：</w:t>
      </w:r>
    </w:p>
    <w:p>
      <w:pPr>
        <w:pStyle w:val="4"/>
        <w:ind w:firstLine="420"/>
        <w:rPr>
          <w:sz w:val="21"/>
          <w:szCs w:val="21"/>
        </w:rPr>
      </w:pPr>
    </w:p>
    <w:p>
      <w:pPr>
        <w:pStyle w:val="4"/>
        <w:ind w:firstLine="420"/>
        <w:rPr>
          <w:sz w:val="21"/>
          <w:szCs w:val="21"/>
        </w:rPr>
      </w:pPr>
      <w:bookmarkStart w:id="203" w:name="_Toc26012"/>
      <w:bookmarkStart w:id="204" w:name="_Toc6188"/>
      <w:bookmarkStart w:id="205" w:name="_Toc486318725"/>
      <w:bookmarkStart w:id="206" w:name="_Toc32151"/>
      <w:bookmarkStart w:id="207" w:name="_Toc9542"/>
      <w:bookmarkStart w:id="208" w:name="_Toc484015093"/>
      <w:r>
        <w:rPr>
          <w:rFonts w:hint="eastAsia"/>
          <w:b w:val="0"/>
          <w:bCs w:val="0"/>
          <w:sz w:val="21"/>
          <w:szCs w:val="21"/>
        </w:rPr>
        <w:t>一、工程概况</w:t>
      </w:r>
      <w:bookmarkEnd w:id="203"/>
      <w:bookmarkEnd w:id="204"/>
      <w:bookmarkEnd w:id="205"/>
      <w:bookmarkEnd w:id="206"/>
      <w:bookmarkEnd w:id="207"/>
      <w:bookmarkEnd w:id="208"/>
    </w:p>
    <w:p>
      <w:pPr>
        <w:spacing w:line="360" w:lineRule="auto"/>
        <w:ind w:firstLine="480" w:firstLineChars="200"/>
        <w:rPr>
          <w:rFonts w:ascii="宋体" w:hAnsi="宋体"/>
          <w:sz w:val="24"/>
          <w:szCs w:val="21"/>
        </w:rPr>
      </w:pPr>
      <w:r>
        <w:rPr>
          <w:rFonts w:ascii="宋体" w:hAnsi="宋体"/>
          <w:sz w:val="24"/>
          <w:szCs w:val="21"/>
        </w:rPr>
        <w:t>1.</w:t>
      </w:r>
      <w:r>
        <w:rPr>
          <w:rFonts w:hint="eastAsia" w:ascii="宋体" w:hAnsi="宋体"/>
          <w:sz w:val="24"/>
          <w:szCs w:val="21"/>
        </w:rPr>
        <w:t xml:space="preserve">工程名称： </w:t>
      </w:r>
      <w:r>
        <w:rPr>
          <w:rFonts w:hint="eastAsia" w:ascii="宋体" w:hAnsi="宋体"/>
          <w:sz w:val="24"/>
          <w:szCs w:val="21"/>
          <w:lang w:eastAsia="zh-CN"/>
        </w:rPr>
        <w:t>中国邮政集团公司益阳市分公司谢林港支局重建项目</w:t>
      </w:r>
      <w:r>
        <w:rPr>
          <w:rFonts w:hint="eastAsia" w:ascii="宋体" w:hAnsi="宋体"/>
          <w:sz w:val="24"/>
          <w:szCs w:val="21"/>
        </w:rPr>
        <w:t>。</w:t>
      </w:r>
    </w:p>
    <w:p>
      <w:pPr>
        <w:spacing w:line="360" w:lineRule="auto"/>
        <w:ind w:firstLine="480" w:firstLineChars="200"/>
        <w:rPr>
          <w:rFonts w:ascii="宋体" w:hAnsi="宋体"/>
          <w:sz w:val="24"/>
          <w:szCs w:val="21"/>
        </w:rPr>
      </w:pPr>
      <w:r>
        <w:rPr>
          <w:rFonts w:ascii="宋体" w:hAnsi="宋体"/>
          <w:sz w:val="24"/>
          <w:szCs w:val="21"/>
        </w:rPr>
        <w:t>2.</w:t>
      </w:r>
      <w:r>
        <w:rPr>
          <w:rFonts w:hint="eastAsia" w:ascii="宋体" w:hAnsi="宋体"/>
          <w:sz w:val="24"/>
          <w:szCs w:val="21"/>
        </w:rPr>
        <w:t>工程地点：</w:t>
      </w:r>
      <w:r>
        <w:rPr>
          <w:rFonts w:hint="eastAsia" w:ascii="宋体" w:hAnsi="宋体"/>
          <w:sz w:val="24"/>
          <w:szCs w:val="21"/>
          <w:lang w:eastAsia="zh-CN"/>
        </w:rPr>
        <w:t>益阳高新区谢林港镇</w:t>
      </w:r>
      <w:r>
        <w:rPr>
          <w:rFonts w:hint="eastAsia" w:ascii="宋体" w:hAnsi="宋体"/>
          <w:sz w:val="24"/>
          <w:szCs w:val="21"/>
        </w:rPr>
        <w:t>。</w:t>
      </w:r>
    </w:p>
    <w:p>
      <w:pPr>
        <w:spacing w:line="360" w:lineRule="auto"/>
        <w:ind w:firstLine="480" w:firstLineChars="200"/>
        <w:rPr>
          <w:rFonts w:ascii="宋体" w:hAnsi="宋体"/>
          <w:sz w:val="24"/>
          <w:szCs w:val="21"/>
        </w:rPr>
      </w:pPr>
      <w:r>
        <w:rPr>
          <w:rFonts w:ascii="宋体" w:hAnsi="宋体"/>
          <w:sz w:val="24"/>
          <w:szCs w:val="21"/>
        </w:rPr>
        <w:t>3.</w:t>
      </w:r>
      <w:r>
        <w:rPr>
          <w:rFonts w:hint="eastAsia" w:ascii="宋体" w:hAnsi="宋体"/>
          <w:sz w:val="24"/>
          <w:szCs w:val="21"/>
        </w:rPr>
        <w:t>工程立项批准文号：</w:t>
      </w:r>
    </w:p>
    <w:p>
      <w:pPr>
        <w:spacing w:line="360" w:lineRule="auto"/>
        <w:ind w:firstLine="480" w:firstLineChars="200"/>
        <w:rPr>
          <w:rFonts w:ascii="宋体" w:hAnsi="宋体"/>
          <w:sz w:val="24"/>
          <w:szCs w:val="21"/>
        </w:rPr>
      </w:pPr>
      <w:r>
        <w:rPr>
          <w:rFonts w:ascii="宋体" w:hAnsi="宋体"/>
          <w:sz w:val="24"/>
          <w:szCs w:val="21"/>
        </w:rPr>
        <w:t>4.</w:t>
      </w:r>
      <w:r>
        <w:rPr>
          <w:rFonts w:hint="eastAsia" w:ascii="宋体" w:hAnsi="宋体"/>
          <w:sz w:val="24"/>
          <w:szCs w:val="21"/>
        </w:rPr>
        <w:t>资金来源：自筹。</w:t>
      </w:r>
    </w:p>
    <w:p>
      <w:pPr>
        <w:spacing w:line="360" w:lineRule="auto"/>
        <w:ind w:firstLine="480" w:firstLineChars="200"/>
        <w:rPr>
          <w:rFonts w:ascii="宋体" w:hAnsi="宋体"/>
          <w:sz w:val="24"/>
          <w:szCs w:val="21"/>
        </w:rPr>
      </w:pPr>
      <w:r>
        <w:rPr>
          <w:rFonts w:ascii="宋体" w:hAnsi="宋体"/>
          <w:sz w:val="24"/>
          <w:szCs w:val="21"/>
        </w:rPr>
        <w:t>5.</w:t>
      </w:r>
      <w:r>
        <w:rPr>
          <w:rFonts w:hint="eastAsia" w:ascii="宋体" w:hAnsi="宋体"/>
          <w:sz w:val="24"/>
          <w:szCs w:val="21"/>
        </w:rPr>
        <w:t>工程内容：本次招标金额约</w:t>
      </w:r>
      <w:r>
        <w:rPr>
          <w:rFonts w:hint="eastAsia" w:ascii="宋体" w:hAnsi="宋体"/>
          <w:sz w:val="24"/>
          <w:szCs w:val="21"/>
          <w:lang w:eastAsia="zh-CN"/>
        </w:rPr>
        <w:t>239.66万元</w:t>
      </w:r>
      <w:r>
        <w:rPr>
          <w:rFonts w:hint="eastAsia" w:ascii="宋体" w:hAnsi="宋体"/>
          <w:sz w:val="24"/>
          <w:szCs w:val="21"/>
        </w:rPr>
        <w:t>。</w:t>
      </w:r>
    </w:p>
    <w:p>
      <w:pPr>
        <w:spacing w:line="360" w:lineRule="auto"/>
        <w:ind w:firstLine="480" w:firstLineChars="200"/>
        <w:rPr>
          <w:rFonts w:ascii="宋体" w:hAnsi="宋体"/>
          <w:sz w:val="24"/>
          <w:szCs w:val="21"/>
        </w:rPr>
      </w:pPr>
      <w:r>
        <w:rPr>
          <w:rFonts w:hint="eastAsia" w:ascii="宋体" w:hAnsi="宋体"/>
          <w:sz w:val="24"/>
          <w:szCs w:val="21"/>
        </w:rPr>
        <w:t>群体工程应附《承包人承揽工程项目一览表》（附件</w:t>
      </w:r>
      <w:r>
        <w:rPr>
          <w:rFonts w:ascii="宋体" w:hAnsi="宋体"/>
          <w:sz w:val="24"/>
          <w:szCs w:val="21"/>
        </w:rPr>
        <w:t>1</w:t>
      </w:r>
      <w:r>
        <w:rPr>
          <w:rFonts w:hint="eastAsia" w:ascii="宋体" w:hAnsi="宋体"/>
          <w:sz w:val="24"/>
          <w:szCs w:val="21"/>
        </w:rPr>
        <w:t>）。</w:t>
      </w:r>
    </w:p>
    <w:p>
      <w:pPr>
        <w:spacing w:line="360" w:lineRule="auto"/>
        <w:ind w:firstLine="480" w:firstLineChars="200"/>
        <w:rPr>
          <w:rFonts w:ascii="宋体" w:hAnsi="宋体"/>
          <w:sz w:val="24"/>
          <w:szCs w:val="21"/>
        </w:rPr>
      </w:pPr>
      <w:r>
        <w:rPr>
          <w:rFonts w:ascii="宋体" w:hAnsi="宋体"/>
          <w:sz w:val="24"/>
          <w:szCs w:val="21"/>
        </w:rPr>
        <w:t>6.</w:t>
      </w:r>
      <w:r>
        <w:rPr>
          <w:rFonts w:hint="eastAsia" w:ascii="宋体" w:hAnsi="宋体"/>
          <w:sz w:val="24"/>
          <w:szCs w:val="21"/>
        </w:rPr>
        <w:t xml:space="preserve">工程承包范围： </w:t>
      </w:r>
      <w:r>
        <w:rPr>
          <w:rFonts w:hint="eastAsia" w:ascii="宋体" w:hAnsi="宋体"/>
          <w:sz w:val="24"/>
          <w:szCs w:val="21"/>
          <w:lang w:eastAsia="zh-CN"/>
        </w:rPr>
        <w:t>中国邮政集团公司益阳市分公司谢林港支局重建项目</w:t>
      </w:r>
      <w:r>
        <w:rPr>
          <w:rFonts w:hint="eastAsia" w:ascii="宋体" w:hAnsi="宋体"/>
          <w:sz w:val="24"/>
          <w:szCs w:val="21"/>
        </w:rPr>
        <w:t>，具体以设计施工图纸、工程量清单等相关资料为准（具体以工程量清单为准）。</w:t>
      </w:r>
    </w:p>
    <w:p>
      <w:pPr>
        <w:pStyle w:val="4"/>
        <w:ind w:firstLine="420"/>
        <w:rPr>
          <w:sz w:val="21"/>
          <w:szCs w:val="21"/>
        </w:rPr>
      </w:pPr>
    </w:p>
    <w:p>
      <w:pPr>
        <w:pStyle w:val="4"/>
        <w:ind w:firstLine="420"/>
        <w:rPr>
          <w:sz w:val="21"/>
          <w:szCs w:val="21"/>
        </w:rPr>
      </w:pPr>
      <w:bookmarkStart w:id="209" w:name="_Toc3597"/>
      <w:bookmarkStart w:id="210" w:name="_Toc30971"/>
      <w:bookmarkStart w:id="211" w:name="_Toc484015094"/>
      <w:bookmarkStart w:id="212" w:name="_Toc1838"/>
      <w:bookmarkStart w:id="213" w:name="_Toc789"/>
      <w:bookmarkStart w:id="214" w:name="_Toc486318726"/>
      <w:r>
        <w:rPr>
          <w:rFonts w:hint="eastAsia"/>
          <w:b w:val="0"/>
          <w:bCs w:val="0"/>
          <w:sz w:val="21"/>
          <w:szCs w:val="21"/>
        </w:rPr>
        <w:t>二、合同工期</w:t>
      </w:r>
      <w:bookmarkEnd w:id="209"/>
      <w:bookmarkEnd w:id="210"/>
      <w:bookmarkEnd w:id="211"/>
      <w:bookmarkEnd w:id="212"/>
      <w:bookmarkEnd w:id="213"/>
      <w:bookmarkEnd w:id="214"/>
    </w:p>
    <w:p>
      <w:pPr>
        <w:spacing w:line="360" w:lineRule="auto"/>
        <w:ind w:firstLine="480" w:firstLineChars="200"/>
        <w:rPr>
          <w:rFonts w:ascii="宋体"/>
          <w:sz w:val="24"/>
          <w:szCs w:val="21"/>
        </w:rPr>
      </w:pPr>
      <w:r>
        <w:rPr>
          <w:rFonts w:hint="eastAsia" w:ascii="宋体" w:hAnsi="宋体"/>
          <w:sz w:val="24"/>
          <w:szCs w:val="21"/>
        </w:rPr>
        <w:t>计划开工日期：年月日。</w:t>
      </w:r>
    </w:p>
    <w:p>
      <w:pPr>
        <w:spacing w:line="360" w:lineRule="auto"/>
        <w:ind w:firstLine="480" w:firstLineChars="200"/>
        <w:rPr>
          <w:rFonts w:ascii="宋体"/>
          <w:sz w:val="24"/>
          <w:szCs w:val="21"/>
        </w:rPr>
      </w:pPr>
      <w:r>
        <w:rPr>
          <w:rFonts w:hint="eastAsia" w:ascii="宋体" w:hAnsi="宋体"/>
          <w:sz w:val="24"/>
          <w:szCs w:val="21"/>
        </w:rPr>
        <w:t>计划竣工日期：年月日。</w:t>
      </w:r>
    </w:p>
    <w:p>
      <w:pPr>
        <w:spacing w:line="360" w:lineRule="auto"/>
        <w:ind w:firstLine="480" w:firstLineChars="200"/>
        <w:rPr>
          <w:rFonts w:ascii="宋体" w:hAnsi="宋体"/>
          <w:sz w:val="24"/>
          <w:szCs w:val="21"/>
        </w:rPr>
      </w:pPr>
      <w:r>
        <w:rPr>
          <w:rFonts w:hint="eastAsia" w:ascii="宋体" w:hAnsi="宋体"/>
          <w:sz w:val="24"/>
          <w:szCs w:val="21"/>
        </w:rPr>
        <w:t>工期总日历天数：</w:t>
      </w:r>
      <w:r>
        <w:rPr>
          <w:rFonts w:ascii="宋体" w:hAnsi="宋体"/>
          <w:sz w:val="24"/>
          <w:szCs w:val="21"/>
        </w:rPr>
        <w:t>1</w:t>
      </w:r>
      <w:r>
        <w:rPr>
          <w:rFonts w:hint="eastAsia" w:ascii="宋体" w:hAnsi="宋体"/>
          <w:sz w:val="24"/>
          <w:szCs w:val="21"/>
        </w:rPr>
        <w:t>8</w:t>
      </w:r>
      <w:r>
        <w:rPr>
          <w:rFonts w:ascii="宋体" w:hAnsi="宋体"/>
          <w:sz w:val="24"/>
          <w:szCs w:val="21"/>
        </w:rPr>
        <w:t>0天</w:t>
      </w:r>
      <w:r>
        <w:rPr>
          <w:rFonts w:hint="eastAsia" w:ascii="宋体" w:hAnsi="宋体"/>
          <w:sz w:val="24"/>
          <w:szCs w:val="21"/>
        </w:rPr>
        <w:t>。工期总日历天数与根据前述计划开竣工日期计算的工期天数不一致的，以工期总日历天数为准。</w:t>
      </w:r>
    </w:p>
    <w:p>
      <w:pPr>
        <w:rPr>
          <w:rFonts w:ascii="宋体"/>
          <w:sz w:val="24"/>
          <w:szCs w:val="21"/>
        </w:rPr>
      </w:pPr>
    </w:p>
    <w:p>
      <w:pPr>
        <w:pStyle w:val="4"/>
        <w:ind w:firstLine="420"/>
        <w:rPr>
          <w:sz w:val="21"/>
          <w:szCs w:val="21"/>
        </w:rPr>
      </w:pPr>
      <w:bookmarkStart w:id="215" w:name="_Toc484015095"/>
      <w:bookmarkStart w:id="216" w:name="_Toc18268"/>
      <w:bookmarkStart w:id="217" w:name="_Toc25560"/>
      <w:bookmarkStart w:id="218" w:name="_Toc9079"/>
      <w:bookmarkStart w:id="219" w:name="_Toc3664"/>
      <w:bookmarkStart w:id="220" w:name="_Toc486318727"/>
      <w:r>
        <w:rPr>
          <w:rFonts w:hint="eastAsia"/>
          <w:b w:val="0"/>
          <w:bCs w:val="0"/>
          <w:sz w:val="21"/>
          <w:szCs w:val="21"/>
        </w:rPr>
        <w:t>三、质量标准</w:t>
      </w:r>
      <w:bookmarkEnd w:id="215"/>
      <w:bookmarkEnd w:id="216"/>
      <w:bookmarkEnd w:id="217"/>
      <w:bookmarkEnd w:id="218"/>
      <w:bookmarkEnd w:id="219"/>
      <w:bookmarkEnd w:id="220"/>
    </w:p>
    <w:p>
      <w:pPr>
        <w:spacing w:line="360" w:lineRule="auto"/>
        <w:rPr>
          <w:rFonts w:ascii="宋体"/>
          <w:sz w:val="24"/>
          <w:szCs w:val="21"/>
        </w:rPr>
      </w:pPr>
      <w:r>
        <w:rPr>
          <w:rFonts w:hint="eastAsia" w:ascii="宋体" w:hAnsi="宋体"/>
          <w:sz w:val="24"/>
          <w:szCs w:val="21"/>
        </w:rPr>
        <w:t>工程质量符合</w:t>
      </w:r>
      <w:r>
        <w:rPr>
          <w:rFonts w:hint="eastAsia" w:ascii="宋体" w:hAnsi="宋体" w:cs="宋体"/>
          <w:kern w:val="0"/>
          <w:szCs w:val="21"/>
          <w:u w:val="single"/>
        </w:rPr>
        <w:t>合格</w:t>
      </w:r>
      <w:r>
        <w:rPr>
          <w:rFonts w:hint="eastAsia" w:ascii="宋体" w:hAnsi="宋体" w:cs="宋体"/>
          <w:kern w:val="0"/>
          <w:szCs w:val="21"/>
        </w:rPr>
        <w:t>标准</w:t>
      </w:r>
      <w:r>
        <w:rPr>
          <w:rFonts w:hint="eastAsia" w:ascii="宋体" w:hAnsi="宋体"/>
          <w:sz w:val="24"/>
          <w:szCs w:val="21"/>
        </w:rPr>
        <w:t>。</w:t>
      </w:r>
    </w:p>
    <w:p>
      <w:pPr>
        <w:rPr>
          <w:rFonts w:ascii="宋体"/>
          <w:sz w:val="24"/>
          <w:szCs w:val="21"/>
        </w:rPr>
      </w:pPr>
    </w:p>
    <w:p>
      <w:pPr>
        <w:spacing w:line="360" w:lineRule="auto"/>
      </w:pPr>
      <w:r>
        <w:rPr>
          <w:rFonts w:hint="eastAsia"/>
        </w:rPr>
        <w:t>四、签约合同价与合同价格形式</w:t>
      </w:r>
    </w:p>
    <w:p>
      <w:pPr>
        <w:spacing w:line="360" w:lineRule="auto"/>
      </w:pPr>
      <w:r>
        <w:rPr>
          <w:rFonts w:hint="eastAsia"/>
        </w:rPr>
        <w:t>　　1、签约合同价为：</w:t>
      </w:r>
    </w:p>
    <w:p>
      <w:pPr>
        <w:spacing w:line="360" w:lineRule="auto"/>
      </w:pPr>
      <w:r>
        <w:rPr>
          <w:rFonts w:hint="eastAsia"/>
        </w:rPr>
        <w:t>　　人民币(大写)_________(¥_________元)。</w:t>
      </w:r>
    </w:p>
    <w:p>
      <w:pPr>
        <w:spacing w:line="360" w:lineRule="auto"/>
      </w:pPr>
      <w:r>
        <w:rPr>
          <w:rFonts w:hint="eastAsia"/>
        </w:rPr>
        <w:t>　　其中：__________________</w:t>
      </w:r>
    </w:p>
    <w:p>
      <w:pPr>
        <w:spacing w:line="360" w:lineRule="auto"/>
      </w:pPr>
      <w:r>
        <w:rPr>
          <w:rFonts w:hint="eastAsia"/>
        </w:rPr>
        <w:t>　　(1)安全文明施工费：</w:t>
      </w:r>
    </w:p>
    <w:p>
      <w:pPr>
        <w:spacing w:line="360" w:lineRule="auto"/>
      </w:pPr>
      <w:r>
        <w:rPr>
          <w:rFonts w:hint="eastAsia"/>
        </w:rPr>
        <w:t>　　人民币(大写)__________(¥_______元)。</w:t>
      </w:r>
    </w:p>
    <w:p>
      <w:pPr>
        <w:spacing w:line="360" w:lineRule="auto"/>
      </w:pPr>
      <w:r>
        <w:rPr>
          <w:rFonts w:hint="eastAsia"/>
        </w:rPr>
        <w:t>　　(2)材料和工程设备暂估价金额：</w:t>
      </w:r>
    </w:p>
    <w:p>
      <w:pPr>
        <w:spacing w:line="360" w:lineRule="auto"/>
      </w:pPr>
      <w:r>
        <w:rPr>
          <w:rFonts w:hint="eastAsia"/>
        </w:rPr>
        <w:t>　　人民币(大写)__________(¥________元)。</w:t>
      </w:r>
    </w:p>
    <w:p>
      <w:pPr>
        <w:spacing w:line="360" w:lineRule="auto"/>
      </w:pPr>
      <w:r>
        <w:rPr>
          <w:rFonts w:hint="eastAsia"/>
        </w:rPr>
        <w:t>　　(3)专业工程暂估价金额：</w:t>
      </w:r>
    </w:p>
    <w:p>
      <w:pPr>
        <w:spacing w:line="360" w:lineRule="auto"/>
      </w:pPr>
      <w:r>
        <w:rPr>
          <w:rFonts w:hint="eastAsia"/>
        </w:rPr>
        <w:t>　　人民币(大写)___________(¥_______元)。</w:t>
      </w:r>
    </w:p>
    <w:p>
      <w:pPr>
        <w:spacing w:line="360" w:lineRule="auto"/>
      </w:pPr>
      <w:r>
        <w:rPr>
          <w:rFonts w:hint="eastAsia"/>
        </w:rPr>
        <w:t>　　(4)暂列金额：</w:t>
      </w:r>
    </w:p>
    <w:p>
      <w:pPr>
        <w:spacing w:line="360" w:lineRule="auto"/>
      </w:pPr>
      <w:r>
        <w:rPr>
          <w:rFonts w:hint="eastAsia"/>
        </w:rPr>
        <w:t>　　人民币(大写) ________________(¥_______元)。</w:t>
      </w:r>
    </w:p>
    <w:p>
      <w:pPr>
        <w:spacing w:line="360" w:lineRule="auto"/>
      </w:pPr>
      <w:r>
        <w:rPr>
          <w:rFonts w:hint="eastAsia"/>
        </w:rPr>
        <w:t>　　2、合同价格形式：___</w:t>
      </w:r>
      <w:r>
        <w:rPr>
          <w:rFonts w:hint="eastAsia"/>
          <w:u w:val="single"/>
        </w:rPr>
        <w:t>整价合同，按照现行的相关政策及相关文件规定执行</w:t>
      </w:r>
      <w:r>
        <w:rPr>
          <w:rFonts w:hint="eastAsia"/>
        </w:rPr>
        <w:t>__。</w:t>
      </w:r>
    </w:p>
    <w:p>
      <w:pPr>
        <w:spacing w:line="360" w:lineRule="auto"/>
      </w:pPr>
    </w:p>
    <w:p>
      <w:pPr>
        <w:spacing w:line="360" w:lineRule="auto"/>
      </w:pPr>
      <w:r>
        <w:rPr>
          <w:rFonts w:hint="eastAsia"/>
        </w:rPr>
        <w:t>　　五、项目经理</w:t>
      </w:r>
    </w:p>
    <w:p>
      <w:pPr>
        <w:spacing w:line="360" w:lineRule="auto"/>
      </w:pPr>
      <w:r>
        <w:rPr>
          <w:rFonts w:hint="eastAsia"/>
        </w:rPr>
        <w:t>　　承包人项目经理：。</w:t>
      </w:r>
    </w:p>
    <w:p>
      <w:pPr>
        <w:spacing w:line="360" w:lineRule="auto"/>
      </w:pPr>
    </w:p>
    <w:p>
      <w:pPr>
        <w:spacing w:line="360" w:lineRule="auto"/>
      </w:pPr>
      <w:r>
        <w:rPr>
          <w:rFonts w:hint="eastAsia"/>
        </w:rPr>
        <w:t>　　六、合同文件构成</w:t>
      </w:r>
    </w:p>
    <w:p>
      <w:pPr>
        <w:spacing w:line="360" w:lineRule="auto"/>
      </w:pPr>
      <w:r>
        <w:rPr>
          <w:rFonts w:hint="eastAsia"/>
        </w:rPr>
        <w:t>　　本协议书与下列文件一起构成合同文件：</w:t>
      </w:r>
    </w:p>
    <w:p>
      <w:pPr>
        <w:spacing w:line="360" w:lineRule="auto"/>
      </w:pPr>
      <w:r>
        <w:rPr>
          <w:rFonts w:hint="eastAsia"/>
        </w:rPr>
        <w:t>　　(1)中标通知书(如果有)；</w:t>
      </w:r>
    </w:p>
    <w:p>
      <w:pPr>
        <w:spacing w:line="360" w:lineRule="auto"/>
      </w:pPr>
      <w:r>
        <w:rPr>
          <w:rFonts w:hint="eastAsia"/>
        </w:rPr>
        <w:t>　　(2)投标函及其附录(如果有)；</w:t>
      </w:r>
    </w:p>
    <w:p>
      <w:pPr>
        <w:spacing w:line="360" w:lineRule="auto"/>
      </w:pPr>
      <w:r>
        <w:rPr>
          <w:rFonts w:hint="eastAsia"/>
        </w:rPr>
        <w:t>　　(3)专用合同条款及其附件；</w:t>
      </w:r>
    </w:p>
    <w:p>
      <w:pPr>
        <w:spacing w:line="360" w:lineRule="auto"/>
      </w:pPr>
      <w:r>
        <w:rPr>
          <w:rFonts w:hint="eastAsia"/>
        </w:rPr>
        <w:t>　　(4)通用合同条款；</w:t>
      </w:r>
    </w:p>
    <w:p>
      <w:pPr>
        <w:spacing w:line="360" w:lineRule="auto"/>
      </w:pPr>
      <w:r>
        <w:rPr>
          <w:rFonts w:hint="eastAsia"/>
        </w:rPr>
        <w:t>　　(5)技术标准和要求；</w:t>
      </w:r>
    </w:p>
    <w:p>
      <w:pPr>
        <w:spacing w:line="360" w:lineRule="auto"/>
      </w:pPr>
      <w:r>
        <w:rPr>
          <w:rFonts w:hint="eastAsia"/>
        </w:rPr>
        <w:t>　　(6)图纸；</w:t>
      </w:r>
    </w:p>
    <w:p>
      <w:pPr>
        <w:spacing w:line="360" w:lineRule="auto"/>
      </w:pPr>
      <w:r>
        <w:rPr>
          <w:rFonts w:hint="eastAsia"/>
        </w:rPr>
        <w:t>　　(7)已标价工程量清单或预算书；</w:t>
      </w:r>
    </w:p>
    <w:p>
      <w:pPr>
        <w:spacing w:line="360" w:lineRule="auto"/>
      </w:pPr>
      <w:r>
        <w:rPr>
          <w:rFonts w:hint="eastAsia"/>
        </w:rPr>
        <w:t>　　(8)其他合同文件。</w:t>
      </w:r>
    </w:p>
    <w:p>
      <w:pPr>
        <w:spacing w:line="360" w:lineRule="auto"/>
      </w:pPr>
      <w:r>
        <w:rPr>
          <w:rFonts w:hint="eastAsia"/>
        </w:rPr>
        <w:t>　　在合同订立及履行过程中形成的与合同有关的文件均构成合同文件组成部分。</w:t>
      </w:r>
    </w:p>
    <w:p>
      <w:pPr>
        <w:spacing w:line="360" w:lineRule="auto"/>
      </w:pPr>
      <w:r>
        <w:rPr>
          <w:rFonts w:hint="eastAsia"/>
        </w:rPr>
        <w:t>　　上述各项合同文件包括合同当事人就该项合同文件所作出的补充和修改，属于同一类内容的文件，应以最新签署的为准。专用合同条款及其附件须经合同当事人签字或盖章。</w:t>
      </w:r>
    </w:p>
    <w:p>
      <w:pPr>
        <w:spacing w:line="360" w:lineRule="auto"/>
      </w:pPr>
    </w:p>
    <w:p>
      <w:pPr>
        <w:spacing w:line="360" w:lineRule="auto"/>
      </w:pPr>
      <w:r>
        <w:rPr>
          <w:rFonts w:hint="eastAsia"/>
        </w:rPr>
        <w:t>　　七、承诺</w:t>
      </w:r>
    </w:p>
    <w:p>
      <w:pPr>
        <w:spacing w:line="360" w:lineRule="auto"/>
      </w:pPr>
      <w:r>
        <w:rPr>
          <w:rFonts w:hint="eastAsia"/>
        </w:rPr>
        <w:t>　　1、发包人承诺按照法律规定履行项目审批手续、筹集工程建设资金并按照合同约定的期限和方式支付合同价款。</w:t>
      </w:r>
    </w:p>
    <w:p>
      <w:pPr>
        <w:spacing w:line="360" w:lineRule="auto"/>
      </w:pPr>
      <w:r>
        <w:rPr>
          <w:rFonts w:hint="eastAsia"/>
        </w:rPr>
        <w:t>　　2、承包人承诺按照法律规定及合同约定组织完成工程施工，确保工程质量和安全，不进行转包及违法分包，并在缺陷责任期及保修期内承担相应的工程维修责任。</w:t>
      </w:r>
    </w:p>
    <w:p>
      <w:pPr>
        <w:spacing w:line="360" w:lineRule="auto"/>
      </w:pPr>
      <w:r>
        <w:rPr>
          <w:rFonts w:hint="eastAsia"/>
        </w:rPr>
        <w:t>　　3、发包人和承包人通过招投标形式签订合同的，双方理解并承诺不再就同一工程另行签订与合同实质性内容相背离的协议。</w:t>
      </w:r>
    </w:p>
    <w:p>
      <w:pPr>
        <w:spacing w:line="360" w:lineRule="auto"/>
      </w:pPr>
    </w:p>
    <w:p>
      <w:pPr>
        <w:spacing w:line="360" w:lineRule="auto"/>
      </w:pPr>
      <w:r>
        <w:rPr>
          <w:rFonts w:hint="eastAsia"/>
        </w:rPr>
        <w:t>　　八、词语含义</w:t>
      </w:r>
    </w:p>
    <w:p>
      <w:pPr>
        <w:spacing w:line="360" w:lineRule="auto"/>
      </w:pPr>
      <w:r>
        <w:rPr>
          <w:rFonts w:hint="eastAsia"/>
        </w:rPr>
        <w:t>　　本协议书中词语含义与第二部分通用合同条款中赋予的含义相同。</w:t>
      </w:r>
    </w:p>
    <w:p>
      <w:pPr>
        <w:spacing w:line="360" w:lineRule="auto"/>
      </w:pPr>
    </w:p>
    <w:p>
      <w:pPr>
        <w:spacing w:line="360" w:lineRule="auto"/>
      </w:pPr>
      <w:r>
        <w:rPr>
          <w:rFonts w:hint="eastAsia"/>
        </w:rPr>
        <w:t>　　九、签订时间</w:t>
      </w:r>
    </w:p>
    <w:p>
      <w:pPr>
        <w:spacing w:line="360" w:lineRule="auto"/>
      </w:pPr>
      <w:r>
        <w:rPr>
          <w:rFonts w:hint="eastAsia"/>
        </w:rPr>
        <w:t>　　本合同于_____年____月_______日签订。</w:t>
      </w:r>
    </w:p>
    <w:p>
      <w:pPr>
        <w:spacing w:line="360" w:lineRule="auto"/>
      </w:pPr>
    </w:p>
    <w:p>
      <w:pPr>
        <w:spacing w:line="360" w:lineRule="auto"/>
      </w:pPr>
      <w:r>
        <w:rPr>
          <w:rFonts w:hint="eastAsia"/>
        </w:rPr>
        <w:t>十、签订地点</w:t>
      </w:r>
    </w:p>
    <w:p>
      <w:pPr>
        <w:spacing w:line="360" w:lineRule="auto"/>
      </w:pPr>
      <w:r>
        <w:rPr>
          <w:rFonts w:hint="eastAsia"/>
        </w:rPr>
        <w:t>　　本合同在___________签订。</w:t>
      </w:r>
    </w:p>
    <w:p>
      <w:pPr>
        <w:spacing w:line="360" w:lineRule="auto"/>
      </w:pPr>
    </w:p>
    <w:p>
      <w:pPr>
        <w:spacing w:line="360" w:lineRule="auto"/>
      </w:pPr>
      <w:r>
        <w:rPr>
          <w:rFonts w:hint="eastAsia"/>
        </w:rPr>
        <w:t>　　十一、补充协议</w:t>
      </w:r>
    </w:p>
    <w:p>
      <w:pPr>
        <w:spacing w:line="360" w:lineRule="auto"/>
      </w:pPr>
      <w:r>
        <w:rPr>
          <w:rFonts w:hint="eastAsia"/>
        </w:rPr>
        <w:t>　　合同未尽事宜，合同当事人另行签订补充协议，补充协议是合同的组成部分。</w:t>
      </w:r>
    </w:p>
    <w:p>
      <w:pPr>
        <w:spacing w:line="360" w:lineRule="auto"/>
      </w:pPr>
    </w:p>
    <w:p>
      <w:pPr>
        <w:spacing w:line="360" w:lineRule="auto"/>
      </w:pPr>
      <w:r>
        <w:rPr>
          <w:rFonts w:hint="eastAsia"/>
        </w:rPr>
        <w:t>　　十二、合同生效</w:t>
      </w:r>
    </w:p>
    <w:p>
      <w:pPr>
        <w:spacing w:line="360" w:lineRule="auto"/>
      </w:pPr>
      <w:r>
        <w:rPr>
          <w:rFonts w:hint="eastAsia"/>
        </w:rPr>
        <w:t>　　本合同自_____________生效。</w:t>
      </w:r>
    </w:p>
    <w:p>
      <w:pPr>
        <w:spacing w:line="360" w:lineRule="auto"/>
      </w:pPr>
    </w:p>
    <w:p>
      <w:pPr>
        <w:spacing w:line="360" w:lineRule="auto"/>
      </w:pPr>
      <w:r>
        <w:rPr>
          <w:rFonts w:hint="eastAsia"/>
        </w:rPr>
        <w:t>　　十三、合同份数</w:t>
      </w:r>
    </w:p>
    <w:p>
      <w:pPr>
        <w:spacing w:line="360" w:lineRule="auto"/>
      </w:pPr>
      <w:r>
        <w:rPr>
          <w:rFonts w:hint="eastAsia"/>
        </w:rPr>
        <w:t>　　本合同一式____份，均具有同等法律效力，发包人执____份，承包人执____份。</w:t>
      </w:r>
    </w:p>
    <w:p>
      <w:pPr/>
    </w:p>
    <w:p>
      <w:pPr>
        <w:spacing w:line="360" w:lineRule="auto"/>
      </w:pPr>
      <w:r>
        <w:rPr>
          <w:rFonts w:hint="eastAsia"/>
        </w:rPr>
        <w:t>发包人：（公章）                             承包人：（公章）</w:t>
      </w:r>
    </w:p>
    <w:p>
      <w:pPr>
        <w:spacing w:line="360" w:lineRule="auto"/>
      </w:pPr>
    </w:p>
    <w:p>
      <w:pPr>
        <w:spacing w:line="360" w:lineRule="auto"/>
      </w:pPr>
      <w:r>
        <w:rPr>
          <w:rFonts w:hint="eastAsia"/>
        </w:rPr>
        <w:t>法定代表人或其委托代理人：                   法定代表人或其委托代理人：</w:t>
      </w:r>
    </w:p>
    <w:p>
      <w:pPr>
        <w:spacing w:line="360" w:lineRule="auto"/>
      </w:pPr>
      <w:r>
        <w:rPr>
          <w:rFonts w:hint="eastAsia"/>
        </w:rPr>
        <w:t>（签字）                                     （签字）</w:t>
      </w:r>
    </w:p>
    <w:p>
      <w:pPr>
        <w:spacing w:line="360" w:lineRule="auto"/>
      </w:pPr>
    </w:p>
    <w:p>
      <w:pPr>
        <w:spacing w:line="360" w:lineRule="auto"/>
      </w:pPr>
      <w:r>
        <w:rPr>
          <w:rFonts w:hint="eastAsia"/>
        </w:rPr>
        <w:t>组织机构代码：                         组织机构代码：</w:t>
      </w:r>
    </w:p>
    <w:p>
      <w:pPr>
        <w:spacing w:line="360" w:lineRule="auto"/>
      </w:pPr>
      <w:r>
        <w:rPr>
          <w:rFonts w:hint="eastAsia"/>
        </w:rPr>
        <w:t>地址：                                 地址：</w:t>
      </w:r>
    </w:p>
    <w:p>
      <w:pPr>
        <w:spacing w:line="360" w:lineRule="auto"/>
      </w:pPr>
      <w:r>
        <w:rPr>
          <w:rFonts w:hint="eastAsia"/>
        </w:rPr>
        <w:t>邮政编码：                             邮政编码：</w:t>
      </w:r>
    </w:p>
    <w:p>
      <w:pPr>
        <w:spacing w:line="360" w:lineRule="auto"/>
      </w:pPr>
      <w:r>
        <w:rPr>
          <w:rFonts w:hint="eastAsia"/>
        </w:rPr>
        <w:t>法定代表人：                           法定代表人：</w:t>
      </w:r>
    </w:p>
    <w:p>
      <w:pPr>
        <w:spacing w:line="360" w:lineRule="auto"/>
      </w:pPr>
      <w:r>
        <w:rPr>
          <w:rFonts w:hint="eastAsia"/>
        </w:rPr>
        <w:t>委托代理人：                           委托代理人：</w:t>
      </w:r>
    </w:p>
    <w:p>
      <w:pPr>
        <w:spacing w:line="360" w:lineRule="auto"/>
      </w:pPr>
      <w:r>
        <w:rPr>
          <w:rFonts w:hint="eastAsia"/>
        </w:rPr>
        <w:t>电话：                                 电话：</w:t>
      </w:r>
    </w:p>
    <w:p>
      <w:pPr>
        <w:spacing w:line="360" w:lineRule="auto"/>
      </w:pPr>
      <w:r>
        <w:rPr>
          <w:rFonts w:hint="eastAsia"/>
        </w:rPr>
        <w:t>传真：                                 传真：</w:t>
      </w:r>
    </w:p>
    <w:p>
      <w:pPr>
        <w:spacing w:line="360" w:lineRule="auto"/>
      </w:pPr>
      <w:r>
        <w:rPr>
          <w:rFonts w:hint="eastAsia"/>
        </w:rPr>
        <w:t>电子信箱：                             电子信箱：</w:t>
      </w:r>
    </w:p>
    <w:p>
      <w:pPr>
        <w:spacing w:line="360" w:lineRule="auto"/>
      </w:pPr>
      <w:r>
        <w:rPr>
          <w:rFonts w:hint="eastAsia"/>
        </w:rPr>
        <w:t>开户银行：                             开户银行：</w:t>
      </w:r>
    </w:p>
    <w:p>
      <w:pPr>
        <w:spacing w:line="360" w:lineRule="auto"/>
      </w:pPr>
      <w:r>
        <w:rPr>
          <w:rFonts w:hint="eastAsia"/>
        </w:rPr>
        <w:t>账号：                                 账号：</w:t>
      </w:r>
    </w:p>
    <w:p>
      <w:pPr>
        <w:spacing w:line="360" w:lineRule="auto"/>
      </w:pPr>
    </w:p>
    <w:p>
      <w:pPr>
        <w:pStyle w:val="4"/>
      </w:pPr>
    </w:p>
    <w:p>
      <w:pPr>
        <w:pStyle w:val="2"/>
        <w:jc w:val="center"/>
      </w:pPr>
      <w:r>
        <w:rPr>
          <w:rFonts w:hint="eastAsia"/>
        </w:rPr>
        <w:br w:type="page"/>
      </w:r>
      <w:bookmarkStart w:id="221" w:name="_Toc27084"/>
      <w:bookmarkStart w:id="222" w:name="_Toc27241"/>
      <w:bookmarkStart w:id="223" w:name="_Toc9178"/>
      <w:bookmarkStart w:id="224" w:name="_Toc486318728"/>
      <w:bookmarkStart w:id="225" w:name="_Toc22526"/>
      <w:bookmarkStart w:id="226" w:name="_Toc484015096"/>
      <w:r>
        <w:rPr>
          <w:rFonts w:hint="eastAsia"/>
        </w:rPr>
        <w:t>第二部分通用合同条款</w:t>
      </w:r>
      <w:bookmarkEnd w:id="221"/>
      <w:bookmarkEnd w:id="222"/>
      <w:bookmarkEnd w:id="223"/>
      <w:bookmarkEnd w:id="224"/>
      <w:bookmarkEnd w:id="225"/>
      <w:bookmarkEnd w:id="226"/>
    </w:p>
    <w:p>
      <w:pPr>
        <w:spacing w:line="560" w:lineRule="exact"/>
        <w:ind w:firstLine="607"/>
        <w:jc w:val="center"/>
      </w:pPr>
      <w:r>
        <w:rPr>
          <w:rFonts w:hint="eastAsia"/>
        </w:rPr>
        <w:t>选用《湖南省住房和城乡建设厅 湖南省工商行政管理局关于印发建设工程施工合同HNJS—2014》</w:t>
      </w:r>
    </w:p>
    <w:p>
      <w:pPr>
        <w:spacing w:line="360" w:lineRule="auto"/>
        <w:rPr>
          <w:rFonts w:ascii="宋体" w:hAnsi="宋体"/>
          <w:sz w:val="24"/>
        </w:rPr>
      </w:pPr>
      <w:r>
        <w:rPr>
          <w:rFonts w:ascii="宋体" w:hAnsi="宋体"/>
          <w:sz w:val="24"/>
        </w:rPr>
        <w:br w:type="page"/>
      </w:r>
    </w:p>
    <w:p>
      <w:pPr>
        <w:pStyle w:val="2"/>
        <w:jc w:val="center"/>
      </w:pPr>
      <w:bookmarkStart w:id="227" w:name="_Toc11284"/>
      <w:bookmarkStart w:id="228" w:name="_Toc486318729"/>
      <w:bookmarkStart w:id="229" w:name="_Toc7930"/>
      <w:bookmarkStart w:id="230" w:name="_Toc3686"/>
      <w:bookmarkStart w:id="231" w:name="_Toc3583"/>
      <w:bookmarkStart w:id="232" w:name="_Toc484015097"/>
      <w:r>
        <w:rPr>
          <w:rFonts w:hint="eastAsia"/>
        </w:rPr>
        <w:t>第三部分专用合同条款</w:t>
      </w:r>
      <w:bookmarkEnd w:id="227"/>
      <w:bookmarkEnd w:id="228"/>
      <w:bookmarkEnd w:id="229"/>
      <w:bookmarkEnd w:id="230"/>
      <w:bookmarkEnd w:id="231"/>
      <w:bookmarkEnd w:id="232"/>
    </w:p>
    <w:p>
      <w:pPr>
        <w:spacing w:line="360" w:lineRule="auto"/>
        <w:ind w:firstLine="482" w:firstLineChars="200"/>
        <w:rPr>
          <w:rFonts w:ascii="宋体" w:hAnsi="宋体" w:cs="宋体"/>
          <w:b/>
          <w:bCs/>
          <w:sz w:val="24"/>
        </w:rPr>
      </w:pPr>
      <w:r>
        <w:rPr>
          <w:rFonts w:hint="eastAsia" w:ascii="宋体" w:hAnsi="宋体" w:cs="宋体"/>
          <w:b/>
          <w:bCs/>
          <w:sz w:val="24"/>
        </w:rPr>
        <w:t>1.1 词语定义</w:t>
      </w:r>
    </w:p>
    <w:p>
      <w:pPr>
        <w:spacing w:line="360" w:lineRule="auto"/>
        <w:ind w:firstLine="420" w:firstLineChars="200"/>
        <w:rPr>
          <w:rFonts w:hAnsi="宋体"/>
        </w:rPr>
      </w:pPr>
      <w:r>
        <w:rPr>
          <w:rFonts w:hint="eastAsia" w:hAnsi="宋体"/>
        </w:rPr>
        <w:t>1.1.1 合同</w:t>
      </w:r>
    </w:p>
    <w:p>
      <w:pPr>
        <w:spacing w:line="360" w:lineRule="auto"/>
        <w:ind w:firstLine="420" w:firstLineChars="200"/>
        <w:rPr>
          <w:rFonts w:hAnsi="宋体"/>
        </w:rPr>
      </w:pPr>
      <w:r>
        <w:rPr>
          <w:rFonts w:hint="eastAsia" w:hAnsi="宋体"/>
        </w:rPr>
        <w:t>1.1.1.1 其他合同文件包括：</w:t>
      </w:r>
      <w:r>
        <w:rPr>
          <w:rFonts w:hint="eastAsia" w:hAnsi="宋体"/>
          <w:u w:val="single"/>
        </w:rPr>
        <w:t>根据实际情况另行约定</w:t>
      </w:r>
      <w:r>
        <w:rPr>
          <w:rFonts w:hint="eastAsia" w:hAnsi="宋体"/>
        </w:rPr>
        <w:t>。</w:t>
      </w:r>
    </w:p>
    <w:p>
      <w:pPr>
        <w:spacing w:line="360" w:lineRule="auto"/>
        <w:ind w:firstLine="420" w:firstLineChars="200"/>
        <w:rPr>
          <w:rFonts w:hAnsi="宋体"/>
        </w:rPr>
      </w:pPr>
      <w:r>
        <w:rPr>
          <w:rFonts w:hint="eastAsia" w:hAnsi="宋体"/>
        </w:rPr>
        <w:t>1.1.2 合同当事人及其他相关方</w:t>
      </w:r>
    </w:p>
    <w:p>
      <w:pPr>
        <w:spacing w:line="360" w:lineRule="auto"/>
        <w:ind w:firstLine="420" w:firstLineChars="200"/>
        <w:rPr>
          <w:rFonts w:hAnsi="宋体"/>
        </w:rPr>
      </w:pPr>
      <w:r>
        <w:rPr>
          <w:rFonts w:hint="eastAsia" w:hAnsi="宋体"/>
        </w:rPr>
        <w:t>1.1.2.4 监理人：</w:t>
      </w:r>
    </w:p>
    <w:p>
      <w:pPr>
        <w:spacing w:line="360" w:lineRule="auto"/>
        <w:ind w:firstLine="420" w:firstLineChars="200"/>
        <w:rPr>
          <w:rFonts w:hAnsi="宋体"/>
          <w:u w:val="single"/>
        </w:rPr>
      </w:pPr>
      <w:r>
        <w:rPr>
          <w:rFonts w:hint="eastAsia" w:hAnsi="宋体"/>
        </w:rPr>
        <w:t>名称：</w:t>
      </w:r>
    </w:p>
    <w:p>
      <w:pPr>
        <w:spacing w:line="360" w:lineRule="auto"/>
        <w:ind w:firstLine="420" w:firstLineChars="200"/>
        <w:rPr>
          <w:rFonts w:hAnsi="宋体"/>
          <w:u w:val="single"/>
        </w:rPr>
      </w:pPr>
      <w:r>
        <w:rPr>
          <w:rFonts w:hint="eastAsia" w:hAnsi="宋体"/>
        </w:rPr>
        <w:t>资质类别和等级：</w:t>
      </w:r>
    </w:p>
    <w:p>
      <w:pPr>
        <w:spacing w:line="360" w:lineRule="auto"/>
        <w:ind w:firstLine="420" w:firstLineChars="200"/>
        <w:rPr>
          <w:rFonts w:hAnsi="宋体"/>
          <w:u w:val="single"/>
        </w:rPr>
      </w:pPr>
      <w:r>
        <w:rPr>
          <w:rFonts w:hint="eastAsia" w:hAnsi="宋体"/>
        </w:rPr>
        <w:t>联系电话：</w:t>
      </w:r>
    </w:p>
    <w:p>
      <w:pPr>
        <w:spacing w:line="360" w:lineRule="auto"/>
        <w:ind w:firstLine="420" w:firstLineChars="200"/>
        <w:rPr>
          <w:rFonts w:hAnsi="宋体"/>
        </w:rPr>
      </w:pPr>
      <w:r>
        <w:rPr>
          <w:rFonts w:hint="eastAsia" w:hAnsi="宋体"/>
        </w:rPr>
        <w:t>电子信箱：</w:t>
      </w:r>
    </w:p>
    <w:p>
      <w:pPr>
        <w:spacing w:line="360" w:lineRule="auto"/>
        <w:ind w:firstLine="420" w:firstLineChars="200"/>
        <w:rPr>
          <w:rFonts w:hAnsi="宋体"/>
        </w:rPr>
      </w:pPr>
      <w:r>
        <w:rPr>
          <w:rFonts w:hint="eastAsia" w:hAnsi="宋体"/>
        </w:rPr>
        <w:t>通信地址：</w:t>
      </w:r>
    </w:p>
    <w:p>
      <w:pPr>
        <w:spacing w:line="360" w:lineRule="auto"/>
        <w:ind w:firstLine="420" w:firstLineChars="200"/>
        <w:rPr>
          <w:rFonts w:hAnsi="宋体"/>
        </w:rPr>
      </w:pPr>
      <w:r>
        <w:rPr>
          <w:rFonts w:hint="eastAsia" w:hAnsi="宋体"/>
        </w:rPr>
        <w:t>1.1.2.5 设计人：</w:t>
      </w:r>
    </w:p>
    <w:p>
      <w:pPr>
        <w:spacing w:line="360" w:lineRule="auto"/>
        <w:ind w:firstLine="420" w:firstLineChars="200"/>
        <w:rPr>
          <w:rFonts w:hAnsi="宋体"/>
        </w:rPr>
      </w:pPr>
      <w:r>
        <w:rPr>
          <w:rFonts w:hint="eastAsia" w:hAnsi="宋体"/>
        </w:rPr>
        <w:t>名称：</w:t>
      </w:r>
    </w:p>
    <w:p>
      <w:pPr>
        <w:spacing w:line="360" w:lineRule="auto"/>
        <w:ind w:firstLine="420" w:firstLineChars="200"/>
        <w:rPr>
          <w:rFonts w:hAnsi="宋体"/>
        </w:rPr>
      </w:pPr>
      <w:r>
        <w:rPr>
          <w:rFonts w:hint="eastAsia" w:hAnsi="宋体"/>
        </w:rPr>
        <w:t>资质类别和等级：</w:t>
      </w:r>
    </w:p>
    <w:p>
      <w:pPr>
        <w:spacing w:line="360" w:lineRule="auto"/>
        <w:ind w:firstLine="420" w:firstLineChars="200"/>
        <w:rPr>
          <w:rFonts w:hAnsi="宋体"/>
        </w:rPr>
      </w:pPr>
      <w:r>
        <w:rPr>
          <w:rFonts w:hint="eastAsia" w:hAnsi="宋体"/>
        </w:rPr>
        <w:t>联系电话：</w:t>
      </w:r>
    </w:p>
    <w:p>
      <w:pPr>
        <w:spacing w:line="360" w:lineRule="auto"/>
        <w:ind w:firstLine="420" w:firstLineChars="200"/>
        <w:rPr>
          <w:rFonts w:hAnsi="宋体"/>
        </w:rPr>
      </w:pPr>
      <w:r>
        <w:rPr>
          <w:rFonts w:hint="eastAsia" w:hAnsi="宋体"/>
        </w:rPr>
        <w:t>电子信箱：</w:t>
      </w:r>
    </w:p>
    <w:p>
      <w:pPr>
        <w:spacing w:line="360" w:lineRule="auto"/>
        <w:ind w:firstLine="420" w:firstLineChars="200"/>
        <w:rPr>
          <w:rFonts w:hAnsi="宋体"/>
          <w:u w:val="single"/>
        </w:rPr>
      </w:pPr>
      <w:r>
        <w:rPr>
          <w:rFonts w:hint="eastAsia" w:hAnsi="宋体"/>
        </w:rPr>
        <w:t>通信地址：</w:t>
      </w:r>
    </w:p>
    <w:p>
      <w:pPr>
        <w:spacing w:line="360" w:lineRule="auto"/>
        <w:ind w:firstLine="420" w:firstLineChars="200"/>
        <w:rPr>
          <w:rFonts w:hAnsi="宋体"/>
        </w:rPr>
      </w:pPr>
      <w:r>
        <w:rPr>
          <w:rFonts w:hint="eastAsia" w:hAnsi="宋体"/>
        </w:rPr>
        <w:t>1.1.3 工程和设备</w:t>
      </w:r>
    </w:p>
    <w:p>
      <w:pPr>
        <w:spacing w:line="360" w:lineRule="auto"/>
        <w:ind w:firstLine="420" w:firstLineChars="200"/>
        <w:rPr>
          <w:rFonts w:hAnsi="宋体"/>
        </w:rPr>
      </w:pPr>
      <w:r>
        <w:rPr>
          <w:rFonts w:hint="eastAsia" w:hAnsi="宋体"/>
        </w:rPr>
        <w:t>1.1.3.7 作为施工现场组成部分的其他场所包括：。</w:t>
      </w:r>
    </w:p>
    <w:p>
      <w:pPr>
        <w:spacing w:line="360" w:lineRule="auto"/>
        <w:ind w:firstLine="420" w:firstLineChars="200"/>
        <w:rPr>
          <w:rFonts w:hAnsi="宋体"/>
        </w:rPr>
      </w:pPr>
      <w:r>
        <w:rPr>
          <w:rFonts w:hint="eastAsia" w:hAnsi="宋体"/>
        </w:rPr>
        <w:t>1.1.3.2 永久占地包括：</w:t>
      </w:r>
    </w:p>
    <w:p>
      <w:pPr>
        <w:spacing w:line="360" w:lineRule="auto"/>
        <w:ind w:firstLine="420" w:firstLineChars="200"/>
        <w:rPr>
          <w:rFonts w:hAnsi="宋体"/>
        </w:rPr>
      </w:pPr>
      <w:r>
        <w:rPr>
          <w:rFonts w:hint="eastAsia" w:hAnsi="宋体"/>
        </w:rPr>
        <w:t>1.1.3.3 临时占地包括：</w:t>
      </w:r>
    </w:p>
    <w:p>
      <w:pPr>
        <w:spacing w:line="360" w:lineRule="auto"/>
        <w:ind w:firstLine="420" w:firstLineChars="200"/>
        <w:rPr>
          <w:rFonts w:hAnsi="宋体"/>
        </w:rPr>
      </w:pPr>
      <w:r>
        <w:rPr>
          <w:rFonts w:hint="eastAsia" w:hAnsi="宋体"/>
        </w:rPr>
        <w:t>1.3 法律</w:t>
      </w:r>
    </w:p>
    <w:p>
      <w:pPr>
        <w:spacing w:line="360" w:lineRule="auto"/>
        <w:ind w:firstLine="420" w:firstLineChars="200"/>
        <w:rPr>
          <w:rFonts w:hAnsi="宋体"/>
        </w:rPr>
      </w:pPr>
      <w:r>
        <w:rPr>
          <w:rFonts w:hint="eastAsia" w:hAnsi="宋体"/>
        </w:rPr>
        <w:t>适用于合同的其他规范性文件：</w:t>
      </w:r>
      <w:r>
        <w:rPr>
          <w:rFonts w:hint="eastAsia" w:hAnsi="宋体"/>
          <w:color w:val="000000"/>
          <w:u w:val="single"/>
        </w:rPr>
        <w:t>《中华人民共和国建筑法》、《中华人民共和国合同法》、《中华人民共和国安全生产法》、国务院颁发的《建设工程质量管理条例》、《建设工程安全生产管理条例》及国家、地方现行有关法律法规。</w:t>
      </w:r>
    </w:p>
    <w:p>
      <w:pPr>
        <w:spacing w:line="360" w:lineRule="auto"/>
        <w:ind w:firstLine="420" w:firstLineChars="200"/>
        <w:rPr>
          <w:rFonts w:hAnsi="宋体"/>
        </w:rPr>
      </w:pPr>
      <w:r>
        <w:rPr>
          <w:rFonts w:hint="eastAsia" w:hAnsi="宋体"/>
        </w:rPr>
        <w:t>1.4 标准和规范</w:t>
      </w:r>
    </w:p>
    <w:p>
      <w:pPr>
        <w:spacing w:line="360" w:lineRule="auto"/>
        <w:ind w:firstLine="420" w:firstLineChars="200"/>
        <w:rPr>
          <w:rFonts w:hAnsi="宋体"/>
        </w:rPr>
      </w:pPr>
      <w:r>
        <w:rPr>
          <w:rFonts w:hint="eastAsia" w:hAnsi="宋体"/>
        </w:rPr>
        <w:t>1.4.1 适用于工程的标准规范包括：</w:t>
      </w:r>
      <w:r>
        <w:rPr>
          <w:rFonts w:hint="eastAsia" w:hAnsi="宋体"/>
          <w:color w:val="000000"/>
          <w:u w:val="single"/>
        </w:rPr>
        <w:t>国家及行业规定的标准、规范及湖南省相关的标准、规范、规定。</w:t>
      </w:r>
    </w:p>
    <w:p>
      <w:pPr>
        <w:spacing w:line="360" w:lineRule="auto"/>
        <w:ind w:firstLine="420" w:firstLineChars="200"/>
        <w:rPr>
          <w:rFonts w:hAnsi="宋体"/>
        </w:rPr>
      </w:pPr>
      <w:r>
        <w:rPr>
          <w:rFonts w:hint="eastAsia" w:hAnsi="宋体"/>
        </w:rPr>
        <w:t>1.4.2 发包人提供国外标准、规范的名称：</w:t>
      </w:r>
      <w:r>
        <w:rPr>
          <w:rFonts w:hint="eastAsia" w:hAnsi="宋体"/>
          <w:color w:val="000000"/>
          <w:u w:val="single"/>
        </w:rPr>
        <w:t>发包人不提供标准及规范，由承包人自行准备。</w:t>
      </w:r>
    </w:p>
    <w:p>
      <w:pPr>
        <w:spacing w:line="360" w:lineRule="auto"/>
        <w:ind w:firstLine="420" w:firstLineChars="200"/>
        <w:rPr>
          <w:rFonts w:hAnsi="宋体"/>
        </w:rPr>
      </w:pPr>
      <w:r>
        <w:rPr>
          <w:rFonts w:hint="eastAsia" w:hAnsi="宋体"/>
        </w:rPr>
        <w:t>发包人提供国外标准、规范的份数：</w:t>
      </w:r>
      <w:r>
        <w:rPr>
          <w:rFonts w:hint="eastAsia" w:hAnsi="宋体"/>
          <w:u w:val="single"/>
        </w:rPr>
        <w:t xml:space="preserve">  /                                </w:t>
      </w:r>
    </w:p>
    <w:p>
      <w:pPr>
        <w:spacing w:line="360" w:lineRule="auto"/>
        <w:ind w:firstLine="420" w:firstLineChars="200"/>
        <w:rPr>
          <w:rFonts w:hAnsi="宋体"/>
        </w:rPr>
      </w:pPr>
      <w:r>
        <w:rPr>
          <w:rFonts w:hint="eastAsia" w:hAnsi="宋体"/>
        </w:rPr>
        <w:t>发包人提供国外标准、规范的名称：</w:t>
      </w:r>
      <w:r>
        <w:rPr>
          <w:rFonts w:hint="eastAsia" w:hAnsi="宋体"/>
          <w:u w:val="single"/>
        </w:rPr>
        <w:t xml:space="preserve">  /                                </w:t>
      </w:r>
    </w:p>
    <w:p>
      <w:pPr>
        <w:spacing w:line="360" w:lineRule="auto"/>
        <w:ind w:firstLine="420" w:firstLineChars="200"/>
        <w:rPr>
          <w:rFonts w:hAnsi="宋体"/>
        </w:rPr>
      </w:pPr>
      <w:r>
        <w:rPr>
          <w:rFonts w:hint="eastAsia" w:hAnsi="宋体"/>
        </w:rPr>
        <w:t>1.4.3 发包人对工程的技术标准和功能要求的特殊要求：</w:t>
      </w:r>
      <w:r>
        <w:rPr>
          <w:rFonts w:hint="eastAsia" w:hAnsi="宋体"/>
          <w:u w:val="single"/>
        </w:rPr>
        <w:t xml:space="preserve"> /                           。</w:t>
      </w:r>
    </w:p>
    <w:p>
      <w:pPr>
        <w:spacing w:line="360" w:lineRule="auto"/>
        <w:ind w:firstLine="420" w:firstLineChars="200"/>
        <w:rPr>
          <w:rFonts w:hAnsi="宋体"/>
        </w:rPr>
      </w:pPr>
      <w:r>
        <w:rPr>
          <w:rFonts w:hint="eastAsia" w:hAnsi="宋体"/>
        </w:rPr>
        <w:t>1.5 合同文件的优先顺序</w:t>
      </w:r>
    </w:p>
    <w:p>
      <w:pPr>
        <w:spacing w:line="360" w:lineRule="auto"/>
        <w:ind w:firstLine="420" w:firstLineChars="200"/>
        <w:rPr>
          <w:rFonts w:hAnsi="宋体"/>
        </w:rPr>
      </w:pPr>
      <w:r>
        <w:rPr>
          <w:rFonts w:hint="eastAsia" w:hAnsi="宋体"/>
        </w:rPr>
        <w:t>合同文件组成及优先顺序为：</w:t>
      </w:r>
      <w:r>
        <w:rPr>
          <w:rFonts w:hint="eastAsia" w:hAnsi="宋体"/>
          <w:u w:val="single"/>
        </w:rPr>
        <w:t>（1）本合同协议书 （2）中标通知书、</w:t>
      </w:r>
      <w:r>
        <w:rPr>
          <w:rFonts w:hint="eastAsia" w:ascii="宋体" w:hAnsi="宋体"/>
          <w:szCs w:val="21"/>
          <w:u w:val="single"/>
        </w:rPr>
        <w:t>招标文件及招标答疑</w:t>
      </w:r>
      <w:r>
        <w:rPr>
          <w:rFonts w:hint="eastAsia" w:hAnsi="宋体"/>
          <w:u w:val="single"/>
        </w:rPr>
        <w:t xml:space="preserve"> (3)工程报价单或预算书 （4）投标书及其附件 （5）本合同专用条款 （6）本合同通用条款 （7）标准、规范及有关技术文件 （8）图纸 （9）已标价工程量清单或合理价（10）其他合同文件</w:t>
      </w:r>
      <w:r>
        <w:rPr>
          <w:rFonts w:hint="eastAsia" w:hAnsi="宋体"/>
        </w:rPr>
        <w:t>。</w:t>
      </w:r>
    </w:p>
    <w:p>
      <w:pPr>
        <w:spacing w:line="360" w:lineRule="auto"/>
        <w:ind w:firstLine="420" w:firstLineChars="200"/>
        <w:rPr>
          <w:rFonts w:hAnsi="宋体"/>
        </w:rPr>
      </w:pPr>
      <w:r>
        <w:rPr>
          <w:rFonts w:hint="eastAsia" w:hAnsi="宋体"/>
        </w:rPr>
        <w:t>1.6 图纸和承包人文件</w:t>
      </w:r>
    </w:p>
    <w:p>
      <w:pPr>
        <w:spacing w:line="360" w:lineRule="auto"/>
        <w:ind w:firstLine="420" w:firstLineChars="200"/>
        <w:rPr>
          <w:rFonts w:hAnsi="宋体"/>
        </w:rPr>
      </w:pPr>
      <w:r>
        <w:rPr>
          <w:rFonts w:hint="eastAsia" w:hAnsi="宋体"/>
        </w:rPr>
        <w:t>1.6.1 图纸的提供</w:t>
      </w:r>
    </w:p>
    <w:p>
      <w:pPr>
        <w:spacing w:line="360" w:lineRule="auto"/>
        <w:ind w:firstLine="420" w:firstLineChars="200"/>
        <w:rPr>
          <w:rFonts w:hAnsi="宋体"/>
        </w:rPr>
      </w:pPr>
      <w:r>
        <w:rPr>
          <w:rFonts w:hint="eastAsia" w:hAnsi="宋体"/>
        </w:rPr>
        <w:t>发包人向承包人提供图纸的期限：</w:t>
      </w:r>
      <w:r>
        <w:rPr>
          <w:rFonts w:hint="eastAsia" w:ascii="宋体" w:hAnsi="宋体" w:cs="宋体"/>
          <w:u w:val="single"/>
        </w:rPr>
        <w:t>发包人在开工前三日内</w:t>
      </w:r>
      <w:r>
        <w:rPr>
          <w:rFonts w:hint="eastAsia" w:hAnsi="宋体"/>
        </w:rPr>
        <w:t>；</w:t>
      </w:r>
    </w:p>
    <w:p>
      <w:pPr>
        <w:spacing w:line="360" w:lineRule="auto"/>
        <w:ind w:firstLine="420" w:firstLineChars="200"/>
        <w:rPr>
          <w:rFonts w:hAnsi="宋体"/>
        </w:rPr>
      </w:pPr>
      <w:r>
        <w:rPr>
          <w:rFonts w:hint="eastAsia" w:hAnsi="宋体"/>
        </w:rPr>
        <w:t>发包人向承包人提供图纸的数量：</w:t>
      </w:r>
      <w:r>
        <w:rPr>
          <w:rFonts w:hint="eastAsia" w:hAnsi="宋体"/>
          <w:u w:val="single"/>
        </w:rPr>
        <w:t xml:space="preserve"> 发包人免费提供承包人施工图纸1套，承包人如果要求增加图纸，发包人可协助处理，但费用由承包人负担。</w:t>
      </w:r>
    </w:p>
    <w:p>
      <w:pPr>
        <w:spacing w:line="360" w:lineRule="auto"/>
        <w:ind w:firstLine="420" w:firstLineChars="200"/>
        <w:rPr>
          <w:rFonts w:hAnsi="宋体"/>
        </w:rPr>
      </w:pPr>
      <w:r>
        <w:rPr>
          <w:rFonts w:hint="eastAsia" w:hAnsi="宋体"/>
        </w:rPr>
        <w:t>发包人向承包人提供图纸的内容：</w:t>
      </w:r>
      <w:r>
        <w:rPr>
          <w:rFonts w:hint="eastAsia" w:ascii="宋体" w:hAnsi="宋体" w:cs="宋体"/>
          <w:u w:val="single"/>
        </w:rPr>
        <w:t>完整的施工图纸</w:t>
      </w:r>
      <w:r>
        <w:rPr>
          <w:rFonts w:hint="eastAsia" w:hAnsi="宋体"/>
        </w:rPr>
        <w:t>；</w:t>
      </w:r>
    </w:p>
    <w:p>
      <w:pPr>
        <w:spacing w:line="360" w:lineRule="auto"/>
        <w:ind w:firstLine="420" w:firstLineChars="200"/>
        <w:rPr>
          <w:rFonts w:hAnsi="宋体"/>
        </w:rPr>
      </w:pPr>
      <w:r>
        <w:rPr>
          <w:rFonts w:hint="eastAsia" w:hAnsi="宋体"/>
        </w:rPr>
        <w:t>1.6.4 承包人文件</w:t>
      </w:r>
    </w:p>
    <w:p>
      <w:pPr>
        <w:spacing w:line="360" w:lineRule="auto"/>
        <w:ind w:firstLine="420" w:firstLineChars="200"/>
        <w:rPr>
          <w:rFonts w:hAnsi="宋体"/>
        </w:rPr>
      </w:pPr>
      <w:r>
        <w:rPr>
          <w:rFonts w:hint="eastAsia" w:hAnsi="宋体"/>
        </w:rPr>
        <w:t>需要由承包人提供的文件，包括：</w:t>
      </w:r>
      <w:r>
        <w:rPr>
          <w:rFonts w:hint="eastAsia" w:hAnsi="宋体"/>
          <w:color w:val="000000"/>
          <w:u w:val="single"/>
        </w:rPr>
        <w:t>施工组织设计；施工计划及本月工程完成量报表、质量报表</w:t>
      </w:r>
      <w:r>
        <w:rPr>
          <w:rFonts w:hint="eastAsia" w:hAnsi="宋体"/>
        </w:rPr>
        <w:t>；</w:t>
      </w:r>
    </w:p>
    <w:p>
      <w:pPr>
        <w:spacing w:line="360" w:lineRule="auto"/>
        <w:ind w:firstLine="420" w:firstLineChars="200"/>
        <w:rPr>
          <w:rFonts w:hAnsi="宋体"/>
        </w:rPr>
      </w:pPr>
      <w:r>
        <w:rPr>
          <w:rFonts w:hint="eastAsia" w:hAnsi="宋体"/>
        </w:rPr>
        <w:t>承包人提供的文件的期限为：</w:t>
      </w:r>
      <w:r>
        <w:rPr>
          <w:rFonts w:hint="eastAsia" w:hAnsi="宋体"/>
          <w:color w:val="000000"/>
          <w:u w:val="single"/>
        </w:rPr>
        <w:t>承包人中标通知书下发后的10天内提交施工组织设计。每月25日前，向发包人提交下月施工计划及本月工程完成量报表、质量报表各三份。</w:t>
      </w:r>
      <w:r>
        <w:rPr>
          <w:rFonts w:hint="eastAsia" w:hAnsi="宋体"/>
        </w:rPr>
        <w:t>；</w:t>
      </w:r>
    </w:p>
    <w:p>
      <w:pPr>
        <w:spacing w:line="360" w:lineRule="auto"/>
        <w:ind w:firstLine="420" w:firstLineChars="200"/>
        <w:rPr>
          <w:rFonts w:hAnsi="宋体"/>
        </w:rPr>
      </w:pPr>
      <w:r>
        <w:rPr>
          <w:rFonts w:hint="eastAsia" w:hAnsi="宋体"/>
        </w:rPr>
        <w:t>承包人提供的文件的数量为：</w:t>
      </w:r>
      <w:r>
        <w:rPr>
          <w:rFonts w:hint="eastAsia" w:hAnsi="宋体"/>
          <w:color w:val="000000"/>
          <w:u w:val="single"/>
        </w:rPr>
        <w:t>承包人中标通知书下发后的10天内提交施工组织设计。每月25日前，向发包人提交下月施工计划及本月工程完成量报表、质量报表各三份。</w:t>
      </w:r>
      <w:r>
        <w:rPr>
          <w:rFonts w:hint="eastAsia" w:hAnsi="宋体"/>
        </w:rPr>
        <w:t>；</w:t>
      </w:r>
    </w:p>
    <w:p>
      <w:pPr>
        <w:spacing w:line="360" w:lineRule="auto"/>
        <w:ind w:firstLine="420" w:firstLineChars="200"/>
        <w:rPr>
          <w:rFonts w:hAnsi="宋体"/>
        </w:rPr>
      </w:pPr>
      <w:r>
        <w:rPr>
          <w:rFonts w:hint="eastAsia" w:hAnsi="宋体"/>
        </w:rPr>
        <w:t>承包人提供的文件的形式为：</w:t>
      </w:r>
      <w:r>
        <w:rPr>
          <w:rFonts w:hint="eastAsia" w:hAnsi="宋体"/>
          <w:u w:val="single"/>
        </w:rPr>
        <w:t xml:space="preserve">  纸质或者电子版   </w:t>
      </w:r>
      <w:r>
        <w:rPr>
          <w:rFonts w:hint="eastAsia" w:hAnsi="宋体"/>
        </w:rPr>
        <w:t>；</w:t>
      </w:r>
    </w:p>
    <w:p>
      <w:pPr>
        <w:spacing w:line="360" w:lineRule="auto"/>
        <w:ind w:firstLine="420" w:firstLineChars="200"/>
        <w:rPr>
          <w:rFonts w:hAnsi="宋体"/>
        </w:rPr>
      </w:pPr>
      <w:r>
        <w:rPr>
          <w:rFonts w:hint="eastAsia" w:hAnsi="宋体"/>
        </w:rPr>
        <w:t>发包人审批承包人文件的期限：</w:t>
      </w:r>
      <w:r>
        <w:rPr>
          <w:rFonts w:hint="eastAsia" w:hAnsi="宋体"/>
          <w:u w:val="single"/>
        </w:rPr>
        <w:t xml:space="preserve">  承包人将文件交发包人后3个工作日  </w:t>
      </w:r>
      <w:r>
        <w:rPr>
          <w:rFonts w:hint="eastAsia" w:hAnsi="宋体"/>
        </w:rPr>
        <w:t>；</w:t>
      </w:r>
    </w:p>
    <w:p>
      <w:pPr>
        <w:spacing w:line="360" w:lineRule="auto"/>
        <w:ind w:firstLine="420" w:firstLineChars="200"/>
        <w:rPr>
          <w:rFonts w:hAnsi="宋体"/>
        </w:rPr>
      </w:pPr>
      <w:r>
        <w:rPr>
          <w:rFonts w:hint="eastAsia" w:hAnsi="宋体"/>
        </w:rPr>
        <w:t>1.6.5 现场图纸准备</w:t>
      </w:r>
    </w:p>
    <w:p>
      <w:pPr>
        <w:spacing w:line="360" w:lineRule="auto"/>
        <w:ind w:firstLine="420" w:firstLineChars="200"/>
        <w:rPr>
          <w:rFonts w:hAnsi="宋体"/>
        </w:rPr>
      </w:pPr>
      <w:r>
        <w:rPr>
          <w:rFonts w:hint="eastAsia" w:hAnsi="宋体"/>
        </w:rPr>
        <w:t>关于现场图纸准备的约定：</w:t>
      </w:r>
      <w:r>
        <w:rPr>
          <w:rFonts w:hint="eastAsia" w:hAnsi="宋体"/>
          <w:u w:val="single"/>
        </w:rPr>
        <w:t xml:space="preserve"> 执行通用条款  </w:t>
      </w:r>
      <w:r>
        <w:rPr>
          <w:rFonts w:hint="eastAsia" w:hAnsi="宋体"/>
        </w:rPr>
        <w:t>；</w:t>
      </w:r>
    </w:p>
    <w:p>
      <w:pPr>
        <w:spacing w:line="360" w:lineRule="auto"/>
        <w:ind w:firstLine="420" w:firstLineChars="200"/>
        <w:rPr>
          <w:rFonts w:hAnsi="宋体"/>
        </w:rPr>
      </w:pPr>
      <w:r>
        <w:rPr>
          <w:rFonts w:hint="eastAsia" w:hAnsi="宋体"/>
        </w:rPr>
        <w:t>1.7 联络</w:t>
      </w:r>
    </w:p>
    <w:p>
      <w:pPr>
        <w:spacing w:line="360" w:lineRule="auto"/>
        <w:ind w:firstLine="420" w:firstLineChars="200"/>
        <w:rPr>
          <w:rFonts w:hAnsi="宋体"/>
        </w:rPr>
      </w:pPr>
      <w:r>
        <w:rPr>
          <w:rFonts w:hint="eastAsia" w:hAnsi="宋体"/>
        </w:rPr>
        <w:t>1.7.1 发包人和承包人应当在天内将与合同有关的通知、批准、证明、证书、指示、指令、要求、请求、同意、意见、确定和决定等书面函件送达对方当事人。</w:t>
      </w:r>
    </w:p>
    <w:p>
      <w:pPr>
        <w:spacing w:line="360" w:lineRule="auto"/>
        <w:ind w:firstLine="420" w:firstLineChars="200"/>
        <w:rPr>
          <w:rFonts w:hAnsi="宋体"/>
        </w:rPr>
      </w:pPr>
      <w:r>
        <w:rPr>
          <w:rFonts w:hint="eastAsia" w:hAnsi="宋体"/>
        </w:rPr>
        <w:t>1.7.2 发包人接收文件的地点：；</w:t>
      </w:r>
    </w:p>
    <w:p>
      <w:pPr>
        <w:spacing w:line="360" w:lineRule="auto"/>
        <w:ind w:firstLine="420" w:firstLineChars="200"/>
        <w:rPr>
          <w:rFonts w:hAnsi="宋体"/>
        </w:rPr>
      </w:pPr>
      <w:r>
        <w:rPr>
          <w:rFonts w:hint="eastAsia" w:hAnsi="宋体"/>
        </w:rPr>
        <w:t>发包人指定的接收人为：。</w:t>
      </w:r>
    </w:p>
    <w:p>
      <w:pPr>
        <w:spacing w:line="360" w:lineRule="auto"/>
        <w:ind w:firstLine="420" w:firstLineChars="200"/>
        <w:rPr>
          <w:rFonts w:hAnsi="宋体"/>
        </w:rPr>
      </w:pPr>
      <w:r>
        <w:rPr>
          <w:rFonts w:hint="eastAsia" w:hAnsi="宋体"/>
        </w:rPr>
        <w:t>承包人接收文件的地点：；</w:t>
      </w:r>
    </w:p>
    <w:p>
      <w:pPr>
        <w:spacing w:line="360" w:lineRule="auto"/>
        <w:ind w:firstLine="420" w:firstLineChars="200"/>
        <w:rPr>
          <w:rFonts w:hAnsi="宋体"/>
        </w:rPr>
      </w:pPr>
      <w:r>
        <w:rPr>
          <w:rFonts w:hint="eastAsia" w:hAnsi="宋体"/>
        </w:rPr>
        <w:t>承包人指定的接收人为：。</w:t>
      </w:r>
    </w:p>
    <w:p>
      <w:pPr>
        <w:spacing w:line="360" w:lineRule="auto"/>
        <w:ind w:firstLine="420" w:firstLineChars="200"/>
        <w:rPr>
          <w:rFonts w:hAnsi="宋体"/>
        </w:rPr>
      </w:pPr>
      <w:r>
        <w:rPr>
          <w:rFonts w:hint="eastAsia" w:hAnsi="宋体"/>
        </w:rPr>
        <w:t>监理人接收文件的地点：；</w:t>
      </w:r>
    </w:p>
    <w:p>
      <w:pPr>
        <w:spacing w:line="360" w:lineRule="auto"/>
        <w:ind w:firstLine="420" w:firstLineChars="200"/>
        <w:rPr>
          <w:rFonts w:hAnsi="宋体"/>
        </w:rPr>
      </w:pPr>
      <w:r>
        <w:rPr>
          <w:rFonts w:hint="eastAsia" w:hAnsi="宋体"/>
        </w:rPr>
        <w:t>监理人指定的接收人为：。</w:t>
      </w:r>
    </w:p>
    <w:p>
      <w:pPr>
        <w:spacing w:line="360" w:lineRule="auto"/>
        <w:ind w:firstLine="420" w:firstLineChars="200"/>
        <w:rPr>
          <w:rFonts w:hAnsi="宋体"/>
        </w:rPr>
      </w:pPr>
      <w:r>
        <w:rPr>
          <w:rFonts w:hint="eastAsia" w:hAnsi="宋体"/>
        </w:rPr>
        <w:t>1.10 交通运输</w:t>
      </w:r>
    </w:p>
    <w:p>
      <w:pPr>
        <w:spacing w:line="360" w:lineRule="auto"/>
        <w:ind w:firstLine="420" w:firstLineChars="200"/>
        <w:rPr>
          <w:rFonts w:hAnsi="宋体"/>
        </w:rPr>
      </w:pPr>
      <w:r>
        <w:rPr>
          <w:rFonts w:hint="eastAsia" w:hAnsi="宋体"/>
        </w:rPr>
        <w:t>1.10.1 出入现场的权利</w:t>
      </w:r>
    </w:p>
    <w:p>
      <w:pPr>
        <w:spacing w:line="360" w:lineRule="auto"/>
        <w:ind w:firstLine="420" w:firstLineChars="200"/>
        <w:rPr>
          <w:rFonts w:hAnsi="宋体"/>
        </w:rPr>
      </w:pPr>
      <w:r>
        <w:rPr>
          <w:rFonts w:hint="eastAsia" w:hAnsi="宋体"/>
        </w:rPr>
        <w:t>关于出入现场的权利的约定：</w:t>
      </w:r>
      <w:r>
        <w:rPr>
          <w:rFonts w:hint="eastAsia" w:hAnsi="宋体"/>
          <w:u w:val="single"/>
        </w:rPr>
        <w:t xml:space="preserve">  由承包人按发包人要求负责取得出入施工现场所需的批准手续和全部权利，并承担相关手续费用和建设费用   </w:t>
      </w:r>
      <w:r>
        <w:rPr>
          <w:rFonts w:hint="eastAsia" w:hAnsi="宋体"/>
        </w:rPr>
        <w:t>。</w:t>
      </w:r>
    </w:p>
    <w:p>
      <w:pPr>
        <w:spacing w:line="360" w:lineRule="auto"/>
        <w:ind w:firstLine="420" w:firstLineChars="200"/>
        <w:rPr>
          <w:rFonts w:hAnsi="宋体"/>
        </w:rPr>
      </w:pPr>
      <w:r>
        <w:rPr>
          <w:rFonts w:hint="eastAsia" w:hAnsi="宋体"/>
        </w:rPr>
        <w:t>1.10.3 场内交通</w:t>
      </w:r>
    </w:p>
    <w:p>
      <w:pPr>
        <w:spacing w:line="360" w:lineRule="auto"/>
        <w:ind w:firstLine="420" w:firstLineChars="200"/>
        <w:rPr>
          <w:rFonts w:hAnsi="宋体"/>
        </w:rPr>
      </w:pPr>
      <w:r>
        <w:rPr>
          <w:rFonts w:hint="eastAsia" w:hAnsi="宋体"/>
        </w:rPr>
        <w:t>关于场外交通和场内交通的边界的约定：。</w:t>
      </w:r>
    </w:p>
    <w:p>
      <w:pPr>
        <w:spacing w:line="360" w:lineRule="auto"/>
        <w:ind w:firstLine="420" w:firstLineChars="200"/>
        <w:rPr>
          <w:rFonts w:hAnsi="宋体"/>
        </w:rPr>
      </w:pPr>
      <w:r>
        <w:rPr>
          <w:rFonts w:hint="eastAsia" w:hAnsi="宋体"/>
        </w:rPr>
        <w:t>关于发包人向承包人免费提供满足工程施工需要的场内道路和交通设施的约定：</w:t>
      </w:r>
      <w:r>
        <w:rPr>
          <w:rFonts w:hint="eastAsia" w:hAnsi="宋体"/>
          <w:u w:val="single"/>
        </w:rPr>
        <w:t xml:space="preserve">  双方另行约定  </w:t>
      </w:r>
      <w:r>
        <w:rPr>
          <w:rFonts w:hint="eastAsia" w:hAnsi="宋体"/>
        </w:rPr>
        <w:t>。</w:t>
      </w:r>
    </w:p>
    <w:p>
      <w:pPr>
        <w:spacing w:line="360" w:lineRule="auto"/>
        <w:ind w:firstLine="420" w:firstLineChars="200"/>
        <w:rPr>
          <w:rFonts w:hAnsi="宋体"/>
        </w:rPr>
      </w:pPr>
      <w:r>
        <w:rPr>
          <w:rFonts w:hint="eastAsia" w:hAnsi="宋体"/>
        </w:rPr>
        <w:t>1.10.4 超大件和超重件的运输</w:t>
      </w:r>
    </w:p>
    <w:p>
      <w:pPr>
        <w:spacing w:line="360" w:lineRule="auto"/>
        <w:ind w:firstLine="420" w:firstLineChars="200"/>
        <w:rPr>
          <w:rFonts w:hAnsi="宋体"/>
        </w:rPr>
      </w:pPr>
      <w:r>
        <w:rPr>
          <w:rFonts w:hint="eastAsia" w:hAnsi="宋体"/>
        </w:rPr>
        <w:t>运输超大件或超重件所需的道路和桥梁临时加固改造费用和其他有关费用由承担。</w:t>
      </w:r>
    </w:p>
    <w:p>
      <w:pPr>
        <w:spacing w:line="360" w:lineRule="auto"/>
        <w:ind w:firstLine="420" w:firstLineChars="200"/>
        <w:rPr>
          <w:rFonts w:hAnsi="宋体"/>
        </w:rPr>
      </w:pPr>
      <w:r>
        <w:rPr>
          <w:rFonts w:hint="eastAsia" w:hAnsi="宋体"/>
        </w:rPr>
        <w:t>1.11 知识产权</w:t>
      </w:r>
    </w:p>
    <w:p>
      <w:pPr>
        <w:spacing w:line="360" w:lineRule="auto"/>
        <w:ind w:firstLine="420" w:firstLineChars="200"/>
        <w:rPr>
          <w:rFonts w:hAnsi="宋体"/>
        </w:rPr>
      </w:pPr>
      <w:r>
        <w:rPr>
          <w:rFonts w:hint="eastAsia" w:hAnsi="宋体"/>
        </w:rPr>
        <w:t>1.11.1 关于发包人提供给承包人的图纸、发包人为实施工程自行编制或委托编制的技术规范以及反映发包人关于合同要求或其他类似性质的文件的著作权的归属：</w:t>
      </w:r>
      <w:r>
        <w:rPr>
          <w:rFonts w:hint="eastAsia" w:hAnsi="宋体"/>
          <w:u w:val="single"/>
        </w:rPr>
        <w:t xml:space="preserve"> 执行通用条款 </w:t>
      </w:r>
      <w:r>
        <w:rPr>
          <w:rFonts w:hint="eastAsia" w:hAnsi="宋体"/>
        </w:rPr>
        <w:t>。</w:t>
      </w:r>
    </w:p>
    <w:p>
      <w:pPr>
        <w:spacing w:line="360" w:lineRule="auto"/>
        <w:ind w:firstLine="420" w:firstLineChars="200"/>
        <w:rPr>
          <w:rFonts w:hAnsi="宋体"/>
        </w:rPr>
      </w:pPr>
      <w:r>
        <w:rPr>
          <w:rFonts w:hint="eastAsia" w:hAnsi="宋体"/>
        </w:rPr>
        <w:t>关于发包人提供的上述文件的使用限制的要求：</w:t>
      </w:r>
      <w:r>
        <w:rPr>
          <w:rFonts w:hint="eastAsia" w:hAnsi="宋体"/>
          <w:u w:val="single"/>
        </w:rPr>
        <w:t xml:space="preserve">  执行通用条款 。</w:t>
      </w:r>
    </w:p>
    <w:p>
      <w:pPr>
        <w:spacing w:line="360" w:lineRule="auto"/>
        <w:ind w:firstLine="420" w:firstLineChars="200"/>
        <w:rPr>
          <w:rFonts w:hAnsi="宋体"/>
        </w:rPr>
      </w:pPr>
      <w:r>
        <w:rPr>
          <w:rFonts w:hint="eastAsia" w:hAnsi="宋体"/>
        </w:rPr>
        <w:t>1.11.2 关于承包人为实施工程所编制文件的著作权的归属：</w:t>
      </w:r>
      <w:r>
        <w:rPr>
          <w:rFonts w:hint="eastAsia" w:hAnsi="宋体"/>
          <w:u w:val="single"/>
        </w:rPr>
        <w:t xml:space="preserve">  执行通用条款  </w:t>
      </w:r>
      <w:r>
        <w:rPr>
          <w:rFonts w:hint="eastAsia" w:hAnsi="宋体"/>
        </w:rPr>
        <w:t>。</w:t>
      </w:r>
    </w:p>
    <w:p>
      <w:pPr>
        <w:spacing w:line="360" w:lineRule="auto"/>
        <w:ind w:firstLine="420" w:firstLineChars="200"/>
        <w:rPr>
          <w:rFonts w:hAnsi="宋体"/>
        </w:rPr>
      </w:pPr>
      <w:r>
        <w:rPr>
          <w:rFonts w:hint="eastAsia" w:hAnsi="宋体"/>
        </w:rPr>
        <w:t>关于承包人提供的上述文件的使用限制的要求：</w:t>
      </w:r>
      <w:r>
        <w:rPr>
          <w:rFonts w:hint="eastAsia" w:hAnsi="宋体"/>
          <w:u w:val="single"/>
        </w:rPr>
        <w:t xml:space="preserve">  执行通用条款  </w:t>
      </w:r>
      <w:r>
        <w:rPr>
          <w:rFonts w:hint="eastAsia" w:hAnsi="宋体"/>
        </w:rPr>
        <w:t>。</w:t>
      </w:r>
    </w:p>
    <w:p>
      <w:pPr>
        <w:spacing w:line="360" w:lineRule="auto"/>
        <w:rPr>
          <w:rFonts w:hAnsi="宋体"/>
        </w:rPr>
      </w:pPr>
      <w:r>
        <w:rPr>
          <w:rFonts w:hint="eastAsia" w:hAnsi="宋体"/>
        </w:rPr>
        <w:t xml:space="preserve">    1.11.4 承包人在施工过程中所采用的专利、专有技术、技术秘密的使用费的承担方式：</w:t>
      </w:r>
      <w:r>
        <w:rPr>
          <w:rFonts w:hint="eastAsia" w:hAnsi="宋体"/>
          <w:u w:val="single"/>
        </w:rPr>
        <w:t xml:space="preserve"> 执行通用条款 </w:t>
      </w:r>
      <w:r>
        <w:rPr>
          <w:rFonts w:hint="eastAsia" w:hAnsi="宋体"/>
        </w:rPr>
        <w:t>。</w:t>
      </w:r>
    </w:p>
    <w:p>
      <w:pPr>
        <w:spacing w:line="360" w:lineRule="auto"/>
        <w:ind w:firstLine="420" w:firstLineChars="200"/>
        <w:rPr>
          <w:rFonts w:hAnsi="宋体"/>
        </w:rPr>
      </w:pPr>
      <w:r>
        <w:rPr>
          <w:rFonts w:hint="eastAsia" w:hAnsi="宋体"/>
        </w:rPr>
        <w:t>1.13 工程量清单错误的修正</w:t>
      </w:r>
    </w:p>
    <w:p>
      <w:pPr>
        <w:spacing w:line="360" w:lineRule="auto"/>
        <w:ind w:firstLine="420" w:firstLineChars="200"/>
        <w:rPr>
          <w:rFonts w:hAnsi="宋体"/>
        </w:rPr>
      </w:pPr>
      <w:r>
        <w:rPr>
          <w:rFonts w:hint="eastAsia" w:hAnsi="宋体"/>
        </w:rPr>
        <w:t>出现工程量清单错误时，是否调整合同价格：</w:t>
      </w:r>
      <w:r>
        <w:rPr>
          <w:rFonts w:hint="eastAsia" w:hAnsi="宋体"/>
          <w:u w:val="single"/>
        </w:rPr>
        <w:t xml:space="preserve"> 按乙方投标报价表中列入工程量清单中的子目和单价计算，工程数量按实际完成数量计算，材料、人工价格不予调整（工程施工期间，如遇政策性调整，按相关政策和文件规定执行）</w:t>
      </w:r>
      <w:r>
        <w:rPr>
          <w:rFonts w:hint="eastAsia" w:hAnsi="宋体"/>
        </w:rPr>
        <w:t>。</w:t>
      </w:r>
    </w:p>
    <w:p>
      <w:pPr>
        <w:spacing w:line="360" w:lineRule="auto"/>
        <w:ind w:firstLine="420" w:firstLineChars="200"/>
        <w:rPr>
          <w:rFonts w:hAnsi="宋体"/>
        </w:rPr>
      </w:pPr>
      <w:r>
        <w:rPr>
          <w:rFonts w:hint="eastAsia" w:hAnsi="宋体"/>
        </w:rPr>
        <w:t>允许调整合同价格的工程量偏差范围：</w:t>
      </w:r>
      <w:r>
        <w:rPr>
          <w:rFonts w:hint="eastAsia" w:hAnsi="宋体"/>
          <w:u w:val="single"/>
        </w:rPr>
        <w:t xml:space="preserve"> 与原工程量清单偏差超过15% </w:t>
      </w:r>
      <w:r>
        <w:rPr>
          <w:rFonts w:hint="eastAsia" w:hAnsi="宋体"/>
        </w:rPr>
        <w:t>。</w:t>
      </w:r>
    </w:p>
    <w:p>
      <w:pPr>
        <w:spacing w:line="360" w:lineRule="auto"/>
        <w:rPr>
          <w:rFonts w:hAnsi="宋体"/>
        </w:rPr>
      </w:pPr>
    </w:p>
    <w:p>
      <w:pPr>
        <w:spacing w:line="360" w:lineRule="auto"/>
        <w:rPr>
          <w:rFonts w:hAnsi="宋体"/>
          <w:b/>
          <w:bCs/>
        </w:rPr>
      </w:pPr>
      <w:r>
        <w:rPr>
          <w:rFonts w:hint="eastAsia" w:hAnsi="宋体"/>
          <w:b/>
          <w:bCs/>
        </w:rPr>
        <w:t>2.发包人</w:t>
      </w:r>
    </w:p>
    <w:p>
      <w:pPr>
        <w:spacing w:line="360" w:lineRule="auto"/>
        <w:ind w:firstLine="420" w:firstLineChars="200"/>
        <w:rPr>
          <w:rFonts w:hAnsi="宋体"/>
        </w:rPr>
      </w:pPr>
      <w:r>
        <w:rPr>
          <w:rFonts w:hint="eastAsia" w:hAnsi="宋体"/>
        </w:rPr>
        <w:t>2.2 发包人代表</w:t>
      </w:r>
    </w:p>
    <w:p>
      <w:pPr>
        <w:spacing w:line="360" w:lineRule="auto"/>
        <w:ind w:firstLine="420" w:firstLineChars="200"/>
        <w:rPr>
          <w:rFonts w:hAnsi="宋体"/>
        </w:rPr>
      </w:pPr>
      <w:r>
        <w:rPr>
          <w:rFonts w:hint="eastAsia" w:hAnsi="宋体"/>
        </w:rPr>
        <w:t>发包人代表：</w:t>
      </w:r>
    </w:p>
    <w:p>
      <w:pPr>
        <w:spacing w:line="360" w:lineRule="auto"/>
        <w:ind w:firstLine="420" w:firstLineChars="200"/>
        <w:rPr>
          <w:rFonts w:hAnsi="宋体"/>
        </w:rPr>
      </w:pPr>
      <w:r>
        <w:rPr>
          <w:rFonts w:hint="eastAsia" w:hAnsi="宋体"/>
        </w:rPr>
        <w:t>姓名：；</w:t>
      </w:r>
    </w:p>
    <w:p>
      <w:pPr>
        <w:spacing w:line="360" w:lineRule="auto"/>
        <w:ind w:firstLine="420" w:firstLineChars="200"/>
        <w:rPr>
          <w:rFonts w:hAnsi="宋体"/>
        </w:rPr>
      </w:pPr>
      <w:r>
        <w:rPr>
          <w:rFonts w:hint="eastAsia" w:hAnsi="宋体"/>
        </w:rPr>
        <w:t>身份证号：；</w:t>
      </w:r>
    </w:p>
    <w:p>
      <w:pPr>
        <w:spacing w:line="360" w:lineRule="auto"/>
        <w:ind w:firstLine="420" w:firstLineChars="200"/>
        <w:rPr>
          <w:rFonts w:hAnsi="宋体"/>
        </w:rPr>
      </w:pPr>
      <w:r>
        <w:rPr>
          <w:rFonts w:hint="eastAsia" w:hAnsi="宋体"/>
        </w:rPr>
        <w:t>职务：；</w:t>
      </w:r>
    </w:p>
    <w:p>
      <w:pPr>
        <w:spacing w:line="360" w:lineRule="auto"/>
        <w:ind w:firstLine="420" w:firstLineChars="200"/>
        <w:rPr>
          <w:rFonts w:hAnsi="宋体"/>
        </w:rPr>
      </w:pPr>
      <w:r>
        <w:rPr>
          <w:rFonts w:hint="eastAsia" w:hAnsi="宋体"/>
        </w:rPr>
        <w:t>联系电话：；</w:t>
      </w:r>
    </w:p>
    <w:p>
      <w:pPr>
        <w:spacing w:line="360" w:lineRule="auto"/>
        <w:ind w:firstLine="420" w:firstLineChars="200"/>
        <w:rPr>
          <w:rFonts w:hAnsi="宋体"/>
        </w:rPr>
      </w:pPr>
      <w:r>
        <w:rPr>
          <w:rFonts w:hint="eastAsia" w:hAnsi="宋体"/>
        </w:rPr>
        <w:t>电子信箱：；</w:t>
      </w:r>
    </w:p>
    <w:p>
      <w:pPr>
        <w:spacing w:line="360" w:lineRule="auto"/>
        <w:ind w:firstLine="420" w:firstLineChars="200"/>
        <w:rPr>
          <w:rFonts w:hAnsi="宋体"/>
        </w:rPr>
      </w:pPr>
      <w:r>
        <w:rPr>
          <w:rFonts w:hint="eastAsia" w:hAnsi="宋体"/>
        </w:rPr>
        <w:t>通信地址：</w:t>
      </w:r>
      <w:r>
        <w:rPr>
          <w:rFonts w:hint="eastAsia" w:hAnsi="宋体"/>
          <w:b/>
          <w:bCs/>
        </w:rPr>
        <w:t>。</w:t>
      </w:r>
    </w:p>
    <w:p>
      <w:pPr>
        <w:spacing w:line="360" w:lineRule="auto"/>
        <w:ind w:firstLine="420" w:firstLineChars="200"/>
        <w:rPr>
          <w:rFonts w:hAnsi="宋体"/>
        </w:rPr>
      </w:pPr>
      <w:r>
        <w:rPr>
          <w:rFonts w:hint="eastAsia" w:hAnsi="宋体"/>
        </w:rPr>
        <w:t>发包人对发包人代表的授权范围如下：</w:t>
      </w:r>
      <w:r>
        <w:rPr>
          <w:rFonts w:hint="eastAsia" w:hAnsi="宋体"/>
          <w:u w:val="single"/>
        </w:rPr>
        <w:t xml:space="preserve">  主持该项目施工过程中及保修阶段的全过程管理。负责安全、质量、进度，监督材料、设备的定样，材料价格的确认，以及代表发包人对工程量造价的割算和工程结算、工程安全、质量、进度、变更、认价、工程量的增减等所有相关文件的签字确认 </w:t>
      </w:r>
      <w:r>
        <w:rPr>
          <w:rFonts w:hint="eastAsia" w:hAnsi="宋体"/>
        </w:rPr>
        <w:t>。</w:t>
      </w:r>
    </w:p>
    <w:p>
      <w:pPr>
        <w:spacing w:line="360" w:lineRule="auto"/>
        <w:ind w:firstLine="420" w:firstLineChars="200"/>
        <w:rPr>
          <w:rFonts w:hAnsi="宋体"/>
        </w:rPr>
      </w:pPr>
      <w:r>
        <w:rPr>
          <w:rFonts w:hint="eastAsia" w:hAnsi="宋体"/>
        </w:rPr>
        <w:t>2.4 施工现场、施工条件和基础资料的提供</w:t>
      </w:r>
    </w:p>
    <w:p>
      <w:pPr>
        <w:spacing w:line="360" w:lineRule="auto"/>
        <w:ind w:firstLine="420" w:firstLineChars="200"/>
        <w:rPr>
          <w:rFonts w:hAnsi="宋体"/>
        </w:rPr>
      </w:pPr>
      <w:r>
        <w:rPr>
          <w:rFonts w:hint="eastAsia" w:hAnsi="宋体"/>
        </w:rPr>
        <w:t>2.4.1 提供施工现场</w:t>
      </w:r>
    </w:p>
    <w:p>
      <w:pPr>
        <w:spacing w:line="360" w:lineRule="auto"/>
        <w:ind w:firstLine="420" w:firstLineChars="200"/>
        <w:rPr>
          <w:rFonts w:hAnsi="宋体"/>
        </w:rPr>
      </w:pPr>
      <w:r>
        <w:rPr>
          <w:rFonts w:hint="eastAsia" w:hAnsi="宋体"/>
        </w:rPr>
        <w:t>关于发包人移交施工现场的期限要求：</w:t>
      </w:r>
      <w:r>
        <w:rPr>
          <w:rFonts w:hint="eastAsia" w:hAnsi="宋体"/>
          <w:u w:val="single"/>
        </w:rPr>
        <w:t xml:space="preserve"> 双方另行约定 </w:t>
      </w:r>
      <w:r>
        <w:rPr>
          <w:rFonts w:hint="eastAsia" w:hAnsi="宋体"/>
        </w:rPr>
        <w:t>。</w:t>
      </w:r>
    </w:p>
    <w:p>
      <w:pPr>
        <w:spacing w:line="360" w:lineRule="auto"/>
        <w:ind w:firstLine="420" w:firstLineChars="200"/>
        <w:rPr>
          <w:rFonts w:hAnsi="宋体"/>
        </w:rPr>
      </w:pPr>
      <w:r>
        <w:rPr>
          <w:rFonts w:hint="eastAsia" w:hAnsi="宋体"/>
        </w:rPr>
        <w:t>2.4.2 提供施工条件</w:t>
      </w:r>
    </w:p>
    <w:p>
      <w:pPr>
        <w:spacing w:line="360" w:lineRule="auto"/>
        <w:ind w:firstLine="420" w:firstLineChars="200"/>
        <w:rPr>
          <w:rFonts w:hAnsi="宋体"/>
        </w:rPr>
      </w:pPr>
      <w:r>
        <w:rPr>
          <w:rFonts w:hint="eastAsia" w:hAnsi="宋体"/>
        </w:rPr>
        <w:t>关于发包人应负责提供施工所需要的条件，包括：</w:t>
      </w:r>
      <w:r>
        <w:rPr>
          <w:rFonts w:hint="eastAsia" w:hAnsi="宋体"/>
          <w:u w:val="single"/>
        </w:rPr>
        <w:t xml:space="preserve"> 施工用水、施工用电由发包方将指定接点，并满足施工要求，接点至施工现场段管道、管线、计量设备由承包人自行解决，承包人每月底向发包人缴纳水电费（价格执行施工当地价格）  </w:t>
      </w:r>
      <w:r>
        <w:rPr>
          <w:rFonts w:hint="eastAsia" w:hAnsi="宋体"/>
        </w:rPr>
        <w:t>。</w:t>
      </w:r>
    </w:p>
    <w:p>
      <w:pPr>
        <w:spacing w:line="360" w:lineRule="auto"/>
        <w:ind w:firstLine="420" w:firstLineChars="200"/>
        <w:rPr>
          <w:rFonts w:hAnsi="宋体"/>
        </w:rPr>
      </w:pPr>
      <w:r>
        <w:rPr>
          <w:rFonts w:hint="eastAsia" w:hAnsi="宋体"/>
        </w:rPr>
        <w:t>2.5 资金来源证明及支付担保</w:t>
      </w:r>
    </w:p>
    <w:p>
      <w:pPr>
        <w:spacing w:line="360" w:lineRule="auto"/>
        <w:ind w:firstLine="420" w:firstLineChars="200"/>
        <w:rPr>
          <w:rFonts w:hAnsi="宋体"/>
        </w:rPr>
      </w:pPr>
      <w:r>
        <w:rPr>
          <w:rFonts w:hint="eastAsia" w:hAnsi="宋体"/>
        </w:rPr>
        <w:t>发包人提供资金来源证明的期限要求：</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发包人是否提供支付担保：</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发包人提供支付担保的形式：</w:t>
      </w:r>
      <w:r>
        <w:rPr>
          <w:rFonts w:hint="eastAsia" w:hAnsi="宋体"/>
          <w:u w:val="single"/>
        </w:rPr>
        <w:t xml:space="preserve">   /                               </w:t>
      </w:r>
      <w:r>
        <w:rPr>
          <w:rFonts w:hint="eastAsia" w:hAnsi="宋体"/>
        </w:rPr>
        <w:t>。</w:t>
      </w:r>
    </w:p>
    <w:p>
      <w:pPr>
        <w:spacing w:line="360" w:lineRule="auto"/>
        <w:rPr>
          <w:rFonts w:hAnsi="宋体"/>
          <w:b/>
          <w:bCs/>
        </w:rPr>
      </w:pPr>
    </w:p>
    <w:p>
      <w:pPr>
        <w:spacing w:line="360" w:lineRule="auto"/>
        <w:rPr>
          <w:rFonts w:hAnsi="宋体"/>
          <w:b/>
          <w:bCs/>
        </w:rPr>
      </w:pPr>
      <w:r>
        <w:rPr>
          <w:rFonts w:hint="eastAsia" w:hAnsi="宋体"/>
          <w:b/>
          <w:bCs/>
        </w:rPr>
        <w:t>3.承包人</w:t>
      </w:r>
    </w:p>
    <w:p>
      <w:pPr>
        <w:spacing w:line="360" w:lineRule="auto"/>
        <w:ind w:firstLine="420" w:firstLineChars="200"/>
        <w:rPr>
          <w:rFonts w:hAnsi="宋体"/>
        </w:rPr>
      </w:pPr>
      <w:r>
        <w:rPr>
          <w:rFonts w:hint="eastAsia" w:hAnsi="宋体"/>
        </w:rPr>
        <w:t>3.1 承包人的一般义务</w:t>
      </w:r>
    </w:p>
    <w:p>
      <w:pPr>
        <w:spacing w:line="360" w:lineRule="auto"/>
        <w:ind w:firstLine="420" w:firstLineChars="200"/>
        <w:rPr>
          <w:rFonts w:hAnsi="宋体"/>
        </w:rPr>
      </w:pPr>
      <w:r>
        <w:rPr>
          <w:rFonts w:hint="eastAsia" w:hAnsi="宋体"/>
        </w:rPr>
        <w:t>（9）承包人提交的竣工资料的内容：</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承包人需要提交的竣工资料套数：</w:t>
      </w:r>
      <w:r>
        <w:rPr>
          <w:rFonts w:hint="eastAsia" w:hAnsi="宋体"/>
          <w:u w:val="single"/>
        </w:rPr>
        <w:t xml:space="preserve">  按现行相关规定                      </w:t>
      </w:r>
      <w:r>
        <w:rPr>
          <w:rFonts w:hint="eastAsia" w:hAnsi="宋体"/>
        </w:rPr>
        <w:t>。</w:t>
      </w:r>
    </w:p>
    <w:p>
      <w:pPr>
        <w:spacing w:line="360" w:lineRule="auto"/>
        <w:ind w:firstLine="420" w:firstLineChars="200"/>
        <w:rPr>
          <w:rFonts w:hAnsi="宋体"/>
        </w:rPr>
      </w:pPr>
      <w:r>
        <w:rPr>
          <w:rFonts w:hint="eastAsia" w:hAnsi="宋体"/>
        </w:rPr>
        <w:t>承包人提交的竣工资料的费用承担：</w:t>
      </w:r>
      <w:r>
        <w:rPr>
          <w:rFonts w:hint="eastAsia" w:hAnsi="宋体"/>
          <w:u w:val="single"/>
        </w:rPr>
        <w:t xml:space="preserve">  全部由承包人承担          </w:t>
      </w:r>
      <w:r>
        <w:rPr>
          <w:rFonts w:hint="eastAsia" w:hAnsi="宋体"/>
        </w:rPr>
        <w:t>。</w:t>
      </w:r>
    </w:p>
    <w:p>
      <w:pPr>
        <w:spacing w:line="360" w:lineRule="auto"/>
        <w:ind w:firstLine="420" w:firstLineChars="200"/>
        <w:rPr>
          <w:rFonts w:hAnsi="宋体"/>
        </w:rPr>
      </w:pPr>
      <w:r>
        <w:rPr>
          <w:rFonts w:hint="eastAsia" w:hAnsi="宋体"/>
        </w:rPr>
        <w:t>承包人提交的竣工资料移交时间：</w:t>
      </w:r>
      <w:r>
        <w:rPr>
          <w:rFonts w:hint="eastAsia" w:hAnsi="宋体"/>
          <w:u w:val="single"/>
        </w:rPr>
        <w:t xml:space="preserve">  工程竣工验收合格后30天内　　　</w:t>
      </w:r>
      <w:r>
        <w:rPr>
          <w:rFonts w:hint="eastAsia" w:hAnsi="宋体"/>
        </w:rPr>
        <w:t>。</w:t>
      </w:r>
    </w:p>
    <w:p>
      <w:pPr>
        <w:spacing w:line="360" w:lineRule="auto"/>
        <w:ind w:firstLine="420" w:firstLineChars="200"/>
        <w:rPr>
          <w:rFonts w:hAnsi="宋体"/>
        </w:rPr>
      </w:pPr>
      <w:r>
        <w:rPr>
          <w:rFonts w:hint="eastAsia" w:hAnsi="宋体"/>
        </w:rPr>
        <w:t>承包人提交的竣工资料形式要求：</w:t>
      </w:r>
      <w:r>
        <w:rPr>
          <w:rFonts w:hint="eastAsia" w:hAnsi="宋体"/>
          <w:u w:val="single"/>
        </w:rPr>
        <w:t xml:space="preserve">    按现行相关规定                    </w:t>
      </w:r>
      <w:r>
        <w:rPr>
          <w:rFonts w:hint="eastAsia" w:hAnsi="宋体"/>
        </w:rPr>
        <w:t>。</w:t>
      </w:r>
    </w:p>
    <w:p>
      <w:pPr>
        <w:spacing w:line="360" w:lineRule="auto"/>
        <w:ind w:firstLine="420" w:firstLineChars="200"/>
        <w:rPr>
          <w:rFonts w:hAnsi="宋体"/>
        </w:rPr>
      </w:pPr>
      <w:r>
        <w:rPr>
          <w:rFonts w:hint="eastAsia" w:hAnsi="宋体"/>
        </w:rPr>
        <w:t>（10）承包人应履行的其他义务：</w:t>
      </w:r>
      <w:r>
        <w:rPr>
          <w:rFonts w:hint="eastAsia" w:hAnsi="宋体"/>
          <w:u w:val="single"/>
        </w:rPr>
        <w:t xml:space="preserve">  1、开工报告；2、施工进度计划表；3、施工平面布置图； 4、隐蔽工程验收通知；5、甲供材料预算、 竣工验收报告；6、向发包方提供的年、 季、 月度施工计划及相应施工进度统计表；8、工程事故报告以及应由发包人供应的材料；9、 设备计划和材料收、登、存的月、季、年度统计报表等 </w:t>
      </w:r>
      <w:r>
        <w:rPr>
          <w:rFonts w:hint="eastAsia" w:hAnsi="宋体"/>
        </w:rPr>
        <w:t>。</w:t>
      </w:r>
    </w:p>
    <w:p>
      <w:pPr>
        <w:spacing w:line="360" w:lineRule="auto"/>
        <w:ind w:firstLine="420" w:firstLineChars="200"/>
        <w:rPr>
          <w:rFonts w:hAnsi="宋体"/>
        </w:rPr>
      </w:pPr>
      <w:r>
        <w:rPr>
          <w:rFonts w:hint="eastAsia" w:hAnsi="宋体"/>
        </w:rPr>
        <w:t>3.2 项目经理</w:t>
      </w:r>
    </w:p>
    <w:p>
      <w:pPr>
        <w:spacing w:line="360" w:lineRule="auto"/>
        <w:ind w:firstLine="420" w:firstLineChars="200"/>
        <w:rPr>
          <w:rFonts w:hAnsi="宋体"/>
        </w:rPr>
      </w:pPr>
      <w:r>
        <w:rPr>
          <w:rFonts w:hint="eastAsia" w:hAnsi="宋体"/>
        </w:rPr>
        <w:t>3.2.1 项目经理：；</w:t>
      </w:r>
    </w:p>
    <w:p>
      <w:pPr>
        <w:spacing w:line="360" w:lineRule="auto"/>
        <w:ind w:firstLine="420" w:firstLineChars="200"/>
        <w:rPr>
          <w:rFonts w:hAnsi="宋体"/>
        </w:rPr>
      </w:pPr>
      <w:r>
        <w:rPr>
          <w:rFonts w:hint="eastAsia" w:hAnsi="宋体"/>
        </w:rPr>
        <w:t>姓名：；</w:t>
      </w:r>
    </w:p>
    <w:p>
      <w:pPr>
        <w:spacing w:line="360" w:lineRule="auto"/>
        <w:ind w:firstLine="420" w:firstLineChars="200"/>
        <w:rPr>
          <w:rFonts w:hAnsi="宋体"/>
        </w:rPr>
      </w:pPr>
      <w:r>
        <w:rPr>
          <w:rFonts w:hint="eastAsia" w:hAnsi="宋体"/>
        </w:rPr>
        <w:t>身份证号：；</w:t>
      </w:r>
    </w:p>
    <w:p>
      <w:pPr>
        <w:spacing w:line="360" w:lineRule="auto"/>
        <w:ind w:firstLine="420" w:firstLineChars="200"/>
        <w:rPr>
          <w:rFonts w:hAnsi="宋体"/>
        </w:rPr>
      </w:pPr>
      <w:r>
        <w:rPr>
          <w:rFonts w:hint="eastAsia" w:hAnsi="宋体"/>
        </w:rPr>
        <w:t>建造师执业资格等级：；</w:t>
      </w:r>
    </w:p>
    <w:p>
      <w:pPr>
        <w:spacing w:line="360" w:lineRule="auto"/>
        <w:ind w:firstLine="420" w:firstLineChars="200"/>
        <w:rPr>
          <w:rFonts w:hAnsi="宋体"/>
        </w:rPr>
      </w:pPr>
      <w:r>
        <w:rPr>
          <w:rFonts w:hint="eastAsia" w:hAnsi="宋体"/>
        </w:rPr>
        <w:t>建造师注册证书号：；</w:t>
      </w:r>
    </w:p>
    <w:p>
      <w:pPr>
        <w:spacing w:line="360" w:lineRule="auto"/>
        <w:ind w:firstLine="420" w:firstLineChars="200"/>
        <w:rPr>
          <w:rFonts w:hAnsi="宋体"/>
        </w:rPr>
      </w:pPr>
      <w:r>
        <w:rPr>
          <w:rFonts w:hint="eastAsia" w:hAnsi="宋体"/>
        </w:rPr>
        <w:t>建造师执业印章号：；</w:t>
      </w:r>
    </w:p>
    <w:p>
      <w:pPr>
        <w:spacing w:line="360" w:lineRule="auto"/>
        <w:ind w:firstLine="420" w:firstLineChars="200"/>
        <w:rPr>
          <w:rFonts w:hAnsi="宋体"/>
        </w:rPr>
      </w:pPr>
      <w:r>
        <w:rPr>
          <w:rFonts w:hint="eastAsia" w:hAnsi="宋体"/>
        </w:rPr>
        <w:t>安全生产考核合格证书号：；</w:t>
      </w:r>
    </w:p>
    <w:p>
      <w:pPr>
        <w:spacing w:line="360" w:lineRule="auto"/>
        <w:ind w:firstLine="420" w:firstLineChars="200"/>
        <w:rPr>
          <w:rFonts w:hAnsi="宋体"/>
        </w:rPr>
      </w:pPr>
      <w:r>
        <w:rPr>
          <w:rFonts w:hint="eastAsia" w:hAnsi="宋体"/>
        </w:rPr>
        <w:t>联系电话：；</w:t>
      </w:r>
    </w:p>
    <w:p>
      <w:pPr>
        <w:spacing w:line="360" w:lineRule="auto"/>
        <w:ind w:firstLine="420" w:firstLineChars="200"/>
        <w:rPr>
          <w:rFonts w:hAnsi="宋体"/>
        </w:rPr>
      </w:pPr>
      <w:r>
        <w:rPr>
          <w:rFonts w:hint="eastAsia" w:hAnsi="宋体"/>
        </w:rPr>
        <w:t>电子信箱：；</w:t>
      </w:r>
    </w:p>
    <w:p>
      <w:pPr>
        <w:spacing w:line="360" w:lineRule="auto"/>
        <w:ind w:firstLine="420" w:firstLineChars="200"/>
        <w:rPr>
          <w:rFonts w:hAnsi="宋体"/>
        </w:rPr>
      </w:pPr>
      <w:r>
        <w:rPr>
          <w:rFonts w:hint="eastAsia" w:hAnsi="宋体"/>
        </w:rPr>
        <w:t>通信地址：；</w:t>
      </w:r>
    </w:p>
    <w:p>
      <w:pPr>
        <w:spacing w:line="360" w:lineRule="auto"/>
        <w:ind w:firstLine="420" w:firstLineChars="200"/>
        <w:rPr>
          <w:rFonts w:hAnsi="宋体"/>
        </w:rPr>
      </w:pPr>
      <w:r>
        <w:rPr>
          <w:rFonts w:hint="eastAsia" w:hAnsi="宋体"/>
        </w:rPr>
        <w:t>承包人对项目经理的授权范围如下：</w:t>
      </w:r>
      <w:r>
        <w:rPr>
          <w:rFonts w:hint="eastAsia" w:hAnsi="宋体"/>
          <w:u w:val="single"/>
        </w:rPr>
        <w:t xml:space="preserve"> 领导、决策，调集企业所属各单位，各部门为项目进行全面服务和控制  </w:t>
      </w:r>
      <w:r>
        <w:rPr>
          <w:rFonts w:hint="eastAsia" w:hAnsi="宋体"/>
        </w:rPr>
        <w:t>；</w:t>
      </w:r>
    </w:p>
    <w:p>
      <w:pPr>
        <w:spacing w:line="360" w:lineRule="auto"/>
        <w:ind w:firstLine="420" w:firstLineChars="200"/>
        <w:rPr>
          <w:rFonts w:hAnsi="宋体"/>
        </w:rPr>
      </w:pPr>
      <w:r>
        <w:rPr>
          <w:rFonts w:hint="eastAsia" w:hAnsi="宋体"/>
        </w:rPr>
        <w:t>关于项目经理每月在施工现场的时间要求：</w:t>
      </w:r>
      <w:r>
        <w:rPr>
          <w:rFonts w:hint="eastAsia" w:hAnsi="宋体"/>
          <w:u w:val="single"/>
        </w:rPr>
        <w:t xml:space="preserve">  每月不少于24天   </w:t>
      </w:r>
      <w:r>
        <w:rPr>
          <w:rFonts w:hint="eastAsia" w:hAnsi="宋体"/>
        </w:rPr>
        <w:t>；</w:t>
      </w:r>
    </w:p>
    <w:p>
      <w:pPr>
        <w:spacing w:line="360" w:lineRule="auto"/>
        <w:ind w:firstLine="420" w:firstLineChars="200"/>
        <w:rPr>
          <w:rFonts w:hAnsi="宋体"/>
        </w:rPr>
      </w:pPr>
      <w:r>
        <w:rPr>
          <w:rFonts w:hint="eastAsia" w:hAnsi="宋体"/>
        </w:rPr>
        <w:t>承包人未提交劳动合同，以及没有为项目经理缴纳社会保险证明的违约责任：。</w:t>
      </w:r>
    </w:p>
    <w:p>
      <w:pPr>
        <w:spacing w:line="360" w:lineRule="auto"/>
        <w:ind w:firstLine="420" w:firstLineChars="200"/>
        <w:rPr>
          <w:rFonts w:hAnsi="宋体"/>
        </w:rPr>
      </w:pPr>
      <w:r>
        <w:rPr>
          <w:rFonts w:hint="eastAsia" w:hAnsi="宋体"/>
        </w:rPr>
        <w:t>项目经理未经批准，擅自离开施工现场的违约责任：</w:t>
      </w:r>
      <w:r>
        <w:rPr>
          <w:rFonts w:hint="eastAsia" w:hAnsi="宋体"/>
          <w:u w:val="single"/>
        </w:rPr>
        <w:t xml:space="preserve">承包人承担上述违约给发包人造成的一切损失 </w:t>
      </w:r>
      <w:r>
        <w:rPr>
          <w:rFonts w:hint="eastAsia" w:hAnsi="宋体"/>
        </w:rPr>
        <w:t>。</w:t>
      </w:r>
    </w:p>
    <w:p>
      <w:pPr>
        <w:spacing w:line="360" w:lineRule="auto"/>
        <w:ind w:firstLine="420" w:firstLineChars="200"/>
        <w:rPr>
          <w:rFonts w:hAnsi="宋体"/>
        </w:rPr>
      </w:pPr>
      <w:r>
        <w:rPr>
          <w:rFonts w:hint="eastAsia" w:hAnsi="宋体"/>
        </w:rPr>
        <w:t>3.2.3 承包人擅自更换项目经理的违约责任：</w:t>
      </w:r>
      <w:r>
        <w:rPr>
          <w:rFonts w:hint="eastAsia" w:hAnsi="宋体"/>
          <w:u w:val="single"/>
        </w:rPr>
        <w:t xml:space="preserve">承包人承担上述违约给发包人造成的一切损失  </w:t>
      </w:r>
      <w:r>
        <w:rPr>
          <w:rFonts w:hint="eastAsia" w:hAnsi="宋体"/>
        </w:rPr>
        <w:t>。</w:t>
      </w:r>
    </w:p>
    <w:p>
      <w:pPr>
        <w:spacing w:line="360" w:lineRule="auto"/>
        <w:ind w:firstLine="420" w:firstLineChars="200"/>
        <w:rPr>
          <w:rFonts w:hAnsi="宋体"/>
        </w:rPr>
      </w:pPr>
      <w:r>
        <w:rPr>
          <w:rFonts w:hint="eastAsia" w:hAnsi="宋体"/>
        </w:rPr>
        <w:t>3.2.4 承包人无正当理由拒绝更换项目经理的违约责任：</w:t>
      </w:r>
      <w:r>
        <w:rPr>
          <w:rFonts w:hint="eastAsia" w:hAnsi="宋体"/>
          <w:u w:val="single"/>
        </w:rPr>
        <w:t>承包人承担上述违约给发包人造成的一切损失。</w:t>
      </w:r>
    </w:p>
    <w:p>
      <w:pPr>
        <w:spacing w:line="360" w:lineRule="auto"/>
        <w:ind w:firstLine="420" w:firstLineChars="200"/>
        <w:rPr>
          <w:rFonts w:hAnsi="宋体"/>
        </w:rPr>
      </w:pPr>
      <w:r>
        <w:rPr>
          <w:rFonts w:hint="eastAsia" w:hAnsi="宋体"/>
        </w:rPr>
        <w:t>3.3 承包人人员</w:t>
      </w:r>
    </w:p>
    <w:p>
      <w:pPr>
        <w:spacing w:line="360" w:lineRule="auto"/>
        <w:ind w:firstLine="420" w:firstLineChars="200"/>
        <w:rPr>
          <w:rFonts w:hAnsi="宋体"/>
        </w:rPr>
      </w:pPr>
      <w:r>
        <w:rPr>
          <w:rFonts w:hint="eastAsia" w:hAnsi="宋体"/>
        </w:rPr>
        <w:t>3.3.1 承包人提交项目管理机构及施工现场管理人员安排报告的期限：</w:t>
      </w:r>
      <w:r>
        <w:rPr>
          <w:rFonts w:hint="eastAsia" w:hAnsi="宋体"/>
          <w:u w:val="single"/>
        </w:rPr>
        <w:t xml:space="preserve">  工程开工前2天  </w:t>
      </w:r>
      <w:r>
        <w:rPr>
          <w:rFonts w:hint="eastAsia" w:hAnsi="宋体"/>
        </w:rPr>
        <w:t>。</w:t>
      </w:r>
    </w:p>
    <w:p>
      <w:pPr>
        <w:spacing w:line="360" w:lineRule="auto"/>
        <w:ind w:firstLine="420" w:firstLineChars="200"/>
        <w:rPr>
          <w:rFonts w:hAnsi="宋体"/>
        </w:rPr>
      </w:pPr>
      <w:r>
        <w:rPr>
          <w:rFonts w:hint="eastAsia" w:hAnsi="宋体"/>
        </w:rPr>
        <w:t>3.3.3 承包人无正当理由拒绝撤换主要施工管理人员的违约责任：</w:t>
      </w:r>
      <w:r>
        <w:rPr>
          <w:rFonts w:hint="eastAsia" w:hAnsi="宋体"/>
          <w:u w:val="single"/>
        </w:rPr>
        <w:t xml:space="preserve">承包人承担上述违约给发包人造成的一切损失 </w:t>
      </w:r>
      <w:r>
        <w:rPr>
          <w:rFonts w:hint="eastAsia" w:hAnsi="宋体"/>
        </w:rPr>
        <w:t>。</w:t>
      </w:r>
    </w:p>
    <w:p>
      <w:pPr>
        <w:spacing w:line="360" w:lineRule="auto"/>
        <w:ind w:firstLine="420" w:firstLineChars="200"/>
        <w:rPr>
          <w:rFonts w:hAnsi="宋体"/>
        </w:rPr>
      </w:pPr>
      <w:r>
        <w:rPr>
          <w:rFonts w:hint="eastAsia" w:hAnsi="宋体"/>
        </w:rPr>
        <w:t>3.3.4 承包人主要施工管理人员离开施工现场的批准要求：</w:t>
      </w:r>
      <w:r>
        <w:rPr>
          <w:rFonts w:hint="eastAsia" w:hAnsi="宋体"/>
          <w:u w:val="single"/>
        </w:rPr>
        <w:t xml:space="preserve"> 由总监理工程师批准，发包人认可后方可离开  </w:t>
      </w:r>
      <w:r>
        <w:rPr>
          <w:rFonts w:hint="eastAsia" w:hAnsi="宋体"/>
        </w:rPr>
        <w:t>。</w:t>
      </w:r>
    </w:p>
    <w:p>
      <w:pPr>
        <w:spacing w:line="360" w:lineRule="auto"/>
        <w:ind w:firstLine="420" w:firstLineChars="200"/>
        <w:rPr>
          <w:rFonts w:hAnsi="宋体"/>
        </w:rPr>
      </w:pPr>
      <w:r>
        <w:rPr>
          <w:rFonts w:hint="eastAsia" w:hAnsi="宋体"/>
        </w:rPr>
        <w:t>3.3.5 承包人擅自更换主要施工管理人员的违约责任：</w:t>
      </w:r>
      <w:r>
        <w:rPr>
          <w:rFonts w:hint="eastAsia" w:hAnsi="宋体"/>
          <w:u w:val="single"/>
        </w:rPr>
        <w:t xml:space="preserve">承包人承担上述违约给发包人造成的一切损失 </w:t>
      </w:r>
      <w:r>
        <w:rPr>
          <w:rFonts w:hint="eastAsia" w:hAnsi="宋体"/>
        </w:rPr>
        <w:t>。</w:t>
      </w:r>
    </w:p>
    <w:p>
      <w:pPr>
        <w:spacing w:line="360" w:lineRule="auto"/>
        <w:ind w:firstLine="420" w:firstLineChars="200"/>
        <w:rPr>
          <w:rFonts w:hAnsi="宋体"/>
        </w:rPr>
      </w:pPr>
      <w:r>
        <w:rPr>
          <w:rFonts w:hint="eastAsia" w:hAnsi="宋体"/>
        </w:rPr>
        <w:t>承包人主要施工管理人员擅自离开施工现场的违约责任：</w:t>
      </w:r>
      <w:r>
        <w:rPr>
          <w:rFonts w:hint="eastAsia" w:hAnsi="宋体"/>
          <w:u w:val="single"/>
        </w:rPr>
        <w:t xml:space="preserve">承包人承担上述违约给发包人造成的一切损失 </w:t>
      </w:r>
      <w:r>
        <w:rPr>
          <w:rFonts w:hint="eastAsia" w:hAnsi="宋体"/>
        </w:rPr>
        <w:t>。</w:t>
      </w:r>
    </w:p>
    <w:p>
      <w:pPr>
        <w:spacing w:line="360" w:lineRule="auto"/>
        <w:ind w:firstLine="420" w:firstLineChars="200"/>
        <w:rPr>
          <w:rFonts w:hAnsi="宋体"/>
        </w:rPr>
      </w:pPr>
      <w:r>
        <w:rPr>
          <w:rFonts w:hint="eastAsia" w:hAnsi="宋体"/>
        </w:rPr>
        <w:t>3.5 分包</w:t>
      </w:r>
    </w:p>
    <w:p>
      <w:pPr>
        <w:spacing w:line="360" w:lineRule="auto"/>
        <w:ind w:firstLine="420" w:firstLineChars="200"/>
        <w:rPr>
          <w:rFonts w:hAnsi="宋体"/>
        </w:rPr>
      </w:pPr>
      <w:r>
        <w:rPr>
          <w:rFonts w:hint="eastAsia" w:hAnsi="宋体"/>
        </w:rPr>
        <w:t>3.5.1 分包的一般约定</w:t>
      </w:r>
    </w:p>
    <w:p>
      <w:pPr>
        <w:spacing w:line="360" w:lineRule="auto"/>
        <w:ind w:firstLine="420" w:firstLineChars="200"/>
        <w:rPr>
          <w:rFonts w:hAnsi="宋体"/>
        </w:rPr>
      </w:pPr>
      <w:r>
        <w:rPr>
          <w:rFonts w:hint="eastAsia" w:hAnsi="宋体"/>
        </w:rPr>
        <w:t>禁止分包的工程包括：</w:t>
      </w:r>
      <w:r>
        <w:rPr>
          <w:rFonts w:hint="eastAsia" w:hAnsi="宋体"/>
          <w:u w:val="single"/>
        </w:rPr>
        <w:t xml:space="preserve">  本工程除</w:t>
      </w:r>
      <w:r>
        <w:rPr>
          <w:rFonts w:hint="eastAsia"/>
          <w:szCs w:val="21"/>
          <w:u w:val="single"/>
        </w:rPr>
        <w:t>门卫室工程，其他工程</w:t>
      </w:r>
      <w:r>
        <w:rPr>
          <w:rFonts w:hint="eastAsia" w:hAnsi="宋体"/>
          <w:u w:val="single"/>
        </w:rPr>
        <w:t xml:space="preserve">禁止分包  </w:t>
      </w:r>
      <w:r>
        <w:rPr>
          <w:rFonts w:hint="eastAsia" w:hAnsi="宋体"/>
        </w:rPr>
        <w:t>。</w:t>
      </w:r>
    </w:p>
    <w:p>
      <w:pPr>
        <w:spacing w:line="360" w:lineRule="auto"/>
        <w:ind w:firstLine="420" w:firstLineChars="200"/>
        <w:rPr>
          <w:rFonts w:hAnsi="宋体"/>
        </w:rPr>
      </w:pPr>
      <w:r>
        <w:rPr>
          <w:rFonts w:hint="eastAsia" w:hAnsi="宋体"/>
        </w:rPr>
        <w:t>主体结构、关键性工作的范围：</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3.5.2 分包的确定</w:t>
      </w:r>
    </w:p>
    <w:p>
      <w:pPr>
        <w:spacing w:line="360" w:lineRule="auto"/>
        <w:ind w:firstLine="420" w:firstLineChars="200"/>
        <w:rPr>
          <w:rFonts w:hAnsi="宋体"/>
        </w:rPr>
      </w:pPr>
      <w:r>
        <w:rPr>
          <w:rFonts w:hint="eastAsia" w:hAnsi="宋体"/>
        </w:rPr>
        <w:t>允许分包的专业工程包括：</w:t>
      </w:r>
      <w:r>
        <w:rPr>
          <w:rFonts w:hint="eastAsia" w:hAnsi="宋体"/>
          <w:u w:val="single"/>
        </w:rPr>
        <w:t xml:space="preserve">  /                   </w:t>
      </w:r>
      <w:r>
        <w:rPr>
          <w:rFonts w:hint="eastAsia" w:hAnsi="宋体"/>
        </w:rPr>
        <w:t>。</w:t>
      </w:r>
    </w:p>
    <w:p>
      <w:pPr>
        <w:spacing w:line="360" w:lineRule="auto"/>
        <w:ind w:firstLine="482" w:firstLineChars="200"/>
        <w:rPr>
          <w:rFonts w:hAnsi="宋体"/>
          <w:b/>
          <w:bCs/>
          <w:sz w:val="24"/>
        </w:rPr>
      </w:pPr>
      <w:r>
        <w:rPr>
          <w:rFonts w:hint="eastAsia" w:hAnsi="宋体"/>
          <w:b/>
          <w:bCs/>
          <w:sz w:val="24"/>
        </w:rPr>
        <w:t>其他关于分包的约定：</w:t>
      </w:r>
      <w:r>
        <w:rPr>
          <w:rFonts w:hint="eastAsia" w:hAnsi="宋体"/>
          <w:b/>
          <w:bCs/>
          <w:sz w:val="24"/>
          <w:u w:val="single"/>
        </w:rPr>
        <w:t xml:space="preserve"> 未经发包人同意，承包人不得分包任何工程。承包人与分包人所签订的分包合同应及时报发包人备案。承包人选择的分包单位必须具有相应的资质，并具有全面、适当履行合同的能力。工程分包不能解除承包人任何责任与义务，承包人应在分包场地派驻相应管理人员，以保证本合同的履行。由于分包单位的违约行为或疏忽导致工程损害，或给发包人造成其他损失的，承包人按照本合同的约定承担责任，分包单位承担连带责任   </w:t>
      </w:r>
      <w:r>
        <w:rPr>
          <w:rFonts w:hint="eastAsia" w:hAnsi="宋体"/>
          <w:b/>
          <w:bCs/>
          <w:sz w:val="24"/>
        </w:rPr>
        <w:t>。</w:t>
      </w:r>
    </w:p>
    <w:p>
      <w:pPr>
        <w:spacing w:line="360" w:lineRule="auto"/>
        <w:ind w:firstLine="420" w:firstLineChars="200"/>
        <w:rPr>
          <w:rFonts w:hAnsi="宋体"/>
        </w:rPr>
      </w:pPr>
      <w:r>
        <w:rPr>
          <w:rFonts w:hint="eastAsia" w:hAnsi="宋体"/>
        </w:rPr>
        <w:t>3.5.4 分包合同价款</w:t>
      </w:r>
    </w:p>
    <w:p>
      <w:pPr>
        <w:spacing w:line="360" w:lineRule="auto"/>
        <w:ind w:firstLine="420" w:firstLineChars="200"/>
        <w:rPr>
          <w:rFonts w:hAnsi="宋体"/>
        </w:rPr>
      </w:pPr>
      <w:r>
        <w:rPr>
          <w:rFonts w:hint="eastAsia" w:hAnsi="宋体"/>
        </w:rPr>
        <w:t>关于分包合同价款支付的约定：</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3.6 工程照管与成品、半成品保护</w:t>
      </w:r>
    </w:p>
    <w:p>
      <w:pPr>
        <w:spacing w:line="360" w:lineRule="auto"/>
        <w:ind w:firstLine="420" w:firstLineChars="200"/>
        <w:rPr>
          <w:rFonts w:hAnsi="宋体"/>
        </w:rPr>
      </w:pPr>
      <w:r>
        <w:rPr>
          <w:rFonts w:hint="eastAsia" w:hAnsi="宋体"/>
        </w:rPr>
        <w:t>承包人负责照管工程及工程相关的材料、工程设备的起始时间：</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3.7 履约担保</w:t>
      </w:r>
    </w:p>
    <w:p>
      <w:pPr>
        <w:spacing w:line="360" w:lineRule="auto"/>
        <w:ind w:firstLine="420" w:firstLineChars="200"/>
        <w:rPr>
          <w:rFonts w:hAnsi="宋体"/>
        </w:rPr>
      </w:pPr>
      <w:r>
        <w:rPr>
          <w:rFonts w:hint="eastAsia" w:hAnsi="宋体"/>
        </w:rPr>
        <w:t>承包人是否提供履约担保：</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承包人提供履约担保的形式、金额及期限的：</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4.监理人</w:t>
      </w:r>
    </w:p>
    <w:p>
      <w:pPr>
        <w:spacing w:line="360" w:lineRule="auto"/>
        <w:ind w:firstLine="420" w:firstLineChars="200"/>
        <w:rPr>
          <w:rFonts w:hAnsi="宋体"/>
        </w:rPr>
      </w:pPr>
      <w:r>
        <w:rPr>
          <w:rFonts w:hint="eastAsia" w:hAnsi="宋体"/>
        </w:rPr>
        <w:t>4.1 监理人的一般规定</w:t>
      </w:r>
    </w:p>
    <w:p>
      <w:pPr>
        <w:spacing w:line="360" w:lineRule="auto"/>
        <w:ind w:firstLine="420" w:firstLineChars="200"/>
        <w:rPr>
          <w:rFonts w:hAnsi="宋体"/>
        </w:rPr>
      </w:pPr>
      <w:r>
        <w:rPr>
          <w:rFonts w:hint="eastAsia" w:hAnsi="宋体"/>
        </w:rPr>
        <w:t>关于监理人的监理内容：</w:t>
      </w:r>
      <w:r>
        <w:rPr>
          <w:rFonts w:hint="eastAsia" w:hAnsi="宋体"/>
          <w:u w:val="single"/>
        </w:rPr>
        <w:t xml:space="preserve">  见监理合同   </w:t>
      </w:r>
      <w:r>
        <w:rPr>
          <w:rFonts w:hint="eastAsia" w:hAnsi="宋体"/>
        </w:rPr>
        <w:t>。</w:t>
      </w:r>
    </w:p>
    <w:p>
      <w:pPr>
        <w:spacing w:line="360" w:lineRule="auto"/>
        <w:ind w:firstLine="420" w:firstLineChars="200"/>
        <w:rPr>
          <w:rFonts w:hAnsi="宋体"/>
        </w:rPr>
      </w:pPr>
      <w:r>
        <w:rPr>
          <w:rFonts w:hint="eastAsia" w:hAnsi="宋体"/>
        </w:rPr>
        <w:t>关于监理人的监理权限：</w:t>
      </w:r>
      <w:r>
        <w:rPr>
          <w:rFonts w:hint="eastAsia" w:hAnsi="宋体"/>
          <w:u w:val="single"/>
        </w:rPr>
        <w:t xml:space="preserve">  见监理合同   </w:t>
      </w:r>
      <w:r>
        <w:rPr>
          <w:rFonts w:hint="eastAsia" w:hAnsi="宋体"/>
        </w:rPr>
        <w:t>。</w:t>
      </w:r>
    </w:p>
    <w:p>
      <w:pPr>
        <w:spacing w:line="360" w:lineRule="auto"/>
        <w:ind w:firstLine="420" w:firstLineChars="200"/>
        <w:rPr>
          <w:rFonts w:hAnsi="宋体"/>
          <w:u w:val="single"/>
        </w:rPr>
      </w:pPr>
      <w:r>
        <w:rPr>
          <w:rFonts w:hint="eastAsia" w:hAnsi="宋体"/>
        </w:rPr>
        <w:t>关于监理人在施工现场的办公场所、生活场所的提供和费用承担的约定：</w:t>
      </w:r>
      <w:r>
        <w:rPr>
          <w:rFonts w:hint="eastAsia" w:hAnsi="宋体"/>
          <w:u w:val="single"/>
        </w:rPr>
        <w:t xml:space="preserve">   见监理合同   </w:t>
      </w:r>
      <w:r>
        <w:rPr>
          <w:rFonts w:hint="eastAsia" w:hAnsi="宋体"/>
        </w:rPr>
        <w:t>。</w:t>
      </w:r>
    </w:p>
    <w:p>
      <w:pPr>
        <w:spacing w:line="360" w:lineRule="auto"/>
        <w:ind w:firstLine="420" w:firstLineChars="200"/>
        <w:rPr>
          <w:rFonts w:hAnsi="宋体"/>
        </w:rPr>
      </w:pPr>
      <w:r>
        <w:rPr>
          <w:rFonts w:hint="eastAsia" w:hAnsi="宋体"/>
        </w:rPr>
        <w:t>4.2 监理人员</w:t>
      </w:r>
    </w:p>
    <w:p>
      <w:pPr>
        <w:spacing w:line="360" w:lineRule="auto"/>
        <w:ind w:firstLine="420" w:firstLineChars="200"/>
        <w:rPr>
          <w:rFonts w:hAnsi="宋体"/>
        </w:rPr>
      </w:pPr>
      <w:r>
        <w:rPr>
          <w:rFonts w:hint="eastAsia" w:hAnsi="宋体"/>
        </w:rPr>
        <w:t>总监理工程师：；</w:t>
      </w:r>
    </w:p>
    <w:p>
      <w:pPr>
        <w:spacing w:line="360" w:lineRule="auto"/>
        <w:ind w:firstLine="420" w:firstLineChars="200"/>
        <w:rPr>
          <w:rFonts w:hAnsi="宋体"/>
        </w:rPr>
      </w:pPr>
      <w:r>
        <w:rPr>
          <w:rFonts w:hint="eastAsia" w:hAnsi="宋体"/>
        </w:rPr>
        <w:t>姓名：；</w:t>
      </w:r>
    </w:p>
    <w:p>
      <w:pPr>
        <w:spacing w:line="360" w:lineRule="auto"/>
        <w:ind w:firstLine="420" w:firstLineChars="200"/>
        <w:rPr>
          <w:rFonts w:hAnsi="宋体"/>
        </w:rPr>
      </w:pPr>
      <w:r>
        <w:rPr>
          <w:rFonts w:hint="eastAsia" w:hAnsi="宋体"/>
        </w:rPr>
        <w:t>职务：；</w:t>
      </w:r>
    </w:p>
    <w:p>
      <w:pPr>
        <w:spacing w:line="360" w:lineRule="auto"/>
        <w:ind w:firstLine="420" w:firstLineChars="200"/>
        <w:rPr>
          <w:rFonts w:hAnsi="宋体"/>
        </w:rPr>
      </w:pPr>
      <w:r>
        <w:rPr>
          <w:rFonts w:hint="eastAsia" w:hAnsi="宋体"/>
        </w:rPr>
        <w:t>监理工程师执业资格证书号：；</w:t>
      </w:r>
    </w:p>
    <w:p>
      <w:pPr>
        <w:spacing w:line="360" w:lineRule="auto"/>
        <w:ind w:firstLine="420" w:firstLineChars="200"/>
        <w:rPr>
          <w:rFonts w:hAnsi="宋体"/>
        </w:rPr>
      </w:pPr>
      <w:r>
        <w:rPr>
          <w:rFonts w:hint="eastAsia" w:hAnsi="宋体"/>
        </w:rPr>
        <w:t>联系电话：；</w:t>
      </w:r>
    </w:p>
    <w:p>
      <w:pPr>
        <w:spacing w:line="360" w:lineRule="auto"/>
        <w:ind w:firstLine="420" w:firstLineChars="200"/>
        <w:rPr>
          <w:rFonts w:hAnsi="宋体"/>
        </w:rPr>
      </w:pPr>
      <w:r>
        <w:rPr>
          <w:rFonts w:hint="eastAsia" w:hAnsi="宋体"/>
        </w:rPr>
        <w:t>电子信箱：；</w:t>
      </w:r>
    </w:p>
    <w:p>
      <w:pPr>
        <w:spacing w:line="360" w:lineRule="auto"/>
        <w:ind w:firstLine="420" w:firstLineChars="200"/>
        <w:rPr>
          <w:rFonts w:hAnsi="宋体"/>
        </w:rPr>
      </w:pPr>
      <w:r>
        <w:rPr>
          <w:rFonts w:hint="eastAsia" w:hAnsi="宋体"/>
        </w:rPr>
        <w:t>通信地址：；</w:t>
      </w:r>
    </w:p>
    <w:p>
      <w:pPr>
        <w:spacing w:line="360" w:lineRule="auto"/>
        <w:ind w:firstLine="420" w:firstLineChars="200"/>
        <w:rPr>
          <w:rFonts w:hAnsi="宋体"/>
        </w:rPr>
      </w:pPr>
      <w:r>
        <w:rPr>
          <w:rFonts w:hint="eastAsia" w:hAnsi="宋体"/>
        </w:rPr>
        <w:t>关于监理人的其他约定：</w:t>
      </w:r>
      <w:r>
        <w:rPr>
          <w:rFonts w:hint="eastAsia" w:hAnsi="宋体"/>
          <w:u w:val="single"/>
        </w:rPr>
        <w:t xml:space="preserve"> 委派监理人对本项目进行监理。</w:t>
      </w:r>
    </w:p>
    <w:p>
      <w:pPr>
        <w:spacing w:line="360" w:lineRule="auto"/>
        <w:ind w:firstLine="420" w:firstLineChars="200"/>
        <w:rPr>
          <w:rFonts w:hAnsi="宋体"/>
        </w:rPr>
      </w:pPr>
      <w:r>
        <w:rPr>
          <w:rFonts w:hint="eastAsia" w:hAnsi="宋体"/>
        </w:rPr>
        <w:t>4.4 商定或确定</w:t>
      </w:r>
    </w:p>
    <w:p>
      <w:pPr>
        <w:spacing w:line="360" w:lineRule="auto"/>
        <w:ind w:firstLine="420" w:firstLineChars="200"/>
        <w:rPr>
          <w:rFonts w:hAnsi="宋体"/>
        </w:rPr>
      </w:pPr>
      <w:r>
        <w:rPr>
          <w:rFonts w:hint="eastAsia" w:hAnsi="宋体"/>
        </w:rPr>
        <w:t>在发包人和承包人不能通过协商达成一致意见时，发包人授权监理人对以下事项进行确定：</w:t>
      </w:r>
    </w:p>
    <w:p>
      <w:pPr>
        <w:spacing w:line="360" w:lineRule="auto"/>
        <w:ind w:firstLine="420" w:firstLineChars="200"/>
        <w:rPr>
          <w:rFonts w:hAnsi="宋体"/>
        </w:rPr>
      </w:pPr>
      <w:r>
        <w:rPr>
          <w:rFonts w:hint="eastAsia" w:hAnsi="宋体"/>
        </w:rPr>
        <w:t>（1）</w:t>
      </w:r>
      <w:r>
        <w:rPr>
          <w:rFonts w:hint="eastAsia" w:hAnsi="宋体"/>
          <w:u w:val="single"/>
        </w:rPr>
        <w:t xml:space="preserve">  /  ；</w:t>
      </w:r>
    </w:p>
    <w:p>
      <w:pPr>
        <w:spacing w:line="360" w:lineRule="auto"/>
        <w:ind w:firstLine="420" w:firstLineChars="200"/>
        <w:rPr>
          <w:rFonts w:hAnsi="宋体"/>
        </w:rPr>
      </w:pPr>
      <w:r>
        <w:rPr>
          <w:rFonts w:hint="eastAsia" w:hAnsi="宋体"/>
        </w:rPr>
        <w:t>（2）</w:t>
      </w:r>
      <w:r>
        <w:rPr>
          <w:rFonts w:hint="eastAsia" w:hAnsi="宋体"/>
          <w:u w:val="single"/>
        </w:rPr>
        <w:t xml:space="preserve">  /  ；</w:t>
      </w:r>
    </w:p>
    <w:p>
      <w:pPr>
        <w:spacing w:line="360" w:lineRule="auto"/>
        <w:ind w:firstLine="420" w:firstLineChars="200"/>
        <w:rPr>
          <w:rFonts w:hAnsi="宋体"/>
          <w:u w:val="single"/>
        </w:rPr>
      </w:pPr>
      <w:r>
        <w:rPr>
          <w:rFonts w:hint="eastAsia" w:hAnsi="宋体"/>
        </w:rPr>
        <w:t>（3）</w:t>
      </w:r>
      <w:r>
        <w:rPr>
          <w:rFonts w:hint="eastAsia" w:hAnsi="宋体"/>
          <w:u w:val="single"/>
        </w:rPr>
        <w:t xml:space="preserve">  /  ；</w:t>
      </w:r>
    </w:p>
    <w:p>
      <w:pPr>
        <w:spacing w:line="360" w:lineRule="auto"/>
        <w:rPr>
          <w:rFonts w:hAnsi="宋体"/>
        </w:rPr>
      </w:pPr>
    </w:p>
    <w:p>
      <w:pPr>
        <w:spacing w:line="360" w:lineRule="auto"/>
        <w:rPr>
          <w:rFonts w:ascii="宋体" w:hAnsi="宋体" w:cs="宋体"/>
          <w:b/>
          <w:bCs/>
        </w:rPr>
      </w:pPr>
      <w:r>
        <w:rPr>
          <w:rFonts w:hint="eastAsia" w:ascii="宋体" w:hAnsi="宋体" w:cs="宋体"/>
          <w:b/>
          <w:bCs/>
        </w:rPr>
        <w:t>5.工程质量</w:t>
      </w:r>
    </w:p>
    <w:p>
      <w:pPr>
        <w:spacing w:line="360" w:lineRule="auto"/>
        <w:ind w:firstLine="420" w:firstLineChars="200"/>
        <w:rPr>
          <w:rFonts w:ascii="宋体" w:hAnsi="宋体" w:cs="宋体"/>
        </w:rPr>
      </w:pPr>
      <w:r>
        <w:rPr>
          <w:rFonts w:hint="eastAsia" w:ascii="宋体" w:hAnsi="宋体" w:cs="宋体"/>
        </w:rPr>
        <w:t>5.1 质量要求　　</w:t>
      </w:r>
    </w:p>
    <w:p>
      <w:pPr>
        <w:spacing w:line="360" w:lineRule="auto"/>
        <w:ind w:firstLine="420" w:firstLineChars="200"/>
        <w:rPr>
          <w:rFonts w:ascii="宋体" w:hAnsi="宋体" w:cs="宋体"/>
        </w:rPr>
      </w:pPr>
      <w:r>
        <w:rPr>
          <w:rFonts w:hint="eastAsia" w:ascii="宋体" w:hAnsi="宋体" w:cs="宋体"/>
        </w:rPr>
        <w:t>5.1.1 特殊质量标准和要求：</w:t>
      </w:r>
      <w:r>
        <w:rPr>
          <w:rFonts w:hint="eastAsia" w:hAnsi="宋体"/>
          <w:u w:val="single"/>
        </w:rPr>
        <w:t xml:space="preserve">        /                          </w:t>
      </w:r>
      <w:r>
        <w:rPr>
          <w:rFonts w:hint="eastAsia" w:hAnsi="宋体"/>
        </w:rPr>
        <w:t>。</w:t>
      </w:r>
    </w:p>
    <w:p>
      <w:pPr>
        <w:spacing w:line="360" w:lineRule="auto"/>
        <w:ind w:firstLine="420" w:firstLineChars="200"/>
        <w:rPr>
          <w:rFonts w:ascii="宋体" w:hAnsi="宋体" w:cs="宋体"/>
        </w:rPr>
      </w:pPr>
      <w:r>
        <w:rPr>
          <w:rFonts w:hint="eastAsia" w:ascii="宋体" w:hAnsi="宋体" w:cs="宋体"/>
        </w:rPr>
        <w:t>　　　关于工程奖项的约定：</w:t>
      </w:r>
      <w:r>
        <w:rPr>
          <w:rFonts w:hint="eastAsia" w:hAnsi="宋体"/>
          <w:u w:val="single"/>
        </w:rPr>
        <w:t xml:space="preserve">         /                         </w:t>
      </w:r>
      <w:r>
        <w:rPr>
          <w:rFonts w:hint="eastAsia" w:hAnsi="宋体"/>
        </w:rPr>
        <w:t>。</w:t>
      </w:r>
    </w:p>
    <w:p>
      <w:pPr>
        <w:spacing w:line="360" w:lineRule="auto"/>
        <w:ind w:firstLine="420" w:firstLineChars="200"/>
        <w:rPr>
          <w:rFonts w:ascii="宋体" w:hAnsi="宋体" w:cs="宋体"/>
        </w:rPr>
      </w:pPr>
      <w:r>
        <w:rPr>
          <w:rFonts w:hint="eastAsia" w:ascii="宋体" w:hAnsi="宋体" w:cs="宋体"/>
        </w:rPr>
        <w:t>5.3 隐蔽工程检查</w:t>
      </w:r>
    </w:p>
    <w:p>
      <w:pPr>
        <w:spacing w:line="360" w:lineRule="auto"/>
        <w:rPr>
          <w:rFonts w:ascii="宋体" w:hAnsi="宋体" w:cs="宋体"/>
          <w:u w:val="single"/>
        </w:rPr>
      </w:pPr>
      <w:r>
        <w:rPr>
          <w:rFonts w:hint="eastAsia" w:ascii="宋体" w:hAnsi="宋体" w:cs="宋体"/>
        </w:rPr>
        <w:t>　　5.3.2 承包人提前通知监理人隐蔽工程检查的期限的约定：</w:t>
      </w:r>
      <w:r>
        <w:rPr>
          <w:rFonts w:hint="eastAsia" w:ascii="宋体" w:hAnsi="宋体" w:cs="宋体"/>
          <w:u w:val="single"/>
        </w:rPr>
        <w:t xml:space="preserve">  隐蔽工程和中间工程验收合格后，由发包人、监理方工程师在验收记录上签字后，承包人方可进行隐蔽和继续施工。验收不合格，承包人在工程师限定的时间内整改后重新验收，只有在重新验收合格后，承包人方可进行下一道工序施工</w:t>
      </w:r>
      <w:r>
        <w:rPr>
          <w:rFonts w:hint="eastAsia" w:hAnsi="宋体"/>
        </w:rPr>
        <w:t>。</w:t>
      </w:r>
    </w:p>
    <w:p>
      <w:pPr>
        <w:spacing w:line="360" w:lineRule="auto"/>
        <w:ind w:firstLine="420" w:firstLineChars="200"/>
        <w:rPr>
          <w:rFonts w:ascii="宋体" w:hAnsi="宋体" w:cs="宋体"/>
          <w:u w:val="single"/>
        </w:rPr>
      </w:pPr>
      <w:r>
        <w:rPr>
          <w:rFonts w:hint="eastAsia" w:ascii="宋体" w:hAnsi="宋体" w:cs="宋体"/>
        </w:rPr>
        <w:t>监理人不能按时进行检查时，应提前</w:t>
      </w:r>
      <w:r>
        <w:rPr>
          <w:rFonts w:hint="eastAsia" w:ascii="宋体" w:hAnsi="宋体" w:cs="宋体"/>
          <w:u w:val="single"/>
        </w:rPr>
        <w:t xml:space="preserve"> 24 </w:t>
      </w:r>
      <w:r>
        <w:rPr>
          <w:rFonts w:hint="eastAsia" w:ascii="宋体" w:hAnsi="宋体" w:cs="宋体"/>
        </w:rPr>
        <w:t>小时提交书面延期要求。</w:t>
      </w:r>
    </w:p>
    <w:p>
      <w:pPr>
        <w:spacing w:line="360" w:lineRule="auto"/>
        <w:ind w:firstLine="420" w:firstLineChars="200"/>
        <w:rPr>
          <w:rFonts w:ascii="宋体" w:hAnsi="宋体" w:cs="宋体"/>
        </w:rPr>
      </w:pPr>
      <w:r>
        <w:rPr>
          <w:rFonts w:hint="eastAsia" w:ascii="宋体" w:hAnsi="宋体" w:cs="宋体"/>
        </w:rPr>
        <w:t>关于延期最长不得超过：</w:t>
      </w:r>
      <w:r>
        <w:rPr>
          <w:rFonts w:hint="eastAsia" w:ascii="宋体" w:hAnsi="宋体" w:cs="宋体"/>
          <w:u w:val="single"/>
        </w:rPr>
        <w:t xml:space="preserve"> 48  </w:t>
      </w:r>
      <w:r>
        <w:rPr>
          <w:rFonts w:hint="eastAsia" w:ascii="宋体" w:hAnsi="宋体" w:cs="宋体"/>
        </w:rPr>
        <w:t>小时。</w:t>
      </w:r>
    </w:p>
    <w:p>
      <w:pPr>
        <w:spacing w:line="360" w:lineRule="auto"/>
        <w:rPr>
          <w:rFonts w:ascii="宋体" w:hAnsi="宋体" w:cs="宋体"/>
        </w:rPr>
      </w:pPr>
    </w:p>
    <w:p>
      <w:pPr>
        <w:spacing w:line="360" w:lineRule="auto"/>
        <w:rPr>
          <w:rFonts w:ascii="宋体" w:hAnsi="宋体" w:cs="宋体"/>
          <w:b/>
          <w:bCs/>
        </w:rPr>
      </w:pPr>
      <w:r>
        <w:rPr>
          <w:rFonts w:hint="eastAsia" w:ascii="宋体" w:hAnsi="宋体" w:cs="宋体"/>
          <w:b/>
          <w:bCs/>
        </w:rPr>
        <w:t>6.安全文明施工与环境保护</w:t>
      </w:r>
    </w:p>
    <w:p>
      <w:pPr>
        <w:spacing w:line="360" w:lineRule="auto"/>
        <w:ind w:firstLine="420" w:firstLineChars="200"/>
        <w:rPr>
          <w:rFonts w:ascii="宋体" w:hAnsi="宋体" w:cs="宋体"/>
        </w:rPr>
      </w:pPr>
      <w:r>
        <w:rPr>
          <w:rFonts w:hint="eastAsia" w:ascii="宋体" w:hAnsi="宋体" w:cs="宋体"/>
        </w:rPr>
        <w:t>6.1 安全文明施工</w:t>
      </w:r>
    </w:p>
    <w:p>
      <w:pPr>
        <w:spacing w:line="360" w:lineRule="auto"/>
        <w:ind w:firstLine="420" w:firstLineChars="200"/>
        <w:rPr>
          <w:rFonts w:ascii="宋体" w:hAnsi="宋体" w:cs="宋体"/>
        </w:rPr>
      </w:pPr>
      <w:r>
        <w:rPr>
          <w:rFonts w:hint="eastAsia" w:ascii="宋体" w:hAnsi="宋体" w:cs="宋体"/>
        </w:rPr>
        <w:t>6.1.1 项目安全生产的达标目标及相应事项的约定：</w:t>
      </w:r>
      <w:r>
        <w:rPr>
          <w:rFonts w:hint="eastAsia" w:hAnsi="宋体"/>
          <w:u w:val="single"/>
        </w:rPr>
        <w:t xml:space="preserve"> 要求达到《建筑施工安全检查标准》（JGJ59-2011）标准 </w:t>
      </w:r>
      <w:r>
        <w:rPr>
          <w:rFonts w:hint="eastAsia" w:hAnsi="宋体"/>
        </w:rPr>
        <w:t>。</w:t>
      </w:r>
    </w:p>
    <w:p>
      <w:pPr>
        <w:spacing w:line="360" w:lineRule="auto"/>
        <w:ind w:firstLine="420" w:firstLineChars="200"/>
        <w:rPr>
          <w:rFonts w:ascii="宋体" w:hAnsi="宋体" w:cs="宋体"/>
        </w:rPr>
      </w:pPr>
      <w:r>
        <w:rPr>
          <w:rFonts w:hint="eastAsia" w:ascii="宋体" w:hAnsi="宋体" w:cs="宋体"/>
        </w:rPr>
        <w:t>6.1.4 关于治安保卫的特别约定：</w:t>
      </w:r>
      <w:r>
        <w:rPr>
          <w:rFonts w:hint="eastAsia" w:hAnsi="宋体"/>
          <w:u w:val="single"/>
        </w:rPr>
        <w:t xml:space="preserve"> 执行通用条款 </w:t>
      </w:r>
      <w:r>
        <w:rPr>
          <w:rFonts w:hint="eastAsia" w:hAnsi="宋体"/>
        </w:rPr>
        <w:t>。</w:t>
      </w:r>
    </w:p>
    <w:p>
      <w:pPr>
        <w:spacing w:line="360" w:lineRule="auto"/>
        <w:ind w:firstLine="420" w:firstLineChars="200"/>
        <w:rPr>
          <w:rFonts w:ascii="宋体" w:hAnsi="宋体" w:cs="宋体"/>
        </w:rPr>
      </w:pPr>
      <w:r>
        <w:rPr>
          <w:rFonts w:hint="eastAsia" w:ascii="宋体" w:hAnsi="宋体" w:cs="宋体"/>
        </w:rPr>
        <w:t>关于编制施工场地治安管理计划的约定：</w:t>
      </w:r>
      <w:r>
        <w:rPr>
          <w:rFonts w:hint="eastAsia" w:hAnsi="宋体"/>
          <w:u w:val="single"/>
        </w:rPr>
        <w:t xml:space="preserve">  开工前提供施工场地治安管理计划  </w:t>
      </w:r>
      <w:r>
        <w:rPr>
          <w:rFonts w:hint="eastAsia" w:hAnsi="宋体"/>
        </w:rPr>
        <w:t>。</w:t>
      </w:r>
    </w:p>
    <w:p>
      <w:pPr>
        <w:spacing w:line="360" w:lineRule="auto"/>
        <w:ind w:firstLine="420" w:firstLineChars="200"/>
        <w:rPr>
          <w:rFonts w:ascii="宋体" w:hAnsi="宋体" w:cs="宋体"/>
        </w:rPr>
      </w:pPr>
      <w:r>
        <w:rPr>
          <w:rFonts w:hint="eastAsia" w:ascii="宋体" w:hAnsi="宋体" w:cs="宋体"/>
        </w:rPr>
        <w:t>6.1.5 文明施工</w:t>
      </w:r>
    </w:p>
    <w:p>
      <w:pPr>
        <w:spacing w:line="360" w:lineRule="auto"/>
        <w:ind w:firstLine="420" w:firstLineChars="200"/>
        <w:rPr>
          <w:rFonts w:ascii="宋体" w:hAnsi="宋体" w:cs="宋体"/>
        </w:rPr>
      </w:pPr>
      <w:r>
        <w:rPr>
          <w:rFonts w:hint="eastAsia" w:ascii="宋体" w:hAnsi="宋体" w:cs="宋体"/>
        </w:rPr>
        <w:t>合同当事人对文明施工的要求：</w:t>
      </w:r>
      <w:r>
        <w:rPr>
          <w:rFonts w:hint="eastAsia" w:hAnsi="宋体"/>
          <w:u w:val="single"/>
        </w:rPr>
        <w:t xml:space="preserve">  按各级行政监督部门的要求文明施工，随时接受并配合招标人及各部门的检查   </w:t>
      </w:r>
      <w:r>
        <w:rPr>
          <w:rFonts w:hint="eastAsia" w:hAnsi="宋体"/>
        </w:rPr>
        <w:t>。</w:t>
      </w:r>
    </w:p>
    <w:p>
      <w:pPr>
        <w:spacing w:line="360" w:lineRule="auto"/>
        <w:ind w:firstLine="420" w:firstLineChars="200"/>
        <w:rPr>
          <w:rFonts w:ascii="宋体" w:hAnsi="宋体" w:cs="宋体"/>
        </w:rPr>
      </w:pPr>
      <w:r>
        <w:rPr>
          <w:rFonts w:hint="eastAsia" w:ascii="宋体" w:hAnsi="宋体" w:cs="宋体"/>
        </w:rPr>
        <w:t>6.1.6 关于安全文明施工费支付比例和支付期限的约定：</w:t>
      </w:r>
      <w:r>
        <w:rPr>
          <w:rFonts w:hint="eastAsia" w:hAnsi="宋体"/>
          <w:u w:val="single"/>
        </w:rPr>
        <w:t xml:space="preserve">  安全防护费及文明施工费已包括在合同总价范围内，承包人需确保施工安全，承担现场人员的全部安全责任 </w:t>
      </w:r>
      <w:r>
        <w:rPr>
          <w:rFonts w:hint="eastAsia" w:hAnsi="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7.工期和进度</w:t>
      </w:r>
    </w:p>
    <w:p>
      <w:pPr>
        <w:spacing w:line="360" w:lineRule="auto"/>
        <w:ind w:firstLine="420" w:firstLineChars="200"/>
        <w:rPr>
          <w:rFonts w:ascii="宋体" w:hAnsi="宋体" w:cs="宋体"/>
        </w:rPr>
      </w:pPr>
      <w:r>
        <w:rPr>
          <w:rFonts w:hint="eastAsia" w:ascii="宋体" w:hAnsi="宋体" w:cs="宋体"/>
        </w:rPr>
        <w:t>7.1 施工组织设计</w:t>
      </w:r>
    </w:p>
    <w:p>
      <w:pPr>
        <w:spacing w:line="360" w:lineRule="auto"/>
        <w:ind w:firstLine="420" w:firstLineChars="200"/>
        <w:rPr>
          <w:rFonts w:ascii="宋体" w:hAnsi="宋体" w:cs="宋体"/>
        </w:rPr>
      </w:pPr>
      <w:r>
        <w:rPr>
          <w:rFonts w:hint="eastAsia" w:ascii="宋体" w:hAnsi="宋体" w:cs="宋体"/>
        </w:rPr>
        <w:t>7.1.1 合同当事人约定的施工组织设计应包括的其他内容：</w:t>
      </w:r>
      <w:r>
        <w:rPr>
          <w:rFonts w:hint="eastAsia" w:hAnsi="宋体"/>
          <w:u w:val="single"/>
        </w:rPr>
        <w:t xml:space="preserve"> 按招标文件约定，招标文件无约定的按通用条款或双方另行约定 </w:t>
      </w:r>
      <w:r>
        <w:rPr>
          <w:rFonts w:hint="eastAsia" w:hAnsi="宋体"/>
        </w:rPr>
        <w:t>。</w:t>
      </w:r>
    </w:p>
    <w:p>
      <w:pPr>
        <w:spacing w:line="360" w:lineRule="auto"/>
        <w:ind w:firstLine="420" w:firstLineChars="200"/>
        <w:rPr>
          <w:rFonts w:ascii="宋体" w:hAnsi="宋体" w:cs="宋体"/>
        </w:rPr>
      </w:pPr>
      <w:r>
        <w:rPr>
          <w:rFonts w:hint="eastAsia" w:ascii="宋体" w:hAnsi="宋体" w:cs="宋体"/>
        </w:rPr>
        <w:t>7.1.2 施工组织设计的提交和修改</w:t>
      </w:r>
    </w:p>
    <w:p>
      <w:pPr>
        <w:spacing w:line="360" w:lineRule="auto"/>
        <w:ind w:firstLine="420" w:firstLineChars="200"/>
        <w:rPr>
          <w:rFonts w:ascii="宋体" w:hAnsi="宋体" w:cs="宋体"/>
        </w:rPr>
      </w:pPr>
      <w:r>
        <w:rPr>
          <w:rFonts w:hint="eastAsia" w:ascii="宋体" w:hAnsi="宋体" w:cs="宋体"/>
        </w:rPr>
        <w:t>承包人提交详细施工组织设计的期限的约定：</w:t>
      </w:r>
      <w:r>
        <w:rPr>
          <w:rFonts w:hint="eastAsia" w:hAnsi="宋体"/>
          <w:u w:val="single"/>
        </w:rPr>
        <w:t xml:space="preserve"> 开工前  </w:t>
      </w:r>
      <w:r>
        <w:rPr>
          <w:rFonts w:hint="eastAsia" w:ascii="宋体" w:hAnsi="宋体" w:cs="宋体"/>
        </w:rPr>
        <w:t>。</w:t>
      </w:r>
    </w:p>
    <w:p>
      <w:pPr>
        <w:spacing w:line="360" w:lineRule="auto"/>
        <w:ind w:firstLine="420" w:firstLineChars="200"/>
        <w:rPr>
          <w:rFonts w:hAnsi="宋体"/>
        </w:rPr>
      </w:pPr>
      <w:r>
        <w:rPr>
          <w:rFonts w:hint="eastAsia" w:ascii="宋体" w:hAnsi="宋体" w:cs="宋体"/>
        </w:rPr>
        <w:t>发包人和监理人在收到详细的施工组织设计后确认或提出修改意见的期限：</w:t>
      </w:r>
      <w:r>
        <w:rPr>
          <w:rFonts w:hint="eastAsia" w:ascii="宋体" w:hAnsi="宋体" w:cs="宋体"/>
          <w:u w:val="single"/>
        </w:rPr>
        <w:t xml:space="preserve"> 收到后7天内 </w:t>
      </w:r>
      <w:r>
        <w:rPr>
          <w:rFonts w:hint="eastAsia" w:hAnsi="宋体"/>
        </w:rPr>
        <w:t>。</w:t>
      </w:r>
    </w:p>
    <w:p>
      <w:pPr>
        <w:spacing w:line="360" w:lineRule="auto"/>
        <w:ind w:firstLine="420" w:firstLineChars="200"/>
        <w:rPr>
          <w:rFonts w:hAnsi="宋体"/>
        </w:rPr>
      </w:pPr>
      <w:r>
        <w:rPr>
          <w:rFonts w:hint="eastAsia" w:hAnsi="宋体"/>
        </w:rPr>
        <w:t>7.2 施工进度计划</w:t>
      </w:r>
    </w:p>
    <w:p>
      <w:pPr>
        <w:spacing w:line="360" w:lineRule="auto"/>
        <w:ind w:firstLine="420" w:firstLineChars="200"/>
        <w:rPr>
          <w:rFonts w:hAnsi="宋体"/>
        </w:rPr>
      </w:pPr>
      <w:r>
        <w:rPr>
          <w:rFonts w:hint="eastAsia" w:hAnsi="宋体"/>
        </w:rPr>
        <w:t>7.2.2 施工进度计划的修订</w:t>
      </w:r>
    </w:p>
    <w:p>
      <w:pPr>
        <w:spacing w:line="360" w:lineRule="auto"/>
        <w:ind w:firstLine="420" w:firstLineChars="200"/>
        <w:rPr>
          <w:rFonts w:hAnsi="宋体"/>
          <w:u w:val="single"/>
        </w:rPr>
      </w:pPr>
      <w:r>
        <w:rPr>
          <w:rFonts w:hint="eastAsia" w:hAnsi="宋体"/>
        </w:rPr>
        <w:t>发包人和监理人在收到修订的施工进度计划后确认或提出修改意见的期限：</w:t>
      </w:r>
      <w:r>
        <w:rPr>
          <w:rFonts w:hint="eastAsia" w:hAnsi="宋体"/>
          <w:u w:val="single"/>
        </w:rPr>
        <w:t xml:space="preserve"> 收到后5天内 </w:t>
      </w:r>
      <w:r>
        <w:rPr>
          <w:rFonts w:hint="eastAsia" w:hAnsi="宋体"/>
        </w:rPr>
        <w:t>。</w:t>
      </w:r>
    </w:p>
    <w:p>
      <w:pPr>
        <w:spacing w:line="360" w:lineRule="auto"/>
        <w:ind w:firstLine="420" w:firstLineChars="200"/>
        <w:rPr>
          <w:rFonts w:ascii="宋体" w:hAnsi="宋体" w:cs="宋体"/>
        </w:rPr>
      </w:pPr>
      <w:r>
        <w:rPr>
          <w:rFonts w:hint="eastAsia" w:ascii="宋体" w:hAnsi="宋体" w:cs="宋体"/>
        </w:rPr>
        <w:t>7.3 开工</w:t>
      </w:r>
    </w:p>
    <w:p>
      <w:pPr>
        <w:spacing w:line="360" w:lineRule="auto"/>
        <w:ind w:firstLine="420" w:firstLineChars="200"/>
        <w:rPr>
          <w:rFonts w:ascii="宋体" w:hAnsi="宋体" w:cs="宋体"/>
        </w:rPr>
      </w:pPr>
      <w:r>
        <w:rPr>
          <w:rFonts w:hint="eastAsia" w:ascii="宋体" w:hAnsi="宋体" w:cs="宋体"/>
        </w:rPr>
        <w:t>7.3.1 开工准备</w:t>
      </w:r>
    </w:p>
    <w:p>
      <w:pPr>
        <w:spacing w:line="360" w:lineRule="auto"/>
        <w:ind w:firstLine="420" w:firstLineChars="200"/>
        <w:rPr>
          <w:rFonts w:ascii="宋体" w:hAnsi="宋体" w:cs="宋体"/>
        </w:rPr>
      </w:pPr>
      <w:r>
        <w:rPr>
          <w:rFonts w:hint="eastAsia" w:ascii="宋体" w:hAnsi="宋体" w:cs="宋体"/>
        </w:rPr>
        <w:t>关于承包人提交工程开工报审表的期限：</w:t>
      </w:r>
      <w:r>
        <w:rPr>
          <w:rFonts w:hint="eastAsia" w:ascii="宋体" w:hAnsi="宋体" w:cs="宋体"/>
          <w:u w:val="single"/>
        </w:rPr>
        <w:t xml:space="preserve"> 合同签订后、开工前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关于发包人应完成的其他开工准备工作及期限：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关于承包人应完成的其他开工准备工作及期限：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7.3.2 开工通知</w:t>
      </w:r>
    </w:p>
    <w:p>
      <w:pPr>
        <w:spacing w:line="360" w:lineRule="auto"/>
        <w:ind w:firstLine="420" w:firstLineChars="200"/>
        <w:rPr>
          <w:rFonts w:ascii="宋体" w:hAnsi="宋体" w:cs="宋体"/>
        </w:rPr>
      </w:pPr>
      <w:r>
        <w:rPr>
          <w:rFonts w:hint="eastAsia" w:ascii="宋体" w:hAnsi="宋体" w:cs="宋体"/>
        </w:rPr>
        <w:t>因发包人原因造成监理人未能在计划开工日期之日起</w:t>
      </w:r>
      <w:r>
        <w:rPr>
          <w:rFonts w:hint="eastAsia" w:ascii="宋体" w:hAnsi="宋体" w:cs="宋体"/>
          <w:u w:val="single"/>
        </w:rPr>
        <w:t>60</w:t>
      </w:r>
      <w:r>
        <w:rPr>
          <w:rFonts w:hint="eastAsia" w:ascii="宋体" w:hAnsi="宋体" w:cs="宋体"/>
        </w:rPr>
        <w:t>天内发出开工通知的，承包人有权提出价格调整要求，或者解除合同。</w:t>
      </w:r>
    </w:p>
    <w:p>
      <w:pPr>
        <w:spacing w:line="360" w:lineRule="auto"/>
        <w:ind w:firstLine="420" w:firstLineChars="200"/>
        <w:rPr>
          <w:rFonts w:ascii="宋体" w:hAnsi="宋体" w:cs="宋体"/>
        </w:rPr>
      </w:pPr>
      <w:r>
        <w:rPr>
          <w:rFonts w:hint="eastAsia" w:ascii="宋体" w:hAnsi="宋体" w:cs="宋体"/>
        </w:rPr>
        <w:t>7.4 测量放线</w:t>
      </w:r>
    </w:p>
    <w:p>
      <w:pPr>
        <w:spacing w:line="360" w:lineRule="auto"/>
        <w:rPr>
          <w:rFonts w:ascii="宋体" w:hAnsi="宋体" w:cs="宋体"/>
          <w:u w:val="single"/>
        </w:rPr>
      </w:pPr>
      <w:r>
        <w:rPr>
          <w:rFonts w:hint="eastAsia" w:ascii="宋体" w:hAnsi="宋体" w:cs="宋体"/>
        </w:rPr>
        <w:t>7.4.1 发包人通过监理人向承包人提供测量基准点、基准线和水准点及其书面资料的期限：</w:t>
      </w:r>
      <w:r>
        <w:rPr>
          <w:rFonts w:hint="eastAsia" w:ascii="宋体" w:hAnsi="宋体" w:cs="宋体"/>
          <w:u w:val="single"/>
        </w:rPr>
        <w:t xml:space="preserve">合同签订后、开工前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7.5 工期延误</w:t>
      </w:r>
    </w:p>
    <w:p>
      <w:pPr>
        <w:spacing w:line="360" w:lineRule="auto"/>
        <w:ind w:firstLine="420" w:firstLineChars="200"/>
        <w:rPr>
          <w:rFonts w:ascii="宋体" w:hAnsi="宋体" w:cs="宋体"/>
        </w:rPr>
      </w:pPr>
      <w:r>
        <w:rPr>
          <w:rFonts w:hint="eastAsia" w:ascii="宋体" w:hAnsi="宋体" w:cs="宋体"/>
        </w:rPr>
        <w:t>7.5.1 因发包人原因导致工期延误</w:t>
      </w:r>
    </w:p>
    <w:p>
      <w:pPr>
        <w:spacing w:line="360" w:lineRule="auto"/>
        <w:ind w:firstLine="420" w:firstLineChars="200"/>
        <w:rPr>
          <w:rFonts w:ascii="宋体" w:hAnsi="宋体" w:cs="宋体"/>
        </w:rPr>
      </w:pPr>
      <w:r>
        <w:rPr>
          <w:rFonts w:hint="eastAsia" w:ascii="宋体" w:hAnsi="宋体" w:cs="宋体"/>
        </w:rPr>
        <w:t>（7）因发包人原因导致工期延误的其他情形：</w:t>
      </w:r>
      <w:r>
        <w:rPr>
          <w:rFonts w:hint="eastAsia" w:ascii="宋体" w:hAnsi="宋体" w:cs="宋体"/>
          <w:u w:val="single"/>
        </w:rPr>
        <w:t xml:space="preserve"> 因以下原因造成工期延误，经发包方工程师确认，工期相应顺延：（1）发包人不按合同约定提供图纸及开工条件；（2）发包人未能按约定日期支付工程进度款，致使施工不能正常进行；（3）发包方工程师未能按约定提供所需指令、批准等，致使施工不能正常进行；（4）影响工期的设计变更和工程量增加；（5）一周内因市政原因停水、停电造成停工累计超过8小时；（6）不可抗力；（7）发包方工程师同意工期顺延的其他情况。承包人在以上情况发生后7天内，就延误的工期以书面形式向发包方工程师提出报告。发包人工程师在收到报告后7天内予以确认，逾期不予以确认也不提出修改意见，视为同意顺延工期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7.5.2 因承包人原因导致工期延误</w:t>
      </w:r>
    </w:p>
    <w:p>
      <w:pPr>
        <w:spacing w:line="360" w:lineRule="auto"/>
        <w:ind w:firstLine="420" w:firstLineChars="200"/>
        <w:rPr>
          <w:rFonts w:ascii="宋体" w:hAnsi="宋体" w:cs="宋体"/>
        </w:rPr>
      </w:pPr>
      <w:r>
        <w:rPr>
          <w:rFonts w:hint="eastAsia" w:ascii="宋体" w:hAnsi="宋体" w:cs="宋体"/>
        </w:rPr>
        <w:t>因承包人原因造成工期延误，逾期竣工违约金的计算方法为：</w:t>
      </w:r>
      <w:r>
        <w:rPr>
          <w:rFonts w:hint="eastAsia" w:ascii="宋体" w:hAnsi="宋体" w:cs="宋体"/>
          <w:u w:val="single"/>
        </w:rPr>
        <w:t xml:space="preserve"> 工期延迟按合同总价的万分之五/天处罚承包人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因承包人原因造成工期延误，逾期竣工违约金的上限：</w:t>
      </w:r>
      <w:r>
        <w:rPr>
          <w:rFonts w:hint="eastAsia" w:ascii="宋体" w:hAnsi="宋体" w:cs="宋体"/>
          <w:u w:val="single"/>
        </w:rPr>
        <w:t xml:space="preserve"> 总额不超过合同价款的10%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7.6 不利物质条件</w:t>
      </w:r>
    </w:p>
    <w:p>
      <w:pPr>
        <w:spacing w:line="360" w:lineRule="auto"/>
        <w:ind w:firstLine="420" w:firstLineChars="200"/>
        <w:rPr>
          <w:rFonts w:ascii="宋体" w:hAnsi="宋体" w:cs="宋体"/>
        </w:rPr>
      </w:pPr>
      <w:r>
        <w:rPr>
          <w:rFonts w:hint="eastAsia" w:ascii="宋体" w:hAnsi="宋体" w:cs="宋体"/>
        </w:rPr>
        <w:t>不利物质条件的其他情形和有关约定：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7.7 异常恶劣的气候条件</w:t>
      </w:r>
    </w:p>
    <w:p>
      <w:pPr>
        <w:spacing w:line="360" w:lineRule="auto"/>
        <w:ind w:firstLine="420" w:firstLineChars="200"/>
        <w:rPr>
          <w:rFonts w:ascii="宋体" w:hAnsi="宋体" w:cs="宋体"/>
        </w:rPr>
      </w:pPr>
      <w:r>
        <w:rPr>
          <w:rFonts w:hint="eastAsia" w:ascii="宋体" w:hAnsi="宋体" w:cs="宋体"/>
        </w:rPr>
        <w:t>发包人和承包人同意以下情形视为异常恶劣的气候条件：</w:t>
      </w:r>
    </w:p>
    <w:p>
      <w:pPr>
        <w:spacing w:line="360" w:lineRule="auto"/>
        <w:ind w:firstLine="420" w:firstLineChars="200"/>
        <w:rPr>
          <w:rFonts w:ascii="宋体" w:hAnsi="宋体" w:cs="宋体"/>
        </w:rPr>
      </w:pPr>
      <w:r>
        <w:rPr>
          <w:rFonts w:hint="eastAsia" w:ascii="宋体" w:hAnsi="宋体" w:cs="宋体"/>
        </w:rPr>
        <w:t>（1）</w:t>
      </w:r>
      <w:r>
        <w:rPr>
          <w:rFonts w:hint="eastAsia" w:ascii="宋体" w:hAnsi="宋体" w:cs="宋体"/>
          <w:u w:val="single"/>
        </w:rPr>
        <w:t xml:space="preserve"> 双方另行约定 ；</w:t>
      </w:r>
    </w:p>
    <w:p>
      <w:pPr>
        <w:spacing w:line="360" w:lineRule="auto"/>
        <w:ind w:firstLine="420" w:firstLineChars="200"/>
        <w:rPr>
          <w:rFonts w:ascii="宋体" w:hAnsi="宋体" w:cs="宋体"/>
        </w:rPr>
      </w:pPr>
      <w:r>
        <w:rPr>
          <w:rFonts w:hint="eastAsia" w:ascii="宋体" w:hAnsi="宋体" w:cs="宋体"/>
        </w:rPr>
        <w:t>（2）</w:t>
      </w:r>
      <w:r>
        <w:rPr>
          <w:rFonts w:hint="eastAsia" w:ascii="宋体" w:hAnsi="宋体" w:cs="宋体"/>
          <w:u w:val="single"/>
        </w:rPr>
        <w:t xml:space="preserve"> /  ；</w:t>
      </w:r>
    </w:p>
    <w:p>
      <w:pPr>
        <w:spacing w:line="360" w:lineRule="auto"/>
        <w:ind w:firstLine="420" w:firstLineChars="200"/>
        <w:rPr>
          <w:rFonts w:ascii="宋体" w:hAnsi="宋体" w:cs="宋体"/>
        </w:rPr>
      </w:pPr>
      <w:r>
        <w:rPr>
          <w:rFonts w:hint="eastAsia" w:ascii="宋体" w:hAnsi="宋体" w:cs="宋体"/>
        </w:rPr>
        <w:t>（3）</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7.9 提前竣工的奖励</w:t>
      </w:r>
    </w:p>
    <w:p>
      <w:pPr>
        <w:spacing w:line="360" w:lineRule="auto"/>
        <w:ind w:firstLine="420" w:firstLineChars="200"/>
        <w:rPr>
          <w:rFonts w:ascii="宋体" w:hAnsi="宋体" w:cs="宋体"/>
        </w:rPr>
      </w:pPr>
      <w:r>
        <w:rPr>
          <w:rFonts w:hint="eastAsia" w:ascii="宋体" w:hAnsi="宋体" w:cs="宋体"/>
        </w:rPr>
        <w:t>7.9.2 提前竣工的奖励：</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p>
    <w:p>
      <w:pPr>
        <w:spacing w:line="360" w:lineRule="auto"/>
        <w:ind w:firstLine="422" w:firstLineChars="200"/>
        <w:rPr>
          <w:rFonts w:ascii="宋体" w:hAnsi="宋体" w:cs="宋体"/>
          <w:b/>
          <w:bCs/>
        </w:rPr>
      </w:pPr>
      <w:r>
        <w:rPr>
          <w:rFonts w:hint="eastAsia" w:ascii="宋体" w:hAnsi="宋体" w:cs="宋体"/>
          <w:b/>
          <w:bCs/>
        </w:rPr>
        <w:t>8.材料与设备</w:t>
      </w:r>
    </w:p>
    <w:p>
      <w:pPr>
        <w:spacing w:line="360" w:lineRule="auto"/>
        <w:ind w:firstLine="420" w:firstLineChars="200"/>
        <w:rPr>
          <w:rFonts w:ascii="宋体" w:hAnsi="宋体" w:cs="宋体"/>
        </w:rPr>
      </w:pPr>
      <w:r>
        <w:rPr>
          <w:rFonts w:hint="eastAsia" w:ascii="宋体" w:hAnsi="宋体" w:cs="宋体"/>
        </w:rPr>
        <w:t>8.4 材料与工程设备的保管与使用</w:t>
      </w:r>
    </w:p>
    <w:p>
      <w:pPr>
        <w:spacing w:line="360" w:lineRule="auto"/>
        <w:ind w:firstLine="420" w:firstLineChars="200"/>
        <w:rPr>
          <w:rFonts w:ascii="宋体" w:hAnsi="宋体" w:cs="宋体"/>
        </w:rPr>
      </w:pPr>
      <w:r>
        <w:rPr>
          <w:rFonts w:hint="eastAsia" w:ascii="宋体" w:hAnsi="宋体" w:cs="宋体"/>
        </w:rPr>
        <w:t>8.4.1 发包人供应的材料设备的保管费用的承担：</w:t>
      </w:r>
      <w:r>
        <w:rPr>
          <w:rFonts w:hint="eastAsia" w:hAnsi="宋体"/>
          <w:u w:val="single"/>
        </w:rPr>
        <w:t xml:space="preserve"> 由承包人承担 </w:t>
      </w:r>
      <w:r>
        <w:rPr>
          <w:rFonts w:hint="eastAsia" w:hAnsi="宋体"/>
        </w:rPr>
        <w:t>。</w:t>
      </w:r>
    </w:p>
    <w:p>
      <w:pPr>
        <w:spacing w:line="360" w:lineRule="auto"/>
        <w:ind w:firstLine="420" w:firstLineChars="200"/>
        <w:rPr>
          <w:rFonts w:hAnsi="宋体"/>
        </w:rPr>
      </w:pPr>
      <w:r>
        <w:rPr>
          <w:rFonts w:hint="eastAsia" w:hAnsi="宋体"/>
        </w:rPr>
        <w:t>8.6 样品</w:t>
      </w:r>
    </w:p>
    <w:p>
      <w:pPr>
        <w:spacing w:line="360" w:lineRule="auto"/>
        <w:ind w:firstLine="420" w:firstLineChars="200"/>
        <w:rPr>
          <w:rFonts w:hAnsi="宋体"/>
        </w:rPr>
      </w:pPr>
      <w:r>
        <w:rPr>
          <w:rFonts w:hint="eastAsia" w:hAnsi="宋体"/>
        </w:rPr>
        <w:t>8.6.1 样品的报送与封存</w:t>
      </w:r>
    </w:p>
    <w:p>
      <w:pPr>
        <w:spacing w:line="360" w:lineRule="auto"/>
        <w:rPr>
          <w:rFonts w:hAnsi="宋体"/>
        </w:rPr>
      </w:pPr>
      <w:r>
        <w:rPr>
          <w:rFonts w:hint="eastAsia" w:hAnsi="宋体"/>
        </w:rPr>
        <w:t>需要承包人报送样品的材料或工程设备，样品的种类、名称、规格、数量要求：</w:t>
      </w:r>
      <w:r>
        <w:rPr>
          <w:rFonts w:hint="eastAsia" w:hAnsi="宋体"/>
          <w:u w:val="single"/>
        </w:rPr>
        <w:t xml:space="preserve"> 建筑、装饰、安装等主要材料必须采用质量合格并经建设单位认可 </w:t>
      </w:r>
      <w:r>
        <w:rPr>
          <w:rFonts w:hint="eastAsia" w:hAnsi="宋体"/>
        </w:rPr>
        <w:t>。</w:t>
      </w:r>
    </w:p>
    <w:p>
      <w:pPr>
        <w:spacing w:line="360" w:lineRule="auto"/>
        <w:ind w:firstLine="420" w:firstLineChars="200"/>
        <w:rPr>
          <w:rFonts w:ascii="宋体" w:hAnsi="宋体" w:cs="宋体"/>
        </w:rPr>
      </w:pPr>
      <w:r>
        <w:rPr>
          <w:rFonts w:hint="eastAsia" w:ascii="宋体" w:hAnsi="宋体" w:cs="宋体"/>
        </w:rPr>
        <w:t>8.8 施工设备和临时设施</w:t>
      </w:r>
    </w:p>
    <w:p>
      <w:pPr>
        <w:spacing w:line="360" w:lineRule="auto"/>
        <w:ind w:firstLine="420" w:firstLineChars="200"/>
        <w:rPr>
          <w:rFonts w:ascii="宋体" w:hAnsi="宋体" w:cs="宋体"/>
        </w:rPr>
      </w:pPr>
      <w:r>
        <w:rPr>
          <w:rFonts w:hint="eastAsia" w:ascii="宋体" w:hAnsi="宋体" w:cs="宋体"/>
        </w:rPr>
        <w:t>8.8.1 承包人提供的施工设备和临时设施</w:t>
      </w:r>
    </w:p>
    <w:p>
      <w:pPr>
        <w:spacing w:line="360" w:lineRule="auto"/>
        <w:ind w:firstLine="420" w:firstLineChars="200"/>
        <w:rPr>
          <w:rFonts w:ascii="宋体" w:hAnsi="宋体" w:cs="宋体"/>
        </w:rPr>
      </w:pPr>
      <w:r>
        <w:rPr>
          <w:rFonts w:hint="eastAsia" w:ascii="宋体" w:hAnsi="宋体" w:cs="宋体"/>
        </w:rPr>
        <w:t>关于修建临时设施费用承担的约定：</w:t>
      </w:r>
      <w:r>
        <w:rPr>
          <w:rFonts w:hint="eastAsia" w:ascii="宋体" w:hAnsi="宋体" w:cs="宋体"/>
          <w:u w:val="single"/>
        </w:rPr>
        <w:t xml:space="preserve">  由承包人承担  </w:t>
      </w:r>
      <w:r>
        <w:rPr>
          <w:rFonts w:hint="eastAsia" w:ascii="宋体" w:hAnsi="宋体" w:cs="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9.试验与检验</w:t>
      </w:r>
    </w:p>
    <w:p>
      <w:pPr>
        <w:spacing w:line="360" w:lineRule="auto"/>
        <w:ind w:firstLine="420" w:firstLineChars="200"/>
        <w:rPr>
          <w:rFonts w:ascii="宋体" w:hAnsi="宋体" w:cs="宋体"/>
        </w:rPr>
      </w:pPr>
      <w:r>
        <w:rPr>
          <w:rFonts w:hint="eastAsia" w:ascii="宋体" w:hAnsi="宋体" w:cs="宋体"/>
        </w:rPr>
        <w:t>试验与检验费用的约定：</w:t>
      </w:r>
      <w:r>
        <w:rPr>
          <w:rFonts w:hint="eastAsia" w:hAnsi="宋体"/>
          <w:u w:val="single"/>
        </w:rPr>
        <w:t xml:space="preserve">  由承包人自行承担，已包含在中标金额内   </w:t>
      </w:r>
      <w:r>
        <w:rPr>
          <w:rFonts w:hint="eastAsia" w:hAnsi="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10.变更</w:t>
      </w:r>
    </w:p>
    <w:p>
      <w:pPr>
        <w:spacing w:line="360" w:lineRule="auto"/>
        <w:ind w:firstLine="420" w:firstLineChars="200"/>
        <w:rPr>
          <w:rFonts w:ascii="宋体" w:hAnsi="宋体" w:cs="宋体"/>
        </w:rPr>
      </w:pPr>
      <w:r>
        <w:rPr>
          <w:rFonts w:hint="eastAsia" w:ascii="宋体" w:hAnsi="宋体" w:cs="宋体"/>
        </w:rPr>
        <w:t>10.1 变更的范围</w:t>
      </w:r>
    </w:p>
    <w:p>
      <w:pPr>
        <w:spacing w:line="360" w:lineRule="auto"/>
        <w:ind w:firstLine="420" w:firstLineChars="200"/>
        <w:rPr>
          <w:rFonts w:ascii="宋体" w:hAnsi="宋体" w:cs="宋体"/>
        </w:rPr>
      </w:pPr>
      <w:r>
        <w:rPr>
          <w:rFonts w:hint="eastAsia" w:ascii="宋体" w:hAnsi="宋体" w:cs="宋体"/>
        </w:rPr>
        <w:t>关于变更的范围的约定：</w:t>
      </w:r>
      <w:r>
        <w:rPr>
          <w:rFonts w:hint="eastAsia" w:hAnsi="宋体"/>
          <w:u w:val="single"/>
        </w:rPr>
        <w:t xml:space="preserve"> （1）经建设单位签字认可的设计变更；（2）经施工单位、监理单位、建设单位确认的索赔与现场签证  </w:t>
      </w:r>
      <w:r>
        <w:rPr>
          <w:rFonts w:hint="eastAsia" w:hAnsi="宋体"/>
        </w:rPr>
        <w:t>。</w:t>
      </w:r>
    </w:p>
    <w:p>
      <w:pPr>
        <w:spacing w:line="360" w:lineRule="auto"/>
        <w:ind w:firstLine="420" w:firstLineChars="200"/>
        <w:rPr>
          <w:rFonts w:ascii="宋体" w:hAnsi="宋体" w:cs="宋体"/>
        </w:rPr>
      </w:pPr>
      <w:r>
        <w:rPr>
          <w:rFonts w:hint="eastAsia" w:ascii="宋体" w:hAnsi="宋体" w:cs="宋体"/>
        </w:rPr>
        <w:t>10.4 变更估价</w:t>
      </w:r>
    </w:p>
    <w:p>
      <w:pPr>
        <w:spacing w:line="360" w:lineRule="auto"/>
        <w:ind w:firstLine="420" w:firstLineChars="200"/>
        <w:rPr>
          <w:rFonts w:ascii="宋体" w:hAnsi="宋体" w:cs="宋体"/>
        </w:rPr>
      </w:pPr>
      <w:r>
        <w:rPr>
          <w:rFonts w:hint="eastAsia" w:ascii="宋体" w:hAnsi="宋体" w:cs="宋体"/>
        </w:rPr>
        <w:t>10.4.1 变更估价原则</w:t>
      </w:r>
    </w:p>
    <w:p>
      <w:pPr>
        <w:spacing w:line="360" w:lineRule="auto"/>
        <w:ind w:firstLine="420" w:firstLineChars="200"/>
        <w:rPr>
          <w:rFonts w:ascii="宋体" w:hAnsi="宋体" w:cs="宋体"/>
        </w:rPr>
      </w:pPr>
      <w:r>
        <w:rPr>
          <w:rFonts w:hint="eastAsia" w:ascii="宋体" w:hAnsi="宋体" w:cs="宋体"/>
        </w:rPr>
        <w:t>关于变更估价的约定：</w:t>
      </w:r>
      <w:r>
        <w:rPr>
          <w:rFonts w:hint="eastAsia" w:hAnsi="宋体"/>
          <w:u w:val="single"/>
        </w:rPr>
        <w:t xml:space="preserve"> 承包人应收到变更指示或变更意向书14天内，向发包人提交变更报价书，发包人再依据计价原则确定变更价格    </w:t>
      </w:r>
      <w:r>
        <w:rPr>
          <w:rFonts w:hint="eastAsia" w:hAnsi="宋体"/>
        </w:rPr>
        <w:t>。</w:t>
      </w:r>
    </w:p>
    <w:p>
      <w:pPr>
        <w:spacing w:line="360" w:lineRule="auto"/>
        <w:ind w:firstLine="420" w:firstLineChars="200"/>
        <w:rPr>
          <w:rFonts w:ascii="宋体" w:hAnsi="宋体" w:cs="宋体"/>
        </w:rPr>
      </w:pPr>
      <w:r>
        <w:rPr>
          <w:rFonts w:hint="eastAsia" w:ascii="宋体" w:hAnsi="宋体" w:cs="宋体"/>
        </w:rPr>
        <w:t>10.5 承包人的合理化建议</w:t>
      </w:r>
    </w:p>
    <w:p>
      <w:pPr>
        <w:spacing w:line="360" w:lineRule="auto"/>
        <w:ind w:firstLine="420" w:firstLineChars="200"/>
        <w:rPr>
          <w:rFonts w:hAnsi="宋体"/>
        </w:rPr>
      </w:pPr>
      <w:r>
        <w:rPr>
          <w:rFonts w:hint="eastAsia" w:hAnsi="宋体"/>
        </w:rPr>
        <w:t>监理人审查承包人合理化建议的期限：</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发包人审批承包人合理化建议的期限：</w:t>
      </w:r>
      <w:r>
        <w:rPr>
          <w:rFonts w:hint="eastAsia" w:hAnsi="宋体"/>
          <w:u w:val="single"/>
        </w:rPr>
        <w:t xml:space="preserve"> / </w:t>
      </w:r>
      <w:r>
        <w:rPr>
          <w:rFonts w:hint="eastAsia" w:hAnsi="宋体"/>
        </w:rPr>
        <w:t>。</w:t>
      </w:r>
    </w:p>
    <w:p>
      <w:pPr>
        <w:spacing w:line="360" w:lineRule="auto"/>
        <w:ind w:firstLine="420" w:firstLineChars="200"/>
        <w:rPr>
          <w:rFonts w:hAnsi="宋体"/>
        </w:rPr>
      </w:pPr>
      <w:r>
        <w:rPr>
          <w:rFonts w:hint="eastAsia" w:hAnsi="宋体"/>
        </w:rPr>
        <w:t>承包人提出的合理化建议降低了合同价格或者提高了工程经济效益的奖励的方法和金额为：</w:t>
      </w:r>
      <w:r>
        <w:rPr>
          <w:rFonts w:hint="eastAsia" w:hAnsi="宋体"/>
          <w:u w:val="single"/>
        </w:rPr>
        <w:t>/。</w:t>
      </w:r>
    </w:p>
    <w:p>
      <w:pPr>
        <w:spacing w:line="360" w:lineRule="auto"/>
        <w:ind w:firstLine="420" w:firstLineChars="200"/>
        <w:rPr>
          <w:rFonts w:ascii="宋体" w:hAnsi="宋体" w:cs="宋体"/>
        </w:rPr>
      </w:pPr>
      <w:r>
        <w:rPr>
          <w:rFonts w:hint="eastAsia" w:ascii="宋体" w:hAnsi="宋体" w:cs="宋体"/>
        </w:rPr>
        <w:t>10.7 暂估价</w:t>
      </w:r>
    </w:p>
    <w:p>
      <w:pPr>
        <w:spacing w:line="360" w:lineRule="auto"/>
        <w:ind w:firstLine="420" w:firstLineChars="200"/>
        <w:rPr>
          <w:rFonts w:ascii="宋体" w:hAnsi="宋体" w:cs="宋体"/>
        </w:rPr>
      </w:pPr>
      <w:r>
        <w:rPr>
          <w:rFonts w:hint="eastAsia" w:ascii="宋体" w:hAnsi="宋体" w:cs="宋体"/>
        </w:rPr>
        <w:t>暂估价材料和工程设备的明细详见附件 11：《暂估价一览表》。</w:t>
      </w:r>
    </w:p>
    <w:p>
      <w:pPr>
        <w:spacing w:line="360" w:lineRule="auto"/>
        <w:ind w:firstLine="420" w:firstLineChars="200"/>
        <w:rPr>
          <w:rFonts w:ascii="宋体" w:hAnsi="宋体" w:cs="宋体"/>
        </w:rPr>
      </w:pPr>
      <w:r>
        <w:rPr>
          <w:rFonts w:hint="eastAsia" w:ascii="宋体" w:hAnsi="宋体" w:cs="宋体"/>
        </w:rPr>
        <w:t>10.7.1 依法必须招标的暂估价项目</w:t>
      </w:r>
    </w:p>
    <w:p>
      <w:pPr>
        <w:spacing w:line="360" w:lineRule="auto"/>
        <w:ind w:firstLine="420" w:firstLineChars="200"/>
        <w:rPr>
          <w:rFonts w:ascii="宋体" w:hAnsi="宋体" w:cs="宋体"/>
        </w:rPr>
      </w:pPr>
      <w:r>
        <w:rPr>
          <w:rFonts w:hint="eastAsia" w:ascii="宋体" w:hAnsi="宋体" w:cs="宋体"/>
        </w:rPr>
        <w:t>对于依法必须招标的暂估价项目的确认和批准采取第</w:t>
      </w:r>
      <w:r>
        <w:rPr>
          <w:rFonts w:hint="eastAsia" w:ascii="宋体" w:hAnsi="宋体" w:cs="宋体"/>
          <w:u w:val="single"/>
        </w:rPr>
        <w:t>1</w:t>
      </w:r>
      <w:r>
        <w:rPr>
          <w:rFonts w:hint="eastAsia" w:ascii="宋体" w:hAnsi="宋体" w:cs="宋体"/>
        </w:rPr>
        <w:t>种方式确定。</w:t>
      </w:r>
    </w:p>
    <w:p>
      <w:pPr>
        <w:spacing w:line="360" w:lineRule="auto"/>
        <w:ind w:firstLine="420" w:firstLineChars="200"/>
        <w:rPr>
          <w:rFonts w:ascii="宋体" w:hAnsi="宋体" w:cs="宋体"/>
        </w:rPr>
      </w:pPr>
      <w:r>
        <w:rPr>
          <w:rFonts w:hint="eastAsia" w:ascii="宋体" w:hAnsi="宋体" w:cs="宋体"/>
        </w:rPr>
        <w:t>10.7.2 不属于依法必须招标的暂估价项目</w:t>
      </w:r>
    </w:p>
    <w:p>
      <w:pPr>
        <w:spacing w:line="360" w:lineRule="auto"/>
        <w:ind w:firstLine="420" w:firstLineChars="200"/>
        <w:rPr>
          <w:rFonts w:ascii="宋体" w:hAnsi="宋体" w:cs="宋体"/>
        </w:rPr>
      </w:pPr>
      <w:r>
        <w:rPr>
          <w:rFonts w:hint="eastAsia" w:ascii="宋体" w:hAnsi="宋体" w:cs="宋体"/>
        </w:rPr>
        <w:t>对于不属于依法必须招标的暂估价项目的确认和批准采取第</w:t>
      </w:r>
      <w:r>
        <w:rPr>
          <w:rFonts w:hint="eastAsia" w:ascii="宋体" w:hAnsi="宋体" w:cs="宋体"/>
          <w:u w:val="single"/>
        </w:rPr>
        <w:t xml:space="preserve"> 2 </w:t>
      </w:r>
      <w:r>
        <w:rPr>
          <w:rFonts w:hint="eastAsia" w:ascii="宋体" w:hAnsi="宋体" w:cs="宋体"/>
        </w:rPr>
        <w:t>种方式确定。</w:t>
      </w:r>
    </w:p>
    <w:p>
      <w:pPr>
        <w:spacing w:line="360" w:lineRule="auto"/>
        <w:ind w:firstLine="420" w:firstLineChars="200"/>
        <w:rPr>
          <w:rFonts w:ascii="宋体" w:hAnsi="宋体" w:cs="宋体"/>
        </w:rPr>
      </w:pPr>
      <w:r>
        <w:rPr>
          <w:rFonts w:hint="eastAsia" w:ascii="宋体" w:hAnsi="宋体" w:cs="宋体"/>
        </w:rPr>
        <w:t>第3种方式：承包人直接实施的暂估价项目</w:t>
      </w:r>
    </w:p>
    <w:p>
      <w:pPr>
        <w:spacing w:line="360" w:lineRule="auto"/>
        <w:ind w:firstLine="420" w:firstLineChars="200"/>
        <w:rPr>
          <w:rFonts w:ascii="宋体" w:hAnsi="宋体" w:cs="宋体"/>
        </w:rPr>
      </w:pPr>
      <w:r>
        <w:rPr>
          <w:rFonts w:hint="eastAsia" w:ascii="宋体" w:hAnsi="宋体" w:cs="宋体"/>
        </w:rPr>
        <w:t>承包人直接实施的暂估价项目的约定：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10.8 暂列金额</w:t>
      </w:r>
    </w:p>
    <w:p>
      <w:pPr>
        <w:spacing w:line="360" w:lineRule="auto"/>
        <w:ind w:firstLine="420" w:firstLineChars="200"/>
        <w:rPr>
          <w:rFonts w:ascii="宋体" w:hAnsi="宋体" w:cs="宋体"/>
        </w:rPr>
      </w:pPr>
      <w:r>
        <w:rPr>
          <w:rFonts w:hint="eastAsia" w:ascii="宋体" w:hAnsi="宋体" w:cs="宋体"/>
        </w:rPr>
        <w:t>合同当事人关于暂列金额使用的约定：</w:t>
      </w:r>
      <w:r>
        <w:rPr>
          <w:rFonts w:hint="eastAsia" w:ascii="宋体" w:hAnsi="宋体" w:cs="宋体"/>
          <w:u w:val="single"/>
        </w:rPr>
        <w:t xml:space="preserve"> 暂列金额是指发包人为可能发生工程变更而暂列的金额，包括因发包人提供的工程量清单漏项、清单有误引起的工程数量增加和施工过程中设计变更引起新的清单项目或工程数量增加等需要增加的金额，招标人委托具有建设行政主管部门颁发资质的造价咨询机构审定后，按照审定造价支付部分暂列金。暂列金是招标人自行确定设立的，承包商无权使用此笔费用。此费用按实际发生经招标人签证后确定全部使用、部分使用或不使用。暂列金不计入工程款付款的基数  </w:t>
      </w:r>
      <w:r>
        <w:rPr>
          <w:rFonts w:hint="eastAsia" w:ascii="宋体" w:hAnsi="宋体" w:cs="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11.价格调整</w:t>
      </w:r>
    </w:p>
    <w:p>
      <w:pPr>
        <w:spacing w:line="360" w:lineRule="auto"/>
        <w:ind w:firstLine="420" w:firstLineChars="200"/>
        <w:rPr>
          <w:rFonts w:ascii="宋体" w:hAnsi="宋体" w:cs="宋体"/>
        </w:rPr>
      </w:pPr>
      <w:r>
        <w:rPr>
          <w:rFonts w:hint="eastAsia" w:ascii="宋体" w:hAnsi="宋体" w:cs="宋体"/>
        </w:rPr>
        <w:t>11.1 市场价格波动引起的调整</w:t>
      </w:r>
    </w:p>
    <w:p>
      <w:pPr>
        <w:spacing w:line="360" w:lineRule="auto"/>
        <w:ind w:firstLine="420" w:firstLineChars="200"/>
        <w:rPr>
          <w:rFonts w:ascii="宋体" w:hAnsi="宋体" w:cs="宋体"/>
        </w:rPr>
      </w:pPr>
      <w:r>
        <w:rPr>
          <w:rFonts w:hint="eastAsia" w:ascii="宋体" w:hAnsi="宋体" w:cs="宋体"/>
        </w:rPr>
        <w:t>市场价格波动是否调整合同价格的约定：</w:t>
      </w:r>
      <w:r>
        <w:rPr>
          <w:rFonts w:hint="eastAsia" w:ascii="宋体" w:hAnsi="宋体" w:cs="宋体"/>
          <w:u w:val="single"/>
        </w:rPr>
        <w:t xml:space="preserve">调整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因市场价格波动调整合同价格，采用以下第</w:t>
      </w:r>
      <w:r>
        <w:rPr>
          <w:rFonts w:hint="eastAsia" w:ascii="宋体" w:hAnsi="宋体" w:cs="宋体"/>
          <w:u w:val="single"/>
        </w:rPr>
        <w:t>2</w:t>
      </w:r>
      <w:r>
        <w:rPr>
          <w:rFonts w:hint="eastAsia" w:ascii="宋体" w:hAnsi="宋体" w:cs="宋体"/>
        </w:rPr>
        <w:t>种方式价格进行调整：</w:t>
      </w:r>
    </w:p>
    <w:p>
      <w:pPr>
        <w:spacing w:line="360" w:lineRule="auto"/>
        <w:ind w:firstLine="420" w:firstLineChars="200"/>
        <w:rPr>
          <w:rFonts w:ascii="宋体" w:hAnsi="宋体" w:cs="宋体"/>
        </w:rPr>
      </w:pPr>
      <w:r>
        <w:rPr>
          <w:rFonts w:hint="eastAsia" w:ascii="宋体" w:hAnsi="宋体" w:cs="宋体"/>
        </w:rPr>
        <w:t>第1种方式：采用价格指数进行价格调整。</w:t>
      </w:r>
    </w:p>
    <w:p>
      <w:pPr>
        <w:spacing w:line="360" w:lineRule="auto"/>
        <w:ind w:firstLine="420" w:firstLineChars="200"/>
        <w:rPr>
          <w:rFonts w:ascii="宋体" w:hAnsi="宋体" w:cs="宋体"/>
        </w:rPr>
      </w:pPr>
      <w:r>
        <w:rPr>
          <w:rFonts w:hint="eastAsia" w:ascii="宋体" w:hAnsi="宋体" w:cs="宋体"/>
        </w:rPr>
        <w:t>关于各可调因子、定值和变值权重，以及基本价格指数及其来源种方式对合同的约定：。</w:t>
      </w:r>
    </w:p>
    <w:p>
      <w:pPr>
        <w:spacing w:line="360" w:lineRule="auto"/>
        <w:ind w:firstLine="420" w:firstLineChars="200"/>
        <w:rPr>
          <w:rFonts w:ascii="宋体" w:hAnsi="宋体" w:cs="宋体"/>
        </w:rPr>
      </w:pPr>
      <w:r>
        <w:rPr>
          <w:rFonts w:hint="eastAsia" w:ascii="宋体" w:hAnsi="宋体" w:cs="宋体"/>
        </w:rPr>
        <w:t>第2种方式：采用造价信息进行价格调整。</w:t>
      </w:r>
    </w:p>
    <w:p>
      <w:pPr>
        <w:spacing w:line="360" w:lineRule="auto"/>
        <w:ind w:firstLine="420" w:firstLineChars="200"/>
        <w:rPr>
          <w:rFonts w:ascii="宋体" w:hAnsi="宋体" w:cs="宋体"/>
        </w:rPr>
      </w:pPr>
      <w:r>
        <w:rPr>
          <w:rFonts w:hint="eastAsia" w:ascii="宋体" w:hAnsi="宋体" w:cs="宋体"/>
        </w:rPr>
        <w:t>（2）关于基准价格的约定：。</w:t>
      </w:r>
    </w:p>
    <w:p>
      <w:pPr>
        <w:spacing w:line="360" w:lineRule="auto"/>
        <w:ind w:firstLine="420" w:firstLineChars="200"/>
        <w:rPr>
          <w:rFonts w:ascii="宋体" w:hAnsi="宋体" w:cs="宋体"/>
        </w:rPr>
      </w:pPr>
      <w:r>
        <w:rPr>
          <w:rFonts w:hint="eastAsia" w:ascii="宋体" w:hAnsi="宋体" w:cs="宋体"/>
        </w:rPr>
        <w:t>①承包人在已标价工程量清单或预算书中载明的材料、工程设备单价在合同履行期间涨、跌幅以基准价格为基础超过±5％据实调整。</w:t>
      </w:r>
    </w:p>
    <w:p>
      <w:pPr>
        <w:spacing w:line="360" w:lineRule="auto"/>
        <w:ind w:firstLine="420" w:firstLineChars="200"/>
        <w:rPr>
          <w:rFonts w:ascii="宋体" w:hAnsi="宋体" w:cs="宋体"/>
        </w:rPr>
      </w:pPr>
      <w:r>
        <w:rPr>
          <w:rFonts w:hint="eastAsia" w:ascii="宋体" w:hAnsi="宋体" w:cs="宋体"/>
        </w:rPr>
        <w:t>②承包人在投标报价中载明的材料、工程设备单价在合同履行期间涨、跌幅超过省及各市州建设行政主管部门各期间发布的预算价格的±5％时，据实调整。</w:t>
      </w:r>
    </w:p>
    <w:p>
      <w:pPr>
        <w:spacing w:line="360" w:lineRule="auto"/>
        <w:ind w:firstLine="420" w:firstLineChars="200"/>
        <w:rPr>
          <w:rFonts w:ascii="宋体" w:hAnsi="宋体" w:cs="宋体"/>
        </w:rPr>
      </w:pPr>
      <w:r>
        <w:rPr>
          <w:rFonts w:hint="eastAsia" w:ascii="宋体" w:hAnsi="宋体" w:cs="宋体"/>
        </w:rPr>
        <w:t>第3种方式：其他价格调整方式：</w:t>
      </w:r>
      <w:r>
        <w:rPr>
          <w:rFonts w:hint="eastAsia" w:ascii="宋体" w:hAnsi="宋体" w:cs="宋体"/>
          <w:u w:val="single"/>
        </w:rPr>
        <w:t xml:space="preserve">                          。</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12.合同价格、计量与支付</w:t>
      </w:r>
    </w:p>
    <w:p>
      <w:pPr>
        <w:spacing w:line="360" w:lineRule="auto"/>
        <w:ind w:firstLine="420" w:firstLineChars="200"/>
        <w:rPr>
          <w:rFonts w:ascii="宋体" w:hAnsi="宋体" w:cs="宋体"/>
        </w:rPr>
      </w:pPr>
      <w:r>
        <w:rPr>
          <w:rFonts w:hint="eastAsia" w:ascii="宋体" w:hAnsi="宋体" w:cs="宋体"/>
        </w:rPr>
        <w:t>12.1 合同价格形式</w:t>
      </w:r>
    </w:p>
    <w:p>
      <w:pPr>
        <w:spacing w:line="360" w:lineRule="auto"/>
        <w:ind w:firstLine="420" w:firstLineChars="200"/>
        <w:rPr>
          <w:rFonts w:ascii="宋体" w:hAnsi="宋体" w:cs="宋体"/>
        </w:rPr>
      </w:pPr>
      <w:r>
        <w:rPr>
          <w:rFonts w:hint="eastAsia" w:ascii="宋体" w:hAnsi="宋体" w:cs="宋体"/>
        </w:rPr>
        <w:t>1.单价合同。</w:t>
      </w:r>
    </w:p>
    <w:p>
      <w:pPr>
        <w:spacing w:line="360" w:lineRule="auto"/>
        <w:ind w:firstLine="420" w:firstLineChars="200"/>
        <w:rPr>
          <w:rFonts w:ascii="宋体" w:hAnsi="宋体" w:cs="宋体"/>
        </w:rPr>
      </w:pPr>
      <w:r>
        <w:rPr>
          <w:rFonts w:hint="eastAsia" w:ascii="宋体" w:hAnsi="宋体" w:cs="宋体"/>
        </w:rPr>
        <w:t>综合单价包含的风险范围：</w:t>
      </w:r>
      <w:r>
        <w:rPr>
          <w:rFonts w:hint="eastAsia" w:ascii="宋体" w:hAnsi="宋体" w:cs="宋体"/>
          <w:u w:val="single"/>
        </w:rPr>
        <w:t xml:space="preserve"> 各种因素引起的材料价格、人工工资、施工机械使用费、管理费、利润等变化及风险因素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风险费用的计算方法：</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风险范围以外合同价格的调整方法：</w:t>
      </w:r>
      <w:r>
        <w:rPr>
          <w:rFonts w:hint="eastAsia" w:ascii="宋体" w:hAnsi="宋体" w:cs="宋体"/>
          <w:u w:val="single"/>
        </w:rPr>
        <w:t xml:space="preserve"> 重大设计变更（变更标准、改变使用功能及结构类型）金额涉及综合单价超出或减少3%时，3%以内不予调整，3%以外进行调整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2.总价合同。</w:t>
      </w:r>
    </w:p>
    <w:p>
      <w:pPr>
        <w:spacing w:line="360" w:lineRule="auto"/>
        <w:ind w:firstLine="420" w:firstLineChars="200"/>
        <w:rPr>
          <w:rFonts w:ascii="宋体" w:hAnsi="宋体" w:cs="宋体"/>
        </w:rPr>
      </w:pPr>
      <w:r>
        <w:rPr>
          <w:rFonts w:hint="eastAsia" w:ascii="宋体" w:hAnsi="宋体" w:cs="宋体"/>
        </w:rPr>
        <w:t>总价包含的风险范围：</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风险费用的计算方法：</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风险范围以外合同价格的调整方法：</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3.其他价格方式：</w:t>
      </w:r>
      <w:r>
        <w:rPr>
          <w:rFonts w:hint="eastAsia" w:ascii="宋体" w:hAnsi="宋体" w:cs="宋体"/>
          <w:u w:val="single"/>
        </w:rPr>
        <w:fldChar w:fldCharType="begin"/>
      </w:r>
      <w:r>
        <w:rPr>
          <w:rFonts w:hint="eastAsia" w:ascii="宋体" w:hAnsi="宋体" w:cs="宋体"/>
          <w:u w:val="single"/>
        </w:rPr>
        <w:instrText xml:space="preserve"> = 1 \* GB3 \* MERGEFORMAT </w:instrText>
      </w:r>
      <w:r>
        <w:rPr>
          <w:rFonts w:hint="eastAsia" w:ascii="宋体" w:hAnsi="宋体" w:cs="宋体"/>
          <w:u w:val="single"/>
        </w:rPr>
        <w:fldChar w:fldCharType="separate"/>
      </w:r>
      <w:r>
        <w:rPr>
          <w:rFonts w:hint="eastAsia" w:ascii="宋体" w:hAnsi="宋体" w:cs="宋体"/>
          <w:u w:val="single"/>
        </w:rPr>
        <w:t>①</w:t>
      </w:r>
      <w:r>
        <w:rPr>
          <w:rFonts w:hint="eastAsia" w:ascii="宋体" w:hAnsi="宋体" w:cs="宋体"/>
          <w:u w:val="single"/>
        </w:rPr>
        <w:fldChar w:fldCharType="end"/>
      </w:r>
      <w:r>
        <w:rPr>
          <w:rFonts w:hint="eastAsia" w:ascii="宋体" w:hAnsi="宋体" w:cs="宋体"/>
          <w:u w:val="single"/>
        </w:rPr>
        <w:t>工程量清单中未列入的增加或变更工程，按2014年湖南省消耗量标准计取人工、材料、机械费、安全文明施工费及税金，材料按造价站发布的建设期价格调价，人工工资按造价站发布的最低工日工资标准调差。</w:t>
      </w:r>
      <w:r>
        <w:rPr>
          <w:rFonts w:hint="eastAsia" w:ascii="宋体" w:hAnsi="宋体" w:cs="宋体"/>
          <w:u w:val="single"/>
        </w:rPr>
        <w:fldChar w:fldCharType="begin"/>
      </w:r>
      <w:r>
        <w:rPr>
          <w:rFonts w:hint="eastAsia" w:ascii="宋体" w:hAnsi="宋体" w:cs="宋体"/>
          <w:u w:val="single"/>
        </w:rPr>
        <w:instrText xml:space="preserve"> = 2 \* GB3 \* MERGEFORMAT </w:instrText>
      </w:r>
      <w:r>
        <w:rPr>
          <w:rFonts w:hint="eastAsia" w:ascii="宋体" w:hAnsi="宋体" w:cs="宋体"/>
          <w:u w:val="single"/>
        </w:rPr>
        <w:fldChar w:fldCharType="separate"/>
      </w:r>
      <w:r>
        <w:rPr>
          <w:rFonts w:hint="eastAsia" w:ascii="宋体" w:hAnsi="宋体" w:cs="宋体"/>
          <w:u w:val="single"/>
        </w:rPr>
        <w:t>②</w:t>
      </w:r>
      <w:r>
        <w:rPr>
          <w:rFonts w:hint="eastAsia" w:ascii="宋体" w:hAnsi="宋体" w:cs="宋体"/>
          <w:u w:val="single"/>
        </w:rPr>
        <w:fldChar w:fldCharType="end"/>
      </w:r>
      <w:r>
        <w:rPr>
          <w:rFonts w:hint="eastAsia" w:ascii="宋体" w:hAnsi="宋体" w:cs="宋体"/>
          <w:u w:val="single"/>
        </w:rPr>
        <w:t xml:space="preserve">工程量签证由施工单位、监理单位、建设单位现场会签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12.2 预付款</w:t>
      </w:r>
    </w:p>
    <w:p>
      <w:pPr>
        <w:spacing w:line="360" w:lineRule="auto"/>
        <w:ind w:firstLine="420" w:firstLineChars="200"/>
        <w:rPr>
          <w:rFonts w:ascii="宋体" w:hAnsi="宋体" w:cs="宋体"/>
        </w:rPr>
      </w:pPr>
      <w:r>
        <w:rPr>
          <w:rFonts w:hint="eastAsia" w:ascii="宋体" w:hAnsi="宋体" w:cs="宋体"/>
        </w:rPr>
        <w:t>12.2.1 预付款的支付</w:t>
      </w:r>
    </w:p>
    <w:p>
      <w:pPr>
        <w:spacing w:line="360" w:lineRule="auto"/>
        <w:ind w:firstLine="420" w:firstLineChars="200"/>
        <w:rPr>
          <w:rFonts w:ascii="宋体" w:hAnsi="宋体" w:cs="宋体"/>
        </w:rPr>
      </w:pPr>
      <w:r>
        <w:rPr>
          <w:rFonts w:hint="eastAsia" w:ascii="宋体" w:hAnsi="宋体" w:cs="宋体"/>
        </w:rPr>
        <w:t>预付款支付比例或金额：</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预付款支付期限：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预付款扣回的方式：</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12.2.2 预付款担保</w:t>
      </w:r>
    </w:p>
    <w:p>
      <w:pPr>
        <w:spacing w:line="360" w:lineRule="auto"/>
        <w:ind w:firstLine="420" w:firstLineChars="200"/>
        <w:rPr>
          <w:rFonts w:ascii="宋体" w:hAnsi="宋体" w:cs="宋体"/>
        </w:rPr>
      </w:pPr>
      <w:r>
        <w:rPr>
          <w:rFonts w:hint="eastAsia" w:ascii="宋体" w:hAnsi="宋体" w:cs="宋体"/>
        </w:rPr>
        <w:t>承包人提交预付款担保的期限：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预付款担保的形式为：</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 计量</w:t>
      </w:r>
    </w:p>
    <w:p>
      <w:pPr>
        <w:spacing w:line="360" w:lineRule="auto"/>
        <w:ind w:firstLine="420" w:firstLineChars="200"/>
        <w:rPr>
          <w:rFonts w:ascii="宋体" w:hAnsi="宋体" w:cs="宋体"/>
        </w:rPr>
      </w:pPr>
      <w:r>
        <w:rPr>
          <w:rFonts w:hint="eastAsia" w:ascii="宋体" w:hAnsi="宋体" w:cs="宋体"/>
        </w:rPr>
        <w:t>12.3.1 计量原则</w:t>
      </w:r>
    </w:p>
    <w:p>
      <w:pPr>
        <w:spacing w:line="360" w:lineRule="auto"/>
        <w:ind w:firstLine="420" w:firstLineChars="200"/>
        <w:rPr>
          <w:rFonts w:ascii="宋体" w:hAnsi="宋体" w:cs="宋体"/>
        </w:rPr>
      </w:pPr>
      <w:r>
        <w:rPr>
          <w:rFonts w:hint="eastAsia" w:ascii="宋体" w:hAnsi="宋体" w:cs="宋体"/>
        </w:rPr>
        <w:t>工程量计算规则：</w:t>
      </w:r>
      <w:r>
        <w:rPr>
          <w:rFonts w:hint="eastAsia" w:ascii="宋体" w:hAnsi="宋体" w:cs="宋体"/>
          <w:u w:val="single"/>
        </w:rPr>
        <w:t xml:space="preserve"> 《建设工程工程量清单计价规范》（GB50500-2013）、《湖南省建设工程造价管理办法》（省人民政府令第192号）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12.3.2 计量周期</w:t>
      </w:r>
    </w:p>
    <w:p>
      <w:pPr>
        <w:spacing w:line="360" w:lineRule="auto"/>
        <w:ind w:firstLine="420" w:firstLineChars="200"/>
        <w:rPr>
          <w:rFonts w:ascii="宋体" w:hAnsi="宋体" w:cs="宋体"/>
        </w:rPr>
      </w:pPr>
      <w:r>
        <w:rPr>
          <w:rFonts w:hint="eastAsia" w:ascii="宋体" w:hAnsi="宋体" w:cs="宋体"/>
        </w:rPr>
        <w:t>关于计量周期的约定：</w:t>
      </w:r>
      <w:r>
        <w:rPr>
          <w:rFonts w:hint="eastAsia" w:ascii="宋体" w:hAnsi="宋体" w:cs="宋体"/>
          <w:u w:val="single"/>
        </w:rPr>
        <w:t xml:space="preserve"> 按月计量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12.3.3 单价合同的计量</w:t>
      </w:r>
    </w:p>
    <w:p>
      <w:pPr>
        <w:spacing w:line="360" w:lineRule="auto"/>
        <w:ind w:firstLine="420" w:firstLineChars="200"/>
        <w:rPr>
          <w:rFonts w:ascii="宋体" w:hAnsi="宋体" w:cs="宋体"/>
        </w:rPr>
      </w:pPr>
      <w:r>
        <w:rPr>
          <w:rFonts w:hint="eastAsia" w:ascii="宋体" w:hAnsi="宋体" w:cs="宋体"/>
        </w:rPr>
        <w:t>关于单价合同计量的约定：</w:t>
      </w:r>
      <w:r>
        <w:rPr>
          <w:rFonts w:hint="eastAsia" w:ascii="宋体" w:hAnsi="宋体" w:cs="宋体"/>
          <w:u w:val="single"/>
        </w:rPr>
        <w:t xml:space="preserve">  按月计量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12.3.4 总价合同的计量</w:t>
      </w:r>
    </w:p>
    <w:p>
      <w:pPr>
        <w:spacing w:line="360" w:lineRule="auto"/>
        <w:ind w:firstLine="420" w:firstLineChars="200"/>
        <w:rPr>
          <w:rFonts w:ascii="宋体" w:hAnsi="宋体" w:cs="宋体"/>
        </w:rPr>
      </w:pPr>
      <w:r>
        <w:rPr>
          <w:rFonts w:hint="eastAsia" w:ascii="宋体" w:hAnsi="宋体" w:cs="宋体"/>
        </w:rPr>
        <w:t>关于总价合同计量的约定：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12.3.5 总价合同采用支付分解表计量支付的，是否适用第 12.3.4项〔总价合同的计量〕约定进行计量：</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12.3.6 其他价格形式合同的计量</w:t>
      </w:r>
    </w:p>
    <w:p>
      <w:pPr>
        <w:spacing w:line="360" w:lineRule="auto"/>
        <w:ind w:firstLine="420" w:firstLineChars="200"/>
        <w:rPr>
          <w:rFonts w:ascii="宋体" w:hAnsi="宋体" w:cs="宋体"/>
        </w:rPr>
      </w:pPr>
      <w:r>
        <w:rPr>
          <w:rFonts w:hint="eastAsia" w:ascii="宋体" w:hAnsi="宋体" w:cs="宋体"/>
        </w:rPr>
        <w:t>其他价格形式的计量方式和程序：</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12.4 工程进度款支付</w:t>
      </w:r>
    </w:p>
    <w:p>
      <w:pPr>
        <w:spacing w:line="360" w:lineRule="auto"/>
        <w:ind w:firstLine="420" w:firstLineChars="200"/>
        <w:rPr>
          <w:rFonts w:ascii="宋体" w:hAnsi="宋体" w:cs="宋体"/>
        </w:rPr>
      </w:pPr>
      <w:r>
        <w:rPr>
          <w:rFonts w:hint="eastAsia" w:ascii="宋体" w:hAnsi="宋体" w:cs="宋体"/>
        </w:rPr>
        <w:t>12.4.1 付款周期</w:t>
      </w:r>
    </w:p>
    <w:p>
      <w:pPr>
        <w:spacing w:line="360" w:lineRule="auto"/>
        <w:ind w:firstLine="420" w:firstLineChars="200"/>
        <w:rPr>
          <w:rFonts w:ascii="宋体" w:hAnsi="宋体" w:cs="宋体"/>
        </w:rPr>
      </w:pPr>
      <w:r>
        <w:rPr>
          <w:rFonts w:hint="eastAsia" w:ascii="宋体" w:hAnsi="宋体" w:cs="宋体"/>
        </w:rPr>
        <w:t>关于付款周期的约定：</w:t>
      </w:r>
      <w:r>
        <w:rPr>
          <w:rFonts w:hint="eastAsia" w:ascii="宋体" w:hAnsi="宋体" w:cs="宋体"/>
          <w:u w:val="single"/>
        </w:rPr>
        <w:t xml:space="preserve">  按施工合同约定</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12.4.2 进度付款申请单的编制</w:t>
      </w:r>
    </w:p>
    <w:p>
      <w:pPr>
        <w:spacing w:line="360" w:lineRule="auto"/>
        <w:ind w:firstLine="420" w:firstLineChars="200"/>
        <w:rPr>
          <w:rFonts w:ascii="宋体" w:hAnsi="宋体" w:cs="宋体"/>
        </w:rPr>
      </w:pPr>
      <w:r>
        <w:rPr>
          <w:rFonts w:hint="eastAsia" w:ascii="宋体" w:hAnsi="宋体" w:cs="宋体"/>
        </w:rPr>
        <w:t>关于进度付款申请单编制的约定：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12.4.3 进度付款申请单的提交</w:t>
      </w:r>
    </w:p>
    <w:p>
      <w:pPr>
        <w:spacing w:line="360" w:lineRule="auto"/>
        <w:ind w:firstLine="420" w:firstLineChars="200"/>
        <w:rPr>
          <w:rFonts w:ascii="宋体" w:hAnsi="宋体" w:cs="宋体"/>
        </w:rPr>
      </w:pPr>
      <w:r>
        <w:rPr>
          <w:rFonts w:hint="eastAsia" w:ascii="宋体" w:hAnsi="宋体" w:cs="宋体"/>
        </w:rPr>
        <w:t>（1）单价合同进度付款申请单提交的约定：</w:t>
      </w:r>
      <w:r>
        <w:rPr>
          <w:rFonts w:hint="eastAsia" w:ascii="宋体" w:hAnsi="宋体" w:cs="宋体"/>
          <w:u w:val="single"/>
        </w:rPr>
        <w:t xml:space="preserve"> 按月提交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（2）总价合同进度付款申请单提交的约定：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（3）其他价格形式合同进度付款申请单提交的约定：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12.4.4 进度款审核和支付</w:t>
      </w:r>
    </w:p>
    <w:p>
      <w:pPr>
        <w:spacing w:line="360" w:lineRule="auto"/>
        <w:ind w:firstLine="420" w:firstLineChars="200"/>
        <w:rPr>
          <w:rFonts w:ascii="宋体" w:hAnsi="宋体" w:cs="宋体"/>
        </w:rPr>
      </w:pPr>
      <w:r>
        <w:rPr>
          <w:rFonts w:hint="eastAsia" w:ascii="宋体" w:hAnsi="宋体" w:cs="宋体"/>
        </w:rPr>
        <w:t>（1）监理人审查并报送发包人的期限：</w:t>
      </w:r>
      <w:r>
        <w:rPr>
          <w:rFonts w:hint="eastAsia" w:ascii="宋体" w:hAnsi="宋体" w:cs="宋体"/>
          <w:u w:val="single"/>
        </w:rPr>
        <w:t xml:space="preserve"> 收到申请七天内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发包人完成审批并签发进度款支付证书的期限：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（2）发包人支付进度款的期限：</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发包人逾期支付进度款的违约金的计算方式：</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12.4.6 支付分解表的编制</w:t>
      </w:r>
    </w:p>
    <w:p>
      <w:pPr>
        <w:spacing w:line="360" w:lineRule="auto"/>
        <w:ind w:firstLine="420" w:firstLineChars="200"/>
        <w:rPr>
          <w:rFonts w:ascii="宋体" w:hAnsi="宋体" w:cs="宋体"/>
        </w:rPr>
      </w:pPr>
      <w:r>
        <w:rPr>
          <w:rFonts w:hint="eastAsia" w:ascii="宋体" w:hAnsi="宋体" w:cs="宋体"/>
        </w:rPr>
        <w:t>2.总价合同支付分解表的编制与审批：</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3.单价合同的总价项目支付分解表的编制与审批：</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13.验收和工程试车</w:t>
      </w:r>
    </w:p>
    <w:p>
      <w:pPr>
        <w:spacing w:line="360" w:lineRule="auto"/>
        <w:ind w:firstLine="420" w:firstLineChars="200"/>
        <w:rPr>
          <w:rFonts w:ascii="宋体" w:hAnsi="宋体" w:cs="宋体"/>
        </w:rPr>
      </w:pPr>
      <w:r>
        <w:rPr>
          <w:rFonts w:hint="eastAsia" w:ascii="宋体" w:hAnsi="宋体" w:cs="宋体"/>
        </w:rPr>
        <w:t>13.1 分部分项工程验收</w:t>
      </w:r>
    </w:p>
    <w:p>
      <w:pPr>
        <w:spacing w:line="360" w:lineRule="auto"/>
        <w:ind w:firstLine="420" w:firstLineChars="200"/>
        <w:rPr>
          <w:rFonts w:ascii="宋体" w:hAnsi="宋体" w:cs="宋体"/>
        </w:rPr>
      </w:pPr>
      <w:r>
        <w:rPr>
          <w:rFonts w:hint="eastAsia" w:ascii="宋体" w:hAnsi="宋体" w:cs="宋体"/>
        </w:rPr>
        <w:t>13.1.2 监理人不能按时进行验收时，应提前</w:t>
      </w:r>
      <w:r>
        <w:rPr>
          <w:rFonts w:hint="eastAsia" w:ascii="宋体" w:hAnsi="宋体" w:cs="宋体"/>
          <w:u w:val="single"/>
        </w:rPr>
        <w:t xml:space="preserve"> 24 </w:t>
      </w:r>
      <w:r>
        <w:rPr>
          <w:rFonts w:hint="eastAsia" w:ascii="宋体" w:hAnsi="宋体" w:cs="宋体"/>
        </w:rPr>
        <w:t>小时提交书面延期要求。</w:t>
      </w:r>
    </w:p>
    <w:p>
      <w:pPr>
        <w:spacing w:line="360" w:lineRule="auto"/>
        <w:ind w:firstLine="420" w:firstLineChars="200"/>
        <w:rPr>
          <w:rFonts w:ascii="宋体" w:hAnsi="宋体" w:cs="宋体"/>
        </w:rPr>
      </w:pPr>
      <w:r>
        <w:rPr>
          <w:rFonts w:hint="eastAsia" w:ascii="宋体" w:hAnsi="宋体" w:cs="宋体"/>
        </w:rPr>
        <w:t>关于延期最长不得超过：</w:t>
      </w:r>
      <w:r>
        <w:rPr>
          <w:rFonts w:hint="eastAsia" w:ascii="宋体" w:hAnsi="宋体" w:cs="宋体"/>
          <w:u w:val="single"/>
        </w:rPr>
        <w:t xml:space="preserve"> 48 </w:t>
      </w:r>
      <w:r>
        <w:rPr>
          <w:rFonts w:hint="eastAsia" w:ascii="宋体" w:hAnsi="宋体" w:cs="宋体"/>
        </w:rPr>
        <w:t>小时。</w:t>
      </w:r>
    </w:p>
    <w:p>
      <w:pPr>
        <w:spacing w:line="360" w:lineRule="auto"/>
        <w:ind w:firstLine="420" w:firstLineChars="200"/>
        <w:rPr>
          <w:rFonts w:ascii="宋体" w:hAnsi="宋体" w:cs="宋体"/>
        </w:rPr>
      </w:pPr>
      <w:r>
        <w:rPr>
          <w:rFonts w:hint="eastAsia" w:ascii="宋体" w:hAnsi="宋体" w:cs="宋体"/>
        </w:rPr>
        <w:t>13.2 竣工验收</w:t>
      </w:r>
    </w:p>
    <w:p>
      <w:pPr>
        <w:spacing w:line="360" w:lineRule="auto"/>
        <w:ind w:firstLine="420" w:firstLineChars="200"/>
        <w:rPr>
          <w:rFonts w:ascii="宋体" w:hAnsi="宋体" w:cs="宋体"/>
        </w:rPr>
      </w:pPr>
      <w:r>
        <w:rPr>
          <w:rFonts w:hint="eastAsia" w:ascii="宋体" w:hAnsi="宋体" w:cs="宋体"/>
        </w:rPr>
        <w:t>13.2.2 竣工验收程序</w:t>
      </w:r>
    </w:p>
    <w:p>
      <w:pPr>
        <w:spacing w:line="360" w:lineRule="auto"/>
        <w:ind w:firstLine="420" w:firstLineChars="200"/>
        <w:rPr>
          <w:rFonts w:ascii="宋体" w:hAnsi="宋体" w:cs="宋体"/>
        </w:rPr>
      </w:pPr>
      <w:r>
        <w:rPr>
          <w:rFonts w:hint="eastAsia" w:ascii="宋体" w:hAnsi="宋体" w:cs="宋体"/>
        </w:rPr>
        <w:t>关于竣工验收程序的约定：</w:t>
      </w:r>
      <w:r>
        <w:rPr>
          <w:rFonts w:hint="eastAsia" w:ascii="宋体" w:hAnsi="宋体" w:cs="宋体"/>
          <w:u w:val="single"/>
        </w:rPr>
        <w:t xml:space="preserve">  执行通用条款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发包人不按照本项约定组织竣工验收、颁发工程接收证书的违约金的计算方法：</w:t>
      </w:r>
      <w:r>
        <w:rPr>
          <w:rFonts w:hint="eastAsia" w:ascii="宋体" w:hAnsi="宋体" w:cs="宋体"/>
          <w:u w:val="single"/>
        </w:rPr>
        <w:t xml:space="preserve"> 执行通用条款 。</w:t>
      </w:r>
    </w:p>
    <w:p>
      <w:pPr>
        <w:spacing w:line="360" w:lineRule="auto"/>
        <w:ind w:firstLine="420" w:firstLineChars="200"/>
        <w:rPr>
          <w:rFonts w:ascii="宋体" w:hAnsi="宋体" w:cs="宋体"/>
        </w:rPr>
      </w:pPr>
      <w:r>
        <w:rPr>
          <w:rFonts w:hint="eastAsia" w:ascii="宋体" w:hAnsi="宋体" w:cs="宋体"/>
        </w:rPr>
        <w:t>13.2.5 移交、接收全部与部分工程</w:t>
      </w:r>
    </w:p>
    <w:p>
      <w:pPr>
        <w:spacing w:line="360" w:lineRule="auto"/>
        <w:ind w:firstLine="420" w:firstLineChars="200"/>
        <w:rPr>
          <w:rFonts w:ascii="宋体" w:hAnsi="宋体" w:cs="宋体"/>
        </w:rPr>
      </w:pPr>
      <w:r>
        <w:rPr>
          <w:rFonts w:hint="eastAsia" w:ascii="宋体" w:hAnsi="宋体" w:cs="宋体"/>
        </w:rPr>
        <w:t>承包人向发包人移交工程的期限：</w:t>
      </w:r>
      <w:r>
        <w:rPr>
          <w:rFonts w:hint="eastAsia" w:ascii="宋体" w:hAnsi="宋体" w:cs="宋体"/>
          <w:u w:val="single"/>
        </w:rPr>
        <w:t xml:space="preserve">  颁发工程接收证书后7天内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发包人未按本合同约定接收全部或部分工程的，违约金的计算方法为：</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承包人未按时移交工程的，违约金的计算方法为：</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13.3 工程试车</w:t>
      </w:r>
    </w:p>
    <w:p>
      <w:pPr>
        <w:spacing w:line="360" w:lineRule="auto"/>
        <w:ind w:firstLine="420" w:firstLineChars="200"/>
        <w:rPr>
          <w:rFonts w:ascii="宋体" w:hAnsi="宋体" w:cs="宋体"/>
        </w:rPr>
      </w:pPr>
      <w:r>
        <w:rPr>
          <w:rFonts w:hint="eastAsia" w:ascii="宋体" w:hAnsi="宋体" w:cs="宋体"/>
        </w:rPr>
        <w:t>13.3.1 试车程序</w:t>
      </w:r>
    </w:p>
    <w:p>
      <w:pPr>
        <w:spacing w:line="360" w:lineRule="auto"/>
        <w:ind w:firstLine="420" w:firstLineChars="200"/>
        <w:rPr>
          <w:rFonts w:ascii="宋体" w:hAnsi="宋体" w:cs="宋体"/>
        </w:rPr>
      </w:pPr>
      <w:r>
        <w:rPr>
          <w:rFonts w:hint="eastAsia" w:ascii="宋体" w:hAnsi="宋体" w:cs="宋体"/>
        </w:rPr>
        <w:t>工程试车内容：</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（1）单机无负荷试车费用由承担；</w:t>
      </w:r>
    </w:p>
    <w:p>
      <w:pPr>
        <w:spacing w:line="360" w:lineRule="auto"/>
        <w:ind w:firstLine="420" w:firstLineChars="200"/>
        <w:rPr>
          <w:rFonts w:ascii="宋体" w:hAnsi="宋体" w:cs="宋体"/>
        </w:rPr>
      </w:pPr>
      <w:r>
        <w:rPr>
          <w:rFonts w:hint="eastAsia" w:ascii="宋体" w:hAnsi="宋体" w:cs="宋体"/>
        </w:rPr>
        <w:t>（2）无负荷联动试车费用由承担。</w:t>
      </w:r>
    </w:p>
    <w:p>
      <w:pPr>
        <w:spacing w:line="360" w:lineRule="auto"/>
        <w:ind w:firstLine="420" w:firstLineChars="200"/>
        <w:rPr>
          <w:rFonts w:ascii="宋体" w:hAnsi="宋体" w:cs="宋体"/>
        </w:rPr>
      </w:pPr>
      <w:r>
        <w:rPr>
          <w:rFonts w:hint="eastAsia" w:ascii="宋体" w:hAnsi="宋体" w:cs="宋体"/>
        </w:rPr>
        <w:t>13.3.3 投料试车</w:t>
      </w:r>
    </w:p>
    <w:p>
      <w:pPr>
        <w:spacing w:line="360" w:lineRule="auto"/>
        <w:ind w:firstLine="420" w:firstLineChars="200"/>
        <w:rPr>
          <w:rFonts w:ascii="宋体" w:hAnsi="宋体" w:cs="宋体"/>
        </w:rPr>
      </w:pPr>
      <w:r>
        <w:rPr>
          <w:rFonts w:hint="eastAsia" w:ascii="宋体" w:hAnsi="宋体" w:cs="宋体"/>
        </w:rPr>
        <w:t>关于投料试车相关事项的约定：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13.6 竣工退场</w:t>
      </w:r>
    </w:p>
    <w:p>
      <w:pPr>
        <w:spacing w:line="360" w:lineRule="auto"/>
        <w:ind w:firstLine="420" w:firstLineChars="200"/>
        <w:rPr>
          <w:rFonts w:ascii="宋体" w:hAnsi="宋体" w:cs="宋体"/>
        </w:rPr>
      </w:pPr>
      <w:r>
        <w:rPr>
          <w:rFonts w:hint="eastAsia" w:ascii="宋体" w:hAnsi="宋体" w:cs="宋体"/>
        </w:rPr>
        <w:t>13.6.1 竣工退场</w:t>
      </w:r>
    </w:p>
    <w:p>
      <w:pPr>
        <w:spacing w:line="360" w:lineRule="auto"/>
        <w:ind w:firstLine="420" w:firstLineChars="200"/>
        <w:rPr>
          <w:rFonts w:ascii="宋体" w:hAnsi="宋体" w:cs="宋体"/>
        </w:rPr>
      </w:pPr>
      <w:r>
        <w:rPr>
          <w:rFonts w:hint="eastAsia" w:ascii="宋体" w:hAnsi="宋体" w:cs="宋体"/>
        </w:rPr>
        <w:t>承包人完成竣工退场的期限：</w:t>
      </w:r>
      <w:r>
        <w:rPr>
          <w:rFonts w:hint="eastAsia" w:ascii="宋体" w:hAnsi="宋体" w:cs="宋体"/>
          <w:u w:val="single"/>
        </w:rPr>
        <w:t xml:space="preserve">  颁发工程接收证书后3天内   </w:t>
      </w:r>
      <w:r>
        <w:rPr>
          <w:rFonts w:hint="eastAsia" w:ascii="宋体" w:hAnsi="宋体" w:cs="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14.竣工结算</w:t>
      </w:r>
    </w:p>
    <w:p>
      <w:pPr>
        <w:spacing w:line="360" w:lineRule="auto"/>
        <w:ind w:firstLine="420" w:firstLineChars="200"/>
        <w:rPr>
          <w:rFonts w:ascii="宋体" w:hAnsi="宋体" w:cs="宋体"/>
        </w:rPr>
      </w:pPr>
      <w:r>
        <w:rPr>
          <w:rFonts w:hint="eastAsia" w:ascii="宋体" w:hAnsi="宋体" w:cs="宋体"/>
        </w:rPr>
        <w:t>14.1 竣工结算申请</w:t>
      </w:r>
    </w:p>
    <w:p>
      <w:pPr>
        <w:spacing w:line="360" w:lineRule="auto"/>
        <w:ind w:firstLine="420" w:firstLineChars="200"/>
        <w:rPr>
          <w:rFonts w:ascii="宋体" w:hAnsi="宋体" w:cs="宋体"/>
        </w:rPr>
      </w:pPr>
      <w:r>
        <w:rPr>
          <w:rFonts w:hint="eastAsia" w:ascii="宋体" w:hAnsi="宋体" w:cs="宋体"/>
        </w:rPr>
        <w:t>承包人提交竣工付款申请单的期限：</w:t>
      </w:r>
      <w:r>
        <w:rPr>
          <w:rFonts w:hint="eastAsia" w:ascii="宋体" w:hAnsi="宋体" w:cs="宋体"/>
          <w:u w:val="single"/>
        </w:rPr>
        <w:t xml:space="preserve">  工程竣工验收合格后28天内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竣工付款申请单应包括的内容：</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14.2 竣工结算审核</w:t>
      </w:r>
    </w:p>
    <w:p>
      <w:pPr>
        <w:spacing w:line="360" w:lineRule="auto"/>
        <w:ind w:firstLine="420" w:firstLineChars="200"/>
        <w:rPr>
          <w:rFonts w:ascii="宋体" w:hAnsi="宋体" w:cs="宋体"/>
        </w:rPr>
      </w:pPr>
      <w:r>
        <w:rPr>
          <w:rFonts w:hint="eastAsia" w:ascii="宋体" w:hAnsi="宋体" w:cs="宋体"/>
        </w:rPr>
        <w:t>发包人审批竣工付款申请单的期限：</w:t>
      </w:r>
      <w:r>
        <w:rPr>
          <w:rFonts w:hint="eastAsia" w:ascii="宋体" w:hAnsi="宋体" w:cs="宋体"/>
          <w:u w:val="single"/>
        </w:rPr>
        <w:t xml:space="preserve">  收到竣工付款申请单等资料28天内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发包人完成竣工付款的期限：</w:t>
      </w:r>
      <w:r>
        <w:rPr>
          <w:rFonts w:hint="eastAsia" w:ascii="宋体" w:hAnsi="宋体" w:cs="宋体"/>
          <w:u w:val="single"/>
        </w:rPr>
        <w:t xml:space="preserve">   签发竣工付款申请单28天内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关于竣工付款证书异议部分复核的方式和程序：</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14.4 最终结清</w:t>
      </w:r>
    </w:p>
    <w:p>
      <w:pPr>
        <w:spacing w:line="360" w:lineRule="auto"/>
        <w:ind w:firstLine="420" w:firstLineChars="200"/>
        <w:rPr>
          <w:rFonts w:ascii="宋体" w:hAnsi="宋体" w:cs="宋体"/>
        </w:rPr>
      </w:pPr>
      <w:r>
        <w:rPr>
          <w:rFonts w:hint="eastAsia" w:ascii="宋体" w:hAnsi="宋体" w:cs="宋体"/>
        </w:rPr>
        <w:t>14.4.1 最终结清申请单</w:t>
      </w:r>
    </w:p>
    <w:p>
      <w:pPr>
        <w:spacing w:line="360" w:lineRule="auto"/>
        <w:ind w:firstLine="420" w:firstLineChars="200"/>
        <w:rPr>
          <w:rFonts w:ascii="宋体" w:hAnsi="宋体" w:cs="宋体"/>
        </w:rPr>
      </w:pPr>
      <w:r>
        <w:rPr>
          <w:rFonts w:hint="eastAsia" w:ascii="宋体" w:hAnsi="宋体" w:cs="宋体"/>
        </w:rPr>
        <w:t>承包人提交最终结清申请单的份数：</w:t>
      </w:r>
      <w:r>
        <w:rPr>
          <w:rFonts w:hint="eastAsia" w:ascii="宋体" w:hAnsi="宋体" w:cs="宋体"/>
          <w:u w:val="single"/>
        </w:rPr>
        <w:t xml:space="preserve">  四份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承包人提交最终结算申请单的期限：</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14.4.2 最终结清证书和支付</w:t>
      </w:r>
    </w:p>
    <w:p>
      <w:pPr>
        <w:spacing w:line="360" w:lineRule="auto"/>
        <w:ind w:firstLine="420" w:firstLineChars="200"/>
        <w:rPr>
          <w:rFonts w:ascii="宋体" w:hAnsi="宋体" w:cs="宋体"/>
        </w:rPr>
      </w:pPr>
      <w:r>
        <w:rPr>
          <w:rFonts w:hint="eastAsia" w:ascii="宋体" w:hAnsi="宋体" w:cs="宋体"/>
        </w:rPr>
        <w:t>（1）发包人完成最终结清申请单的审批并颁发最终结清证书的期限：</w:t>
      </w:r>
      <w:r>
        <w:rPr>
          <w:rFonts w:hint="eastAsia" w:ascii="宋体" w:hAnsi="宋体" w:cs="宋体"/>
          <w:u w:val="single"/>
        </w:rPr>
        <w:t xml:space="preserve">  收到申请28天内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（2）发包人完成支付的期限：</w:t>
      </w:r>
      <w:r>
        <w:rPr>
          <w:rFonts w:hint="eastAsia" w:ascii="宋体" w:hAnsi="宋体" w:cs="宋体"/>
          <w:u w:val="single"/>
        </w:rPr>
        <w:t xml:space="preserve">  申请签发后14天内     </w:t>
      </w:r>
      <w:r>
        <w:rPr>
          <w:rFonts w:hint="eastAsia" w:ascii="宋体" w:hAnsi="宋体" w:cs="宋体"/>
        </w:rPr>
        <w:t>。</w:t>
      </w:r>
    </w:p>
    <w:p>
      <w:pPr>
        <w:spacing w:line="360" w:lineRule="auto"/>
        <w:ind w:firstLine="420" w:firstLineChars="200"/>
        <w:rPr>
          <w:rFonts w:ascii="宋体" w:hAnsi="宋体" w:cs="宋体"/>
        </w:rPr>
      </w:pPr>
    </w:p>
    <w:p>
      <w:pPr>
        <w:spacing w:line="360" w:lineRule="auto"/>
        <w:jc w:val="left"/>
        <w:rPr>
          <w:rFonts w:ascii="宋体" w:hAnsi="宋体" w:cs="宋体"/>
          <w:b/>
          <w:bCs/>
        </w:rPr>
      </w:pPr>
      <w:r>
        <w:rPr>
          <w:rFonts w:hint="eastAsia" w:ascii="宋体" w:hAnsi="宋体" w:cs="宋体"/>
          <w:b/>
          <w:bCs/>
        </w:rPr>
        <w:t>15.缺陷责任期与保修</w:t>
      </w:r>
    </w:p>
    <w:p>
      <w:pPr>
        <w:spacing w:line="360" w:lineRule="auto"/>
        <w:ind w:firstLine="420" w:firstLineChars="200"/>
        <w:rPr>
          <w:rFonts w:ascii="宋体" w:hAnsi="宋体" w:cs="宋体"/>
        </w:rPr>
      </w:pPr>
      <w:r>
        <w:rPr>
          <w:rFonts w:hint="eastAsia" w:ascii="宋体" w:hAnsi="宋体" w:cs="宋体"/>
        </w:rPr>
        <w:t>15.2 缺陷责任期</w:t>
      </w:r>
    </w:p>
    <w:p>
      <w:pPr>
        <w:spacing w:line="360" w:lineRule="auto"/>
        <w:ind w:firstLine="420" w:firstLineChars="200"/>
        <w:rPr>
          <w:rFonts w:ascii="宋体" w:hAnsi="宋体" w:cs="宋体"/>
        </w:rPr>
      </w:pPr>
      <w:r>
        <w:rPr>
          <w:rFonts w:hint="eastAsia" w:ascii="宋体" w:hAnsi="宋体" w:cs="宋体"/>
        </w:rPr>
        <w:t>缺陷责任期的具体期限：</w:t>
      </w:r>
      <w:r>
        <w:rPr>
          <w:rFonts w:hint="eastAsia" w:ascii="宋体" w:hAnsi="宋体" w:cs="宋体"/>
          <w:u w:val="single"/>
        </w:rPr>
        <w:t xml:space="preserve">     按国家相关规定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15.3 质量保证金</w:t>
      </w:r>
    </w:p>
    <w:p>
      <w:pPr>
        <w:spacing w:line="360" w:lineRule="auto"/>
        <w:ind w:firstLine="420" w:firstLineChars="200"/>
        <w:rPr>
          <w:rFonts w:ascii="宋体" w:hAnsi="宋体" w:cs="宋体"/>
        </w:rPr>
      </w:pPr>
      <w:r>
        <w:rPr>
          <w:rFonts w:hint="eastAsia" w:ascii="宋体" w:hAnsi="宋体" w:cs="宋体"/>
        </w:rPr>
        <w:t>关于是否扣留质量保证金的约定：</w:t>
      </w:r>
      <w:r>
        <w:rPr>
          <w:rFonts w:hint="eastAsia" w:ascii="宋体" w:hAnsi="宋体" w:cs="宋体"/>
          <w:u w:val="single"/>
        </w:rPr>
        <w:t xml:space="preserve">  扣留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15.3.1 承包人提供质量保证金的方式</w:t>
      </w:r>
    </w:p>
    <w:p>
      <w:pPr>
        <w:spacing w:line="360" w:lineRule="auto"/>
        <w:ind w:firstLine="420" w:firstLineChars="200"/>
        <w:rPr>
          <w:rFonts w:ascii="宋体" w:hAnsi="宋体" w:cs="宋体"/>
        </w:rPr>
      </w:pPr>
      <w:r>
        <w:rPr>
          <w:rFonts w:hint="eastAsia" w:ascii="宋体" w:hAnsi="宋体" w:cs="宋体"/>
        </w:rPr>
        <w:t>质量保证金采用以下第</w:t>
      </w:r>
      <w:r>
        <w:rPr>
          <w:rFonts w:hint="eastAsia" w:ascii="宋体" w:hAnsi="宋体" w:cs="宋体"/>
          <w:u w:val="single"/>
        </w:rPr>
        <w:t xml:space="preserve">   2    </w:t>
      </w:r>
      <w:r>
        <w:rPr>
          <w:rFonts w:hint="eastAsia" w:ascii="宋体" w:hAnsi="宋体" w:cs="宋体"/>
        </w:rPr>
        <w:t>种方式：</w:t>
      </w:r>
    </w:p>
    <w:p>
      <w:pPr>
        <w:spacing w:line="360" w:lineRule="auto"/>
        <w:ind w:firstLine="420" w:firstLineChars="200"/>
        <w:rPr>
          <w:rFonts w:ascii="宋体" w:hAnsi="宋体" w:cs="宋体"/>
        </w:rPr>
      </w:pPr>
      <w:r>
        <w:rPr>
          <w:rFonts w:hint="eastAsia" w:ascii="宋体" w:hAnsi="宋体" w:cs="宋体"/>
        </w:rPr>
        <w:t>（1）质量保证金保函，保证金额为：；</w:t>
      </w:r>
    </w:p>
    <w:p>
      <w:pPr>
        <w:spacing w:line="360" w:lineRule="auto"/>
        <w:ind w:firstLine="420" w:firstLineChars="200"/>
        <w:rPr>
          <w:rFonts w:ascii="宋体" w:hAnsi="宋体" w:cs="宋体"/>
        </w:rPr>
      </w:pPr>
      <w:r>
        <w:rPr>
          <w:rFonts w:hint="eastAsia" w:ascii="宋体" w:hAnsi="宋体" w:cs="宋体"/>
        </w:rPr>
        <w:t>（2）</w:t>
      </w:r>
      <w:r>
        <w:rPr>
          <w:rFonts w:hint="eastAsia" w:ascii="宋体" w:hAnsi="宋体" w:cs="宋体"/>
          <w:u w:val="single"/>
        </w:rPr>
        <w:t>3</w:t>
      </w:r>
      <w:r>
        <w:rPr>
          <w:rFonts w:hint="eastAsia" w:ascii="宋体" w:hAnsi="宋体" w:cs="宋体"/>
        </w:rPr>
        <w:t>%的工程款；</w:t>
      </w:r>
    </w:p>
    <w:p>
      <w:pPr>
        <w:spacing w:line="360" w:lineRule="auto"/>
        <w:ind w:firstLine="420" w:firstLineChars="200"/>
        <w:rPr>
          <w:rFonts w:ascii="宋体" w:hAnsi="宋体" w:cs="宋体"/>
        </w:rPr>
      </w:pPr>
      <w:r>
        <w:rPr>
          <w:rFonts w:hint="eastAsia" w:ascii="宋体" w:hAnsi="宋体" w:cs="宋体"/>
        </w:rPr>
        <w:t>（3）其他方式：。</w:t>
      </w:r>
    </w:p>
    <w:p>
      <w:pPr>
        <w:spacing w:line="360" w:lineRule="auto"/>
        <w:ind w:firstLine="420" w:firstLineChars="200"/>
        <w:rPr>
          <w:rFonts w:ascii="宋体" w:hAnsi="宋体" w:cs="宋体"/>
        </w:rPr>
      </w:pPr>
      <w:r>
        <w:rPr>
          <w:rFonts w:hint="eastAsia" w:ascii="宋体" w:hAnsi="宋体" w:cs="宋体"/>
        </w:rPr>
        <w:t>15.3.2 质量保证金的扣留</w:t>
      </w:r>
    </w:p>
    <w:p>
      <w:pPr>
        <w:spacing w:line="360" w:lineRule="auto"/>
        <w:ind w:firstLine="420" w:firstLineChars="200"/>
        <w:rPr>
          <w:rFonts w:ascii="宋体" w:hAnsi="宋体" w:cs="宋体"/>
        </w:rPr>
      </w:pPr>
      <w:r>
        <w:rPr>
          <w:rFonts w:hint="eastAsia" w:ascii="宋体" w:hAnsi="宋体" w:cs="宋体"/>
        </w:rPr>
        <w:t>质量保证金的扣留采取以下第</w:t>
      </w:r>
      <w:r>
        <w:rPr>
          <w:rFonts w:hint="eastAsia" w:ascii="宋体" w:hAnsi="宋体" w:cs="宋体"/>
          <w:u w:val="single"/>
        </w:rPr>
        <w:t xml:space="preserve"> 1 </w:t>
      </w:r>
      <w:r>
        <w:rPr>
          <w:rFonts w:hint="eastAsia" w:ascii="宋体" w:hAnsi="宋体" w:cs="宋体"/>
        </w:rPr>
        <w:t>种方式：</w:t>
      </w:r>
    </w:p>
    <w:p>
      <w:pPr>
        <w:spacing w:line="360" w:lineRule="auto"/>
        <w:ind w:firstLine="420" w:firstLineChars="200"/>
        <w:rPr>
          <w:rFonts w:ascii="宋体" w:hAnsi="宋体" w:cs="宋体"/>
        </w:rPr>
      </w:pPr>
      <w:r>
        <w:rPr>
          <w:rFonts w:hint="eastAsia" w:ascii="宋体" w:hAnsi="宋体" w:cs="宋体"/>
        </w:rPr>
        <w:t>（1）在支付工程进度款时逐次扣留，在此情形下，质量保证金的计算基数不包括预付款的支付、扣回以及价格调整的金额；</w:t>
      </w:r>
    </w:p>
    <w:p>
      <w:pPr>
        <w:spacing w:line="360" w:lineRule="auto"/>
        <w:ind w:firstLine="420" w:firstLineChars="200"/>
        <w:rPr>
          <w:rFonts w:ascii="宋体" w:hAnsi="宋体" w:cs="宋体"/>
        </w:rPr>
      </w:pPr>
      <w:r>
        <w:rPr>
          <w:rFonts w:hint="eastAsia" w:ascii="宋体" w:hAnsi="宋体" w:cs="宋体"/>
        </w:rPr>
        <w:t>（2）工程竣工结算时一次性扣留质量保证金；</w:t>
      </w:r>
    </w:p>
    <w:p>
      <w:pPr>
        <w:spacing w:line="360" w:lineRule="auto"/>
        <w:ind w:firstLine="420" w:firstLineChars="200"/>
        <w:rPr>
          <w:rFonts w:ascii="宋体" w:hAnsi="宋体" w:cs="宋体"/>
        </w:rPr>
      </w:pPr>
      <w:r>
        <w:rPr>
          <w:rFonts w:hint="eastAsia" w:ascii="宋体" w:hAnsi="宋体" w:cs="宋体"/>
        </w:rPr>
        <w:t>（3）其他扣留方式：。</w:t>
      </w:r>
    </w:p>
    <w:p>
      <w:pPr>
        <w:spacing w:line="360" w:lineRule="auto"/>
        <w:ind w:firstLine="420" w:firstLineChars="200"/>
        <w:rPr>
          <w:rFonts w:ascii="宋体" w:hAnsi="宋体" w:cs="宋体"/>
        </w:rPr>
      </w:pPr>
      <w:r>
        <w:rPr>
          <w:rFonts w:hint="eastAsia" w:ascii="宋体" w:hAnsi="宋体" w:cs="宋体"/>
        </w:rPr>
        <w:t>关于质量保证金的补充约定：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15.4 保修</w:t>
      </w:r>
    </w:p>
    <w:p>
      <w:pPr>
        <w:spacing w:line="360" w:lineRule="auto"/>
        <w:ind w:firstLine="420" w:firstLineChars="200"/>
        <w:rPr>
          <w:rFonts w:ascii="宋体" w:hAnsi="宋体" w:cs="宋体"/>
        </w:rPr>
      </w:pPr>
      <w:r>
        <w:rPr>
          <w:rFonts w:hint="eastAsia" w:ascii="宋体" w:hAnsi="宋体" w:cs="宋体"/>
        </w:rPr>
        <w:t>15.4.1 保修责任</w:t>
      </w:r>
    </w:p>
    <w:p>
      <w:pPr>
        <w:spacing w:line="360" w:lineRule="auto"/>
        <w:ind w:firstLine="420" w:firstLineChars="200"/>
        <w:rPr>
          <w:rFonts w:ascii="宋体" w:hAnsi="宋体" w:cs="宋体"/>
        </w:rPr>
      </w:pPr>
      <w:r>
        <w:rPr>
          <w:rFonts w:hint="eastAsia" w:ascii="宋体" w:hAnsi="宋体" w:cs="宋体"/>
        </w:rPr>
        <w:t>工程保修期为：</w:t>
      </w:r>
      <w:r>
        <w:rPr>
          <w:rFonts w:hint="eastAsia" w:ascii="宋体" w:hAnsi="宋体" w:cs="宋体"/>
          <w:u w:val="single"/>
        </w:rPr>
        <w:t xml:space="preserve">   按国务院279号令及建设部80号令执行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15.4.3 修复通知</w:t>
      </w:r>
    </w:p>
    <w:p>
      <w:pPr>
        <w:spacing w:line="360" w:lineRule="auto"/>
        <w:ind w:firstLine="420" w:firstLineChars="200"/>
        <w:rPr>
          <w:rFonts w:ascii="宋体" w:hAnsi="宋体" w:cs="宋体"/>
        </w:rPr>
      </w:pPr>
      <w:r>
        <w:rPr>
          <w:rFonts w:hint="eastAsia" w:ascii="宋体" w:hAnsi="宋体" w:cs="宋体"/>
        </w:rPr>
        <w:t>承包人收到保修通知并到达工程现场的合理时间：</w:t>
      </w:r>
      <w:r>
        <w:rPr>
          <w:rFonts w:hint="eastAsia" w:ascii="宋体" w:hAnsi="宋体" w:cs="宋体"/>
          <w:u w:val="single"/>
        </w:rPr>
        <w:t xml:space="preserve"> 24小时      </w:t>
      </w:r>
      <w:r>
        <w:rPr>
          <w:rFonts w:hint="eastAsia" w:ascii="宋体" w:hAnsi="宋体" w:cs="宋体"/>
        </w:rPr>
        <w:t>。</w:t>
      </w:r>
    </w:p>
    <w:p>
      <w:pPr>
        <w:spacing w:line="360" w:lineRule="auto"/>
        <w:ind w:firstLine="422" w:firstLineChars="200"/>
        <w:rPr>
          <w:rFonts w:ascii="宋体" w:hAnsi="宋体" w:cs="宋体"/>
          <w:b/>
          <w:bCs/>
        </w:rPr>
      </w:pPr>
    </w:p>
    <w:p>
      <w:pPr>
        <w:spacing w:line="360" w:lineRule="auto"/>
        <w:rPr>
          <w:rFonts w:ascii="宋体" w:hAnsi="宋体" w:cs="宋体"/>
          <w:b/>
          <w:bCs/>
        </w:rPr>
      </w:pPr>
      <w:r>
        <w:rPr>
          <w:rFonts w:hint="eastAsia" w:ascii="宋体" w:hAnsi="宋体" w:cs="宋体"/>
          <w:b/>
          <w:bCs/>
        </w:rPr>
        <w:t>16.违约</w:t>
      </w:r>
    </w:p>
    <w:p>
      <w:pPr>
        <w:spacing w:line="360" w:lineRule="auto"/>
        <w:ind w:firstLine="420" w:firstLineChars="200"/>
        <w:rPr>
          <w:rFonts w:ascii="宋体" w:hAnsi="宋体" w:cs="宋体"/>
        </w:rPr>
      </w:pPr>
      <w:r>
        <w:rPr>
          <w:rFonts w:hint="eastAsia" w:ascii="宋体" w:hAnsi="宋体" w:cs="宋体"/>
        </w:rPr>
        <w:t>16.1 发包人违约</w:t>
      </w:r>
    </w:p>
    <w:p>
      <w:pPr>
        <w:spacing w:line="360" w:lineRule="auto"/>
        <w:ind w:firstLine="420" w:firstLineChars="200"/>
        <w:rPr>
          <w:rFonts w:ascii="宋体" w:hAnsi="宋体" w:cs="宋体"/>
        </w:rPr>
      </w:pPr>
      <w:r>
        <w:rPr>
          <w:rFonts w:hint="eastAsia" w:ascii="宋体" w:hAnsi="宋体" w:cs="宋体"/>
        </w:rPr>
        <w:t>16.1.1 发包人违约的情形</w:t>
      </w:r>
    </w:p>
    <w:p>
      <w:pPr>
        <w:spacing w:line="360" w:lineRule="auto"/>
        <w:ind w:firstLine="420" w:firstLineChars="200"/>
        <w:rPr>
          <w:rFonts w:ascii="宋体" w:hAnsi="宋体" w:cs="宋体"/>
        </w:rPr>
      </w:pPr>
      <w:r>
        <w:rPr>
          <w:rFonts w:hint="eastAsia" w:ascii="宋体" w:hAnsi="宋体" w:cs="宋体"/>
        </w:rPr>
        <w:t>发包人违约的其他情形：</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16.1.2 发包人违约的责任</w:t>
      </w:r>
    </w:p>
    <w:p>
      <w:pPr>
        <w:spacing w:line="360" w:lineRule="auto"/>
        <w:ind w:firstLine="420" w:firstLineChars="200"/>
        <w:rPr>
          <w:rFonts w:ascii="宋体" w:hAnsi="宋体" w:cs="宋体"/>
        </w:rPr>
      </w:pPr>
      <w:r>
        <w:rPr>
          <w:rFonts w:hint="eastAsia" w:ascii="宋体" w:hAnsi="宋体" w:cs="宋体"/>
        </w:rPr>
        <w:t>发包人违约责任的承担方式和计算方法：</w:t>
      </w:r>
    </w:p>
    <w:p>
      <w:pPr>
        <w:spacing w:line="360" w:lineRule="auto"/>
        <w:ind w:firstLine="420" w:firstLineChars="200"/>
        <w:rPr>
          <w:rFonts w:ascii="宋体" w:hAnsi="宋体" w:cs="宋体"/>
        </w:rPr>
      </w:pPr>
      <w:r>
        <w:rPr>
          <w:rFonts w:hint="eastAsia" w:ascii="宋体" w:hAnsi="宋体" w:cs="宋体"/>
        </w:rPr>
        <w:t>（1）因发包人原因未能在计划开工日期前 7 天内下达开工通知的违约责任：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（2）因发包人原因未能按合同约定支付合同价款的违约责任：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（3）发包人违反第 10.1 款〔变更的范围〕第（2）项约定，自行实施被取消的工作或转由他人实施的违约责任：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（4）发包人提供的材料、工程设备的规格、数量或质量不符合合同约定，或因发包人原因导致交货日期延误或交货地点变更等情况的违约责任：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（5）因发包人违反合同约定造成暂停施工的违约责任：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（6）发包人无正当理由没有在约定期限内发出复工指示，导致承包人无法复工的违约责任：</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（7）其他：</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16.1.3 因发包人违约解除合同</w:t>
      </w:r>
    </w:p>
    <w:p>
      <w:pPr>
        <w:spacing w:line="360" w:lineRule="auto"/>
        <w:ind w:firstLine="420" w:firstLineChars="200"/>
        <w:rPr>
          <w:rFonts w:ascii="宋体" w:hAnsi="宋体" w:cs="宋体"/>
        </w:rPr>
      </w:pPr>
      <w:r>
        <w:rPr>
          <w:rFonts w:hint="eastAsia" w:ascii="宋体" w:hAnsi="宋体" w:cs="宋体"/>
        </w:rPr>
        <w:t>承包人按 16.1.1 项〔发包人违约的情形〕约定暂停施工满</w:t>
      </w:r>
      <w:r>
        <w:rPr>
          <w:rFonts w:hint="eastAsia" w:ascii="宋体" w:hAnsi="宋体" w:cs="宋体"/>
          <w:u w:val="single"/>
        </w:rPr>
        <w:t>60</w:t>
      </w:r>
      <w:r>
        <w:rPr>
          <w:rFonts w:hint="eastAsia" w:ascii="宋体" w:hAnsi="宋体" w:cs="宋体"/>
        </w:rPr>
        <w:t>天后发包人仍不纠正其违约行为并致使合同目的不能实现的，承包人有权解除合同。</w:t>
      </w:r>
    </w:p>
    <w:p>
      <w:pPr>
        <w:spacing w:line="360" w:lineRule="auto"/>
        <w:ind w:firstLine="420" w:firstLineChars="200"/>
        <w:rPr>
          <w:rFonts w:ascii="宋体" w:hAnsi="宋体" w:cs="宋体"/>
        </w:rPr>
      </w:pPr>
      <w:r>
        <w:rPr>
          <w:rFonts w:hint="eastAsia" w:ascii="宋体" w:hAnsi="宋体" w:cs="宋体"/>
        </w:rPr>
        <w:t>16.2 承包人违约</w:t>
      </w:r>
    </w:p>
    <w:p>
      <w:pPr>
        <w:spacing w:line="360" w:lineRule="auto"/>
        <w:ind w:firstLine="420" w:firstLineChars="200"/>
        <w:rPr>
          <w:rFonts w:ascii="宋体" w:hAnsi="宋体" w:cs="宋体"/>
        </w:rPr>
      </w:pPr>
      <w:r>
        <w:rPr>
          <w:rFonts w:hint="eastAsia" w:ascii="宋体" w:hAnsi="宋体" w:cs="宋体"/>
        </w:rPr>
        <w:t>16.2.1 承包人违约的情形</w:t>
      </w:r>
    </w:p>
    <w:p>
      <w:pPr>
        <w:spacing w:line="360" w:lineRule="auto"/>
        <w:ind w:firstLine="420" w:firstLineChars="200"/>
        <w:rPr>
          <w:rFonts w:ascii="宋体" w:hAnsi="宋体" w:cs="宋体"/>
        </w:rPr>
      </w:pPr>
      <w:r>
        <w:rPr>
          <w:rFonts w:hint="eastAsia" w:ascii="宋体" w:hAnsi="宋体" w:cs="宋体"/>
        </w:rPr>
        <w:t>承包人违约的其他情形：</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16.2.2 承包人违约的责任</w:t>
      </w:r>
    </w:p>
    <w:p>
      <w:pPr>
        <w:spacing w:line="360" w:lineRule="auto"/>
        <w:ind w:firstLine="420" w:firstLineChars="200"/>
        <w:rPr>
          <w:rFonts w:ascii="宋体" w:hAnsi="宋体" w:cs="宋体"/>
        </w:rPr>
      </w:pPr>
      <w:r>
        <w:rPr>
          <w:rFonts w:hint="eastAsia" w:ascii="宋体" w:hAnsi="宋体" w:cs="宋体"/>
        </w:rPr>
        <w:t>承包人违约责任的承担方式和计算方法：</w:t>
      </w:r>
      <w:r>
        <w:rPr>
          <w:rFonts w:hint="eastAsia" w:ascii="宋体" w:hAnsi="宋体" w:cs="宋体"/>
          <w:u w:val="single"/>
        </w:rPr>
        <w:t xml:space="preserve">  由承包人承担全部费用并承担相关法律责任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16.2.3 因承包人违约解除合同</w:t>
      </w:r>
    </w:p>
    <w:p>
      <w:pPr>
        <w:spacing w:line="360" w:lineRule="auto"/>
        <w:ind w:firstLine="420" w:firstLineChars="200"/>
        <w:rPr>
          <w:rFonts w:ascii="宋体" w:hAnsi="宋体" w:cs="宋体"/>
        </w:rPr>
      </w:pPr>
      <w:r>
        <w:rPr>
          <w:rFonts w:hint="eastAsia" w:ascii="宋体" w:hAnsi="宋体" w:cs="宋体"/>
        </w:rPr>
        <w:t>关于承包人违约解除合同的特别约定：</w:t>
      </w:r>
      <w:r>
        <w:rPr>
          <w:rFonts w:hint="eastAsia" w:ascii="宋体" w:hAnsi="宋体" w:cs="宋体"/>
          <w:u w:val="single"/>
        </w:rPr>
        <w:t xml:space="preserve"> 执行通用条款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发包人继续使用承包人在施工现场的材料、设备、临时工程、承包人文件和由承包人或以其名义编制的其他文件的费用承担方式：</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17.不可抗力</w:t>
      </w:r>
    </w:p>
    <w:p>
      <w:pPr>
        <w:spacing w:line="360" w:lineRule="auto"/>
        <w:ind w:firstLine="420" w:firstLineChars="200"/>
        <w:rPr>
          <w:rFonts w:ascii="宋体" w:hAnsi="宋体" w:cs="宋体"/>
        </w:rPr>
      </w:pPr>
      <w:r>
        <w:rPr>
          <w:rFonts w:hint="eastAsia" w:ascii="宋体" w:hAnsi="宋体" w:cs="宋体"/>
        </w:rPr>
        <w:t>17.1 不可抗力的确认</w:t>
      </w:r>
    </w:p>
    <w:p>
      <w:pPr>
        <w:spacing w:line="360" w:lineRule="auto"/>
        <w:ind w:firstLine="420" w:firstLineChars="200"/>
        <w:rPr>
          <w:rFonts w:ascii="宋体" w:hAnsi="宋体" w:cs="宋体"/>
        </w:rPr>
      </w:pPr>
      <w:r>
        <w:rPr>
          <w:rFonts w:hint="eastAsia" w:ascii="宋体" w:hAnsi="宋体" w:cs="宋体"/>
        </w:rPr>
        <w:t>除通用合同条款约定的不可抗力事件之外，视为不可抗力的其他情形：</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17.4 因不可抗力解除合同</w:t>
      </w:r>
    </w:p>
    <w:p>
      <w:pPr>
        <w:spacing w:line="360" w:lineRule="auto"/>
        <w:ind w:firstLine="420" w:firstLineChars="200"/>
        <w:rPr>
          <w:rFonts w:ascii="宋体" w:hAnsi="宋体" w:cs="宋体"/>
        </w:rPr>
      </w:pPr>
      <w:r>
        <w:rPr>
          <w:rFonts w:hint="eastAsia" w:ascii="宋体" w:hAnsi="宋体" w:cs="宋体"/>
        </w:rPr>
        <w:t>合同解除后，发包人应在商定或确定发包人应支付款项后</w:t>
      </w:r>
      <w:r>
        <w:rPr>
          <w:rFonts w:hint="eastAsia" w:ascii="宋体" w:hAnsi="宋体" w:cs="宋体"/>
          <w:u w:val="single"/>
        </w:rPr>
        <w:t>60</w:t>
      </w:r>
      <w:r>
        <w:rPr>
          <w:rFonts w:hint="eastAsia" w:ascii="宋体" w:hAnsi="宋体" w:cs="宋体"/>
        </w:rPr>
        <w:t>天内完成款项的支付。</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18.保险</w:t>
      </w:r>
    </w:p>
    <w:p>
      <w:pPr>
        <w:spacing w:line="360" w:lineRule="auto"/>
        <w:ind w:firstLine="420" w:firstLineChars="200"/>
        <w:rPr>
          <w:rFonts w:ascii="宋体" w:hAnsi="宋体" w:cs="宋体"/>
        </w:rPr>
      </w:pPr>
      <w:r>
        <w:rPr>
          <w:rFonts w:hint="eastAsia" w:ascii="宋体" w:hAnsi="宋体" w:cs="宋体"/>
        </w:rPr>
        <w:t>18.1 工程保险</w:t>
      </w:r>
    </w:p>
    <w:p>
      <w:pPr>
        <w:spacing w:line="360" w:lineRule="auto"/>
        <w:ind w:firstLine="420" w:firstLineChars="200"/>
        <w:rPr>
          <w:rFonts w:ascii="宋体" w:hAnsi="宋体" w:cs="宋体"/>
        </w:rPr>
      </w:pPr>
      <w:r>
        <w:rPr>
          <w:rFonts w:hint="eastAsia" w:ascii="宋体" w:hAnsi="宋体" w:cs="宋体"/>
        </w:rPr>
        <w:t>关于工程保险的特别约定：</w:t>
      </w:r>
      <w:r>
        <w:rPr>
          <w:rFonts w:hint="eastAsia" w:ascii="宋体" w:hAnsi="宋体" w:cs="宋体"/>
          <w:u w:val="single"/>
        </w:rPr>
        <w:t xml:space="preserve"> 执行通用条款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18.3 安全生产责任保险</w:t>
      </w:r>
    </w:p>
    <w:p>
      <w:pPr>
        <w:spacing w:line="360" w:lineRule="auto"/>
        <w:ind w:firstLine="420" w:firstLineChars="200"/>
        <w:rPr>
          <w:rFonts w:ascii="宋体" w:hAnsi="宋体" w:cs="宋体"/>
        </w:rPr>
      </w:pPr>
      <w:r>
        <w:rPr>
          <w:rFonts w:hint="eastAsia" w:ascii="宋体" w:hAnsi="宋体" w:cs="宋体"/>
        </w:rPr>
        <w:t>关于安全生产责任保险的约定：</w:t>
      </w:r>
      <w:r>
        <w:rPr>
          <w:rFonts w:hint="eastAsia" w:ascii="宋体" w:hAnsi="宋体" w:cs="宋体"/>
          <w:u w:val="single"/>
        </w:rPr>
        <w:t xml:space="preserve"> /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18.7 通知义务</w:t>
      </w:r>
    </w:p>
    <w:p>
      <w:pPr>
        <w:spacing w:line="360" w:lineRule="auto"/>
        <w:ind w:firstLine="420" w:firstLineChars="200"/>
        <w:rPr>
          <w:rFonts w:ascii="宋体" w:hAnsi="宋体" w:cs="宋体"/>
        </w:rPr>
      </w:pPr>
      <w:r>
        <w:rPr>
          <w:rFonts w:hint="eastAsia" w:ascii="宋体" w:hAnsi="宋体" w:cs="宋体"/>
        </w:rPr>
        <w:t>关于变更保险合同时的通知义务的约定：</w:t>
      </w:r>
      <w:r>
        <w:rPr>
          <w:rFonts w:hint="eastAsia" w:ascii="宋体" w:hAnsi="宋体" w:cs="宋体"/>
          <w:u w:val="single"/>
        </w:rPr>
        <w:t xml:space="preserve">   双方另行约定   </w:t>
      </w:r>
      <w:r>
        <w:rPr>
          <w:rFonts w:hint="eastAsia" w:ascii="宋体" w:hAnsi="宋体" w:cs="宋体"/>
        </w:rPr>
        <w:t>。</w:t>
      </w:r>
    </w:p>
    <w:p>
      <w:pPr>
        <w:spacing w:line="360" w:lineRule="auto"/>
        <w:ind w:firstLine="420" w:firstLineChars="200"/>
        <w:rPr>
          <w:rFonts w:ascii="宋体" w:hAnsi="宋体" w:cs="宋体"/>
        </w:rPr>
      </w:pPr>
    </w:p>
    <w:p>
      <w:pPr>
        <w:spacing w:line="360" w:lineRule="auto"/>
        <w:rPr>
          <w:rFonts w:ascii="宋体" w:hAnsi="宋体" w:cs="宋体"/>
          <w:b/>
          <w:bCs/>
        </w:rPr>
      </w:pPr>
      <w:r>
        <w:rPr>
          <w:rFonts w:hint="eastAsia" w:ascii="宋体" w:hAnsi="宋体" w:cs="宋体"/>
          <w:b/>
          <w:bCs/>
        </w:rPr>
        <w:t>20.争议解决</w:t>
      </w:r>
    </w:p>
    <w:p>
      <w:pPr>
        <w:spacing w:line="360" w:lineRule="auto"/>
        <w:ind w:firstLine="420" w:firstLineChars="200"/>
        <w:rPr>
          <w:rFonts w:ascii="宋体" w:hAnsi="宋体" w:cs="宋体"/>
        </w:rPr>
      </w:pPr>
      <w:r>
        <w:rPr>
          <w:rFonts w:hint="eastAsia" w:ascii="宋体" w:hAnsi="宋体" w:cs="宋体"/>
        </w:rPr>
        <w:t>20.3 争议评审</w:t>
      </w:r>
    </w:p>
    <w:p>
      <w:pPr>
        <w:spacing w:line="360" w:lineRule="auto"/>
        <w:ind w:firstLine="420" w:firstLineChars="200"/>
        <w:rPr>
          <w:rFonts w:ascii="宋体" w:hAnsi="宋体" w:cs="宋体"/>
        </w:rPr>
      </w:pPr>
      <w:r>
        <w:rPr>
          <w:rFonts w:hint="eastAsia" w:ascii="宋体" w:hAnsi="宋体" w:cs="宋体"/>
        </w:rPr>
        <w:t>合同当事人是否同意将工程争议提交争议评审小组决定：</w:t>
      </w:r>
      <w:r>
        <w:rPr>
          <w:rFonts w:hint="eastAsia" w:ascii="宋体" w:hAnsi="宋体" w:cs="宋体"/>
          <w:u w:val="single"/>
        </w:rPr>
        <w:t xml:space="preserve"> 否 </w:t>
      </w:r>
      <w:r>
        <w:rPr>
          <w:rFonts w:hint="eastAsia" w:ascii="宋体" w:hAnsi="宋体" w:cs="宋体"/>
        </w:rPr>
        <w:t>。</w:t>
      </w:r>
    </w:p>
    <w:p>
      <w:pPr>
        <w:spacing w:line="360" w:lineRule="auto"/>
        <w:ind w:firstLine="420" w:firstLineChars="200"/>
        <w:rPr>
          <w:rFonts w:ascii="宋体" w:hAnsi="宋体" w:cs="宋体"/>
        </w:rPr>
      </w:pPr>
      <w:r>
        <w:rPr>
          <w:rFonts w:hint="eastAsia" w:ascii="宋体" w:hAnsi="宋体" w:cs="宋体"/>
        </w:rPr>
        <w:t>20.3.1 争议评审小组的确定</w:t>
      </w:r>
    </w:p>
    <w:p>
      <w:pPr>
        <w:spacing w:line="360" w:lineRule="auto"/>
        <w:ind w:firstLine="420" w:firstLineChars="200"/>
        <w:rPr>
          <w:rFonts w:ascii="宋体" w:hAnsi="宋体" w:cs="宋体"/>
        </w:rPr>
      </w:pPr>
      <w:r>
        <w:rPr>
          <w:rFonts w:hint="eastAsia" w:ascii="宋体" w:hAnsi="宋体" w:cs="宋体"/>
        </w:rPr>
        <w:t>争议评审小组成员的确定：。</w:t>
      </w:r>
    </w:p>
    <w:p>
      <w:pPr>
        <w:spacing w:line="360" w:lineRule="auto"/>
        <w:ind w:firstLine="420" w:firstLineChars="200"/>
        <w:rPr>
          <w:rFonts w:ascii="宋体" w:hAnsi="宋体" w:cs="宋体"/>
        </w:rPr>
      </w:pPr>
      <w:r>
        <w:rPr>
          <w:rFonts w:hint="eastAsia" w:ascii="宋体" w:hAnsi="宋体" w:cs="宋体"/>
        </w:rPr>
        <w:t>选定争议评审员的期限：。</w:t>
      </w:r>
    </w:p>
    <w:p>
      <w:pPr>
        <w:spacing w:line="360" w:lineRule="auto"/>
        <w:ind w:firstLine="420" w:firstLineChars="200"/>
        <w:rPr>
          <w:rFonts w:ascii="宋体" w:hAnsi="宋体" w:cs="宋体"/>
        </w:rPr>
      </w:pPr>
      <w:r>
        <w:rPr>
          <w:rFonts w:hint="eastAsia" w:ascii="宋体" w:hAnsi="宋体" w:cs="宋体"/>
        </w:rPr>
        <w:t>争议评审小组成员的报酬承担方式：。</w:t>
      </w:r>
    </w:p>
    <w:p>
      <w:pPr>
        <w:spacing w:line="360" w:lineRule="auto"/>
        <w:ind w:firstLine="420" w:firstLineChars="200"/>
        <w:rPr>
          <w:rFonts w:ascii="宋体" w:hAnsi="宋体" w:cs="宋体"/>
        </w:rPr>
      </w:pPr>
      <w:r>
        <w:rPr>
          <w:rFonts w:hint="eastAsia" w:ascii="宋体" w:hAnsi="宋体" w:cs="宋体"/>
        </w:rPr>
        <w:t>其他事项的约定：。</w:t>
      </w:r>
    </w:p>
    <w:p>
      <w:pPr>
        <w:spacing w:line="360" w:lineRule="auto"/>
        <w:ind w:firstLine="420" w:firstLineChars="200"/>
        <w:rPr>
          <w:rFonts w:ascii="宋体" w:hAnsi="宋体" w:cs="宋体"/>
        </w:rPr>
      </w:pPr>
      <w:r>
        <w:rPr>
          <w:rFonts w:hint="eastAsia" w:ascii="宋体" w:hAnsi="宋体" w:cs="宋体"/>
        </w:rPr>
        <w:t>20.3.2 争议评审小组的决定</w:t>
      </w:r>
    </w:p>
    <w:p>
      <w:pPr>
        <w:spacing w:line="360" w:lineRule="auto"/>
        <w:ind w:firstLine="420" w:firstLineChars="200"/>
        <w:rPr>
          <w:rFonts w:ascii="宋体" w:hAnsi="宋体" w:cs="宋体"/>
        </w:rPr>
      </w:pPr>
      <w:r>
        <w:rPr>
          <w:rFonts w:hint="eastAsia" w:ascii="宋体" w:hAnsi="宋体" w:cs="宋体"/>
        </w:rPr>
        <w:t>合同当事人关于本项的约定：。</w:t>
      </w:r>
    </w:p>
    <w:p>
      <w:pPr>
        <w:spacing w:line="360" w:lineRule="auto"/>
        <w:ind w:firstLine="420" w:firstLineChars="200"/>
        <w:rPr>
          <w:rFonts w:ascii="宋体" w:hAnsi="宋体" w:cs="宋体"/>
        </w:rPr>
      </w:pPr>
      <w:r>
        <w:rPr>
          <w:rFonts w:hint="eastAsia" w:ascii="宋体" w:hAnsi="宋体" w:cs="宋体"/>
        </w:rPr>
        <w:t>20.4 仲裁或诉讼</w:t>
      </w:r>
    </w:p>
    <w:p>
      <w:pPr>
        <w:spacing w:line="360" w:lineRule="auto"/>
        <w:ind w:firstLine="420" w:firstLineChars="200"/>
        <w:rPr>
          <w:rFonts w:ascii="宋体" w:hAnsi="宋体" w:cs="宋体"/>
        </w:rPr>
      </w:pPr>
      <w:r>
        <w:rPr>
          <w:rFonts w:hint="eastAsia" w:ascii="宋体" w:hAnsi="宋体" w:cs="宋体"/>
        </w:rPr>
        <w:t>因合同及合同有关事项发生的争议，按下列第种方式解决：</w:t>
      </w:r>
    </w:p>
    <w:p>
      <w:pPr>
        <w:spacing w:line="360" w:lineRule="auto"/>
        <w:ind w:firstLine="420" w:firstLineChars="200"/>
        <w:rPr>
          <w:rFonts w:ascii="宋体" w:hAnsi="宋体" w:cs="宋体"/>
        </w:rPr>
      </w:pPr>
      <w:r>
        <w:rPr>
          <w:rFonts w:hint="eastAsia" w:ascii="宋体" w:hAnsi="宋体" w:cs="宋体"/>
        </w:rPr>
        <w:t>（1）向仲裁委员会申请仲裁；</w:t>
      </w:r>
    </w:p>
    <w:p>
      <w:pPr>
        <w:spacing w:line="360" w:lineRule="auto"/>
        <w:ind w:firstLine="420" w:firstLineChars="200"/>
        <w:rPr>
          <w:rFonts w:ascii="宋体" w:hAnsi="宋体" w:cs="宋体"/>
        </w:rPr>
      </w:pPr>
      <w:r>
        <w:rPr>
          <w:rFonts w:hint="eastAsia" w:ascii="宋体" w:hAnsi="宋体" w:cs="宋体"/>
        </w:rPr>
        <w:t>（2）向人民法院起诉。</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jc w:val="center"/>
        <w:rPr>
          <w:rFonts w:ascii="黑体" w:hAnsi="黑体" w:eastAsia="黑体"/>
          <w:color w:val="000000"/>
          <w:sz w:val="32"/>
        </w:rPr>
      </w:pPr>
      <w:r>
        <w:rPr>
          <w:rFonts w:hint="eastAsia" w:ascii="黑体" w:hAnsi="黑体" w:eastAsia="黑体"/>
          <w:color w:val="000000"/>
          <w:sz w:val="32"/>
        </w:rPr>
        <w:t>第四部分  合同附件及格式</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b/>
          <w:sz w:val="30"/>
          <w:szCs w:val="30"/>
        </w:rPr>
      </w:pPr>
      <w:r>
        <w:rPr>
          <w:rFonts w:hint="eastAsia" w:ascii="宋体" w:hAnsi="宋体"/>
          <w:b/>
          <w:sz w:val="30"/>
          <w:szCs w:val="30"/>
        </w:rPr>
        <w:t xml:space="preserve">附件  </w:t>
      </w:r>
    </w:p>
    <w:p>
      <w:pPr>
        <w:spacing w:line="360" w:lineRule="auto"/>
        <w:rPr>
          <w:rFonts w:ascii="宋体" w:hAnsi="宋体"/>
          <w:b/>
          <w:sz w:val="28"/>
          <w:szCs w:val="28"/>
        </w:rPr>
      </w:pPr>
      <w:r>
        <w:rPr>
          <w:rFonts w:hint="eastAsia" w:ascii="宋体" w:hAnsi="宋体"/>
          <w:b/>
          <w:sz w:val="28"/>
          <w:szCs w:val="28"/>
        </w:rPr>
        <w:t xml:space="preserve">1.协议书附件： </w:t>
      </w:r>
    </w:p>
    <w:p>
      <w:pPr>
        <w:spacing w:line="360" w:lineRule="auto"/>
        <w:rPr>
          <w:rFonts w:ascii="宋体" w:hAnsi="宋体"/>
          <w:sz w:val="24"/>
        </w:rPr>
      </w:pPr>
      <w:r>
        <w:rPr>
          <w:rFonts w:hint="eastAsia" w:ascii="宋体" w:hAnsi="宋体"/>
          <w:sz w:val="24"/>
        </w:rPr>
        <w:t xml:space="preserve">   附件 1：承包人承揽工程项目一览表 </w:t>
      </w:r>
    </w:p>
    <w:p>
      <w:pPr>
        <w:spacing w:line="360" w:lineRule="auto"/>
        <w:rPr>
          <w:rFonts w:ascii="宋体" w:hAnsi="宋体"/>
          <w:b/>
          <w:sz w:val="28"/>
          <w:szCs w:val="28"/>
        </w:rPr>
      </w:pPr>
      <w:r>
        <w:rPr>
          <w:rFonts w:hint="eastAsia" w:ascii="宋体" w:hAnsi="宋体"/>
          <w:b/>
          <w:sz w:val="28"/>
          <w:szCs w:val="28"/>
        </w:rPr>
        <w:t>2.专用合同条款附件：</w:t>
      </w:r>
    </w:p>
    <w:p>
      <w:pPr>
        <w:spacing w:line="360" w:lineRule="auto"/>
        <w:ind w:firstLine="360" w:firstLineChars="150"/>
        <w:rPr>
          <w:rFonts w:ascii="宋体" w:hAnsi="宋体"/>
          <w:sz w:val="24"/>
        </w:rPr>
      </w:pPr>
      <w:r>
        <w:rPr>
          <w:rFonts w:hint="eastAsia" w:ascii="宋体" w:hAnsi="宋体"/>
          <w:sz w:val="24"/>
        </w:rPr>
        <w:t xml:space="preserve">附件 2：发包人供应材料设备一览表 </w:t>
      </w:r>
    </w:p>
    <w:p>
      <w:pPr>
        <w:spacing w:line="360" w:lineRule="auto"/>
        <w:ind w:firstLine="360" w:firstLineChars="150"/>
        <w:rPr>
          <w:rFonts w:ascii="宋体" w:hAnsi="宋体"/>
          <w:sz w:val="24"/>
        </w:rPr>
      </w:pPr>
      <w:r>
        <w:rPr>
          <w:rFonts w:hint="eastAsia" w:ascii="宋体" w:hAnsi="宋体"/>
          <w:sz w:val="24"/>
        </w:rPr>
        <w:t xml:space="preserve">附件 3：工程质量保修书 </w:t>
      </w:r>
    </w:p>
    <w:p>
      <w:pPr>
        <w:spacing w:line="360" w:lineRule="auto"/>
        <w:ind w:firstLine="360" w:firstLineChars="150"/>
        <w:rPr>
          <w:rFonts w:ascii="宋体" w:hAnsi="宋体"/>
          <w:sz w:val="24"/>
        </w:rPr>
      </w:pPr>
      <w:r>
        <w:rPr>
          <w:rFonts w:hint="eastAsia" w:ascii="宋体" w:hAnsi="宋体"/>
          <w:sz w:val="24"/>
        </w:rPr>
        <w:t xml:space="preserve">附件 4：主要建设工程文件目录 </w:t>
      </w:r>
    </w:p>
    <w:p>
      <w:pPr>
        <w:spacing w:line="360" w:lineRule="auto"/>
        <w:ind w:firstLine="360" w:firstLineChars="150"/>
        <w:rPr>
          <w:rFonts w:ascii="宋体" w:hAnsi="宋体"/>
          <w:sz w:val="24"/>
        </w:rPr>
      </w:pPr>
      <w:r>
        <w:rPr>
          <w:rFonts w:hint="eastAsia" w:ascii="宋体" w:hAnsi="宋体"/>
          <w:sz w:val="24"/>
        </w:rPr>
        <w:t xml:space="preserve">附件 5：承包人用于本工程施工的机械设备表 </w:t>
      </w:r>
    </w:p>
    <w:p>
      <w:pPr>
        <w:spacing w:line="360" w:lineRule="auto"/>
        <w:ind w:firstLine="360" w:firstLineChars="150"/>
        <w:rPr>
          <w:rFonts w:ascii="宋体" w:hAnsi="宋体"/>
          <w:sz w:val="24"/>
        </w:rPr>
      </w:pPr>
      <w:r>
        <w:rPr>
          <w:rFonts w:hint="eastAsia" w:ascii="宋体" w:hAnsi="宋体"/>
          <w:sz w:val="24"/>
        </w:rPr>
        <w:t xml:space="preserve">附件 6：承包人主要施工管理人员表 </w:t>
      </w:r>
    </w:p>
    <w:p>
      <w:pPr>
        <w:spacing w:line="360" w:lineRule="auto"/>
        <w:ind w:firstLine="360" w:firstLineChars="150"/>
        <w:rPr>
          <w:rFonts w:ascii="宋体" w:hAnsi="宋体"/>
          <w:sz w:val="24"/>
        </w:rPr>
      </w:pPr>
      <w:r>
        <w:rPr>
          <w:rFonts w:hint="eastAsia" w:ascii="宋体" w:hAnsi="宋体"/>
          <w:sz w:val="24"/>
        </w:rPr>
        <w:t xml:space="preserve">附件 7：分包人主要施工管理人员表 </w:t>
      </w:r>
    </w:p>
    <w:p>
      <w:pPr>
        <w:spacing w:line="360" w:lineRule="auto"/>
        <w:ind w:firstLine="360" w:firstLineChars="150"/>
        <w:rPr>
          <w:rFonts w:ascii="宋体" w:hAnsi="宋体"/>
          <w:sz w:val="24"/>
        </w:rPr>
      </w:pPr>
      <w:r>
        <w:rPr>
          <w:rFonts w:hint="eastAsia" w:ascii="宋体" w:hAnsi="宋体"/>
          <w:sz w:val="24"/>
        </w:rPr>
        <w:t xml:space="preserve">附件 8：履约担保格式 </w:t>
      </w:r>
    </w:p>
    <w:p>
      <w:pPr>
        <w:spacing w:line="360" w:lineRule="auto"/>
        <w:ind w:firstLine="360" w:firstLineChars="150"/>
        <w:rPr>
          <w:rFonts w:ascii="宋体" w:hAnsi="宋体"/>
          <w:sz w:val="24"/>
        </w:rPr>
      </w:pPr>
      <w:r>
        <w:rPr>
          <w:rFonts w:hint="eastAsia" w:ascii="宋体" w:hAnsi="宋体"/>
          <w:sz w:val="24"/>
        </w:rPr>
        <w:t xml:space="preserve">附件 9：预付款担保格式 </w:t>
      </w:r>
    </w:p>
    <w:p>
      <w:pPr>
        <w:spacing w:line="360" w:lineRule="auto"/>
        <w:ind w:firstLine="360" w:firstLineChars="150"/>
        <w:rPr>
          <w:rFonts w:ascii="宋体" w:hAnsi="宋体"/>
          <w:sz w:val="24"/>
        </w:rPr>
      </w:pPr>
      <w:r>
        <w:rPr>
          <w:rFonts w:hint="eastAsia" w:ascii="宋体" w:hAnsi="宋体"/>
          <w:sz w:val="24"/>
        </w:rPr>
        <w:t xml:space="preserve">附件 10：支付担保格式 </w:t>
      </w:r>
    </w:p>
    <w:p>
      <w:pPr>
        <w:spacing w:line="360" w:lineRule="auto"/>
        <w:ind w:firstLine="360" w:firstLineChars="150"/>
        <w:rPr>
          <w:rFonts w:ascii="宋体" w:hAnsi="宋体"/>
          <w:sz w:val="24"/>
        </w:rPr>
      </w:pPr>
      <w:r>
        <w:rPr>
          <w:rFonts w:hint="eastAsia" w:ascii="宋体" w:hAnsi="宋体"/>
          <w:sz w:val="24"/>
        </w:rPr>
        <w:t xml:space="preserve">附件 11：暂估价一览表 </w:t>
      </w:r>
    </w:p>
    <w:p>
      <w:pPr>
        <w:spacing w:line="360" w:lineRule="auto"/>
        <w:rPr>
          <w:rFonts w:ascii="宋体" w:hAnsi="宋体"/>
          <w:sz w:val="24"/>
        </w:rPr>
        <w:sectPr>
          <w:footerReference r:id="rId10" w:type="default"/>
          <w:pgSz w:w="11906" w:h="16838"/>
          <w:pgMar w:top="1701" w:right="1588" w:bottom="1588" w:left="1701" w:header="851" w:footer="992" w:gutter="0"/>
          <w:cols w:space="720" w:num="1"/>
          <w:docGrid w:type="lines" w:linePitch="312" w:charSpace="0"/>
        </w:sectPr>
      </w:pPr>
    </w:p>
    <w:p>
      <w:pPr>
        <w:spacing w:line="360" w:lineRule="auto"/>
        <w:rPr>
          <w:rFonts w:ascii="宋体" w:hAnsi="宋体"/>
          <w:sz w:val="24"/>
        </w:rPr>
      </w:pPr>
      <w:r>
        <w:rPr>
          <w:rFonts w:hint="eastAsia" w:ascii="宋体" w:hAnsi="宋体"/>
          <w:sz w:val="24"/>
        </w:rPr>
        <w:t xml:space="preserve"> 附件 1： </w:t>
      </w:r>
    </w:p>
    <w:p>
      <w:pPr>
        <w:spacing w:line="360" w:lineRule="auto"/>
        <w:jc w:val="center"/>
        <w:rPr>
          <w:rFonts w:ascii="宋体" w:hAnsi="宋体"/>
          <w:b/>
          <w:sz w:val="28"/>
          <w:szCs w:val="28"/>
        </w:rPr>
      </w:pPr>
      <w:r>
        <w:rPr>
          <w:rFonts w:hint="eastAsia" w:ascii="宋体" w:hAnsi="宋体"/>
          <w:b/>
          <w:sz w:val="28"/>
          <w:szCs w:val="28"/>
        </w:rPr>
        <w:t>承包人承揽工程项目一览表</w:t>
      </w:r>
    </w:p>
    <w:tbl>
      <w:tblPr>
        <w:tblStyle w:val="42"/>
        <w:tblpPr w:vertAnchor="text" w:tblpXSpec="center" w:tblpY="1"/>
        <w:tblW w:w="13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00"/>
        <w:gridCol w:w="1720"/>
        <w:gridCol w:w="1540"/>
        <w:gridCol w:w="2060"/>
        <w:gridCol w:w="800"/>
        <w:gridCol w:w="1480"/>
        <w:gridCol w:w="1980"/>
        <w:gridCol w:w="1340"/>
        <w:gridCol w:w="80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40" w:hRule="exact"/>
        </w:trPr>
        <w:tc>
          <w:tcPr>
            <w:tcW w:w="1200" w:type="dxa"/>
            <w:tcBorders>
              <w:top w:val="single" w:color="auto" w:sz="6" w:space="0"/>
              <w:left w:val="single" w:color="auto" w:sz="4" w:space="0"/>
              <w:bottom w:val="single" w:color="auto" w:sz="6" w:space="0"/>
              <w:right w:val="single" w:color="auto" w:sz="4" w:space="0"/>
            </w:tcBorders>
            <w:vAlign w:val="center"/>
          </w:tcPr>
          <w:p>
            <w:pPr>
              <w:spacing w:before="100" w:line="240" w:lineRule="exact"/>
              <w:ind w:left="200"/>
              <w:jc w:val="center"/>
              <w:rPr>
                <w:rFonts w:ascii="宋体" w:hAnsi="宋体"/>
                <w:szCs w:val="21"/>
              </w:rPr>
            </w:pPr>
            <w:r>
              <w:rPr>
                <w:rFonts w:hint="eastAsia" w:ascii="宋体" w:hAnsi="宋体"/>
                <w:szCs w:val="21"/>
              </w:rPr>
              <w:t>单位工</w:t>
            </w:r>
          </w:p>
          <w:p>
            <w:pPr>
              <w:spacing w:before="180" w:line="240" w:lineRule="exact"/>
              <w:ind w:left="200"/>
              <w:jc w:val="center"/>
              <w:rPr>
                <w:rFonts w:ascii="宋体" w:hAnsi="宋体"/>
                <w:szCs w:val="21"/>
              </w:rPr>
            </w:pPr>
            <w:r>
              <w:rPr>
                <w:rFonts w:hint="eastAsia" w:ascii="宋体" w:hAnsi="宋体"/>
                <w:szCs w:val="21"/>
              </w:rPr>
              <w:t>程名称</w:t>
            </w:r>
          </w:p>
        </w:tc>
        <w:tc>
          <w:tcPr>
            <w:tcW w:w="1720" w:type="dxa"/>
            <w:tcBorders>
              <w:top w:val="single" w:color="auto" w:sz="6" w:space="0"/>
              <w:left w:val="single" w:color="auto" w:sz="4" w:space="0"/>
              <w:bottom w:val="single" w:color="auto" w:sz="6" w:space="0"/>
              <w:right w:val="single" w:color="auto" w:sz="4" w:space="0"/>
            </w:tcBorders>
            <w:vAlign w:val="center"/>
          </w:tcPr>
          <w:p>
            <w:pPr>
              <w:spacing w:before="320" w:line="240" w:lineRule="exact"/>
              <w:ind w:left="340"/>
              <w:jc w:val="center"/>
              <w:rPr>
                <w:rFonts w:ascii="宋体" w:hAnsi="宋体"/>
                <w:szCs w:val="21"/>
              </w:rPr>
            </w:pPr>
            <w:r>
              <w:rPr>
                <w:rFonts w:hint="eastAsia" w:ascii="宋体" w:hAnsi="宋体"/>
                <w:szCs w:val="21"/>
              </w:rPr>
              <w:t>建设规模</w:t>
            </w:r>
          </w:p>
        </w:tc>
        <w:tc>
          <w:tcPr>
            <w:tcW w:w="1540" w:type="dxa"/>
            <w:tcBorders>
              <w:top w:val="single" w:color="auto" w:sz="6" w:space="0"/>
              <w:left w:val="single" w:color="auto" w:sz="4" w:space="0"/>
              <w:bottom w:val="single" w:color="auto" w:sz="6" w:space="0"/>
              <w:right w:val="single" w:color="auto" w:sz="4" w:space="0"/>
            </w:tcBorders>
            <w:vAlign w:val="center"/>
          </w:tcPr>
          <w:p>
            <w:pPr>
              <w:spacing w:before="100" w:line="240" w:lineRule="exact"/>
              <w:ind w:left="240"/>
              <w:jc w:val="center"/>
              <w:rPr>
                <w:rFonts w:ascii="宋体" w:hAnsi="宋体"/>
                <w:szCs w:val="21"/>
              </w:rPr>
            </w:pPr>
            <w:r>
              <w:rPr>
                <w:rFonts w:hint="eastAsia" w:ascii="宋体" w:hAnsi="宋体"/>
                <w:szCs w:val="21"/>
              </w:rPr>
              <w:t>建筑面积</w:t>
            </w:r>
          </w:p>
          <w:p>
            <w:pPr>
              <w:spacing w:before="180" w:line="240" w:lineRule="exact"/>
              <w:ind w:left="100"/>
              <w:jc w:val="center"/>
              <w:rPr>
                <w:rFonts w:ascii="宋体" w:hAnsi="宋体"/>
                <w:szCs w:val="21"/>
              </w:rPr>
            </w:pPr>
            <w:r>
              <w:rPr>
                <w:rFonts w:hint="eastAsia" w:ascii="宋体" w:hAnsi="宋体"/>
                <w:szCs w:val="21"/>
              </w:rPr>
              <w:t>（平方米）</w:t>
            </w:r>
          </w:p>
        </w:tc>
        <w:tc>
          <w:tcPr>
            <w:tcW w:w="2060" w:type="dxa"/>
            <w:tcBorders>
              <w:top w:val="single" w:color="auto" w:sz="6" w:space="0"/>
              <w:left w:val="single" w:color="auto" w:sz="4" w:space="0"/>
              <w:bottom w:val="single" w:color="auto" w:sz="6" w:space="0"/>
              <w:right w:val="single" w:color="auto" w:sz="4" w:space="0"/>
            </w:tcBorders>
            <w:vAlign w:val="center"/>
          </w:tcPr>
          <w:p>
            <w:pPr>
              <w:spacing w:before="320" w:line="240" w:lineRule="exact"/>
              <w:ind w:left="500"/>
              <w:jc w:val="center"/>
              <w:rPr>
                <w:rFonts w:ascii="宋体" w:hAnsi="宋体"/>
                <w:szCs w:val="21"/>
              </w:rPr>
            </w:pPr>
            <w:r>
              <w:rPr>
                <w:rFonts w:hint="eastAsia" w:ascii="宋体" w:hAnsi="宋体"/>
                <w:szCs w:val="21"/>
              </w:rPr>
              <w:t>结构形式</w:t>
            </w:r>
          </w:p>
        </w:tc>
        <w:tc>
          <w:tcPr>
            <w:tcW w:w="800" w:type="dxa"/>
            <w:tcBorders>
              <w:top w:val="single" w:color="auto" w:sz="6" w:space="0"/>
              <w:left w:val="single" w:color="auto" w:sz="4" w:space="0"/>
              <w:bottom w:val="single" w:color="auto" w:sz="6" w:space="0"/>
              <w:right w:val="single" w:color="auto" w:sz="4" w:space="0"/>
            </w:tcBorders>
            <w:vAlign w:val="center"/>
          </w:tcPr>
          <w:p>
            <w:pPr>
              <w:spacing w:before="320" w:line="240" w:lineRule="exact"/>
              <w:ind w:left="140"/>
              <w:jc w:val="center"/>
              <w:rPr>
                <w:rFonts w:ascii="宋体" w:hAnsi="宋体"/>
                <w:szCs w:val="21"/>
              </w:rPr>
            </w:pPr>
            <w:r>
              <w:rPr>
                <w:rFonts w:hint="eastAsia" w:ascii="宋体" w:hAnsi="宋体"/>
                <w:szCs w:val="21"/>
              </w:rPr>
              <w:t>层数</w:t>
            </w:r>
          </w:p>
        </w:tc>
        <w:tc>
          <w:tcPr>
            <w:tcW w:w="1480" w:type="dxa"/>
            <w:tcBorders>
              <w:top w:val="single" w:color="auto" w:sz="6" w:space="0"/>
              <w:left w:val="single" w:color="auto" w:sz="4" w:space="0"/>
              <w:bottom w:val="single" w:color="auto" w:sz="6" w:space="0"/>
              <w:right w:val="single" w:color="auto" w:sz="4" w:space="0"/>
            </w:tcBorders>
            <w:vAlign w:val="center"/>
          </w:tcPr>
          <w:p>
            <w:pPr>
              <w:spacing w:before="320" w:line="240" w:lineRule="exact"/>
              <w:ind w:left="200"/>
              <w:jc w:val="center"/>
              <w:rPr>
                <w:rFonts w:ascii="宋体" w:hAnsi="宋体"/>
                <w:szCs w:val="21"/>
              </w:rPr>
            </w:pPr>
            <w:r>
              <w:rPr>
                <w:rFonts w:hint="eastAsia" w:ascii="宋体" w:hAnsi="宋体"/>
                <w:szCs w:val="21"/>
              </w:rPr>
              <w:t>生产能力</w:t>
            </w:r>
          </w:p>
        </w:tc>
        <w:tc>
          <w:tcPr>
            <w:tcW w:w="1980" w:type="dxa"/>
            <w:tcBorders>
              <w:top w:val="single" w:color="auto" w:sz="6" w:space="0"/>
              <w:left w:val="single" w:color="auto" w:sz="4" w:space="0"/>
              <w:bottom w:val="single" w:color="auto" w:sz="6" w:space="0"/>
              <w:right w:val="single" w:color="auto" w:sz="4" w:space="0"/>
            </w:tcBorders>
            <w:vAlign w:val="center"/>
          </w:tcPr>
          <w:p>
            <w:pPr>
              <w:spacing w:before="320" w:line="240" w:lineRule="exact"/>
              <w:ind w:left="200"/>
              <w:jc w:val="center"/>
              <w:rPr>
                <w:rFonts w:ascii="宋体" w:hAnsi="宋体"/>
                <w:szCs w:val="21"/>
              </w:rPr>
            </w:pPr>
            <w:r>
              <w:rPr>
                <w:rFonts w:hint="eastAsia" w:ascii="宋体" w:hAnsi="宋体"/>
                <w:szCs w:val="21"/>
              </w:rPr>
              <w:t>设备安装内容</w:t>
            </w:r>
          </w:p>
        </w:tc>
        <w:tc>
          <w:tcPr>
            <w:tcW w:w="1340" w:type="dxa"/>
            <w:tcBorders>
              <w:top w:val="single" w:color="auto" w:sz="6" w:space="0"/>
              <w:left w:val="single" w:color="auto" w:sz="4" w:space="0"/>
              <w:bottom w:val="single" w:color="auto" w:sz="6" w:space="0"/>
              <w:right w:val="single" w:color="auto" w:sz="4" w:space="0"/>
            </w:tcBorders>
            <w:vAlign w:val="center"/>
          </w:tcPr>
          <w:p>
            <w:pPr>
              <w:spacing w:before="100" w:line="240" w:lineRule="exact"/>
              <w:ind w:left="140"/>
              <w:jc w:val="center"/>
              <w:rPr>
                <w:rFonts w:ascii="宋体" w:hAnsi="宋体"/>
                <w:szCs w:val="21"/>
              </w:rPr>
            </w:pPr>
            <w:r>
              <w:rPr>
                <w:rFonts w:hint="eastAsia" w:ascii="宋体" w:hAnsi="宋体"/>
                <w:szCs w:val="21"/>
              </w:rPr>
              <w:t>合同价格</w:t>
            </w:r>
          </w:p>
          <w:p>
            <w:pPr>
              <w:spacing w:before="180" w:line="240" w:lineRule="exact"/>
              <w:ind w:left="280"/>
              <w:jc w:val="center"/>
              <w:rPr>
                <w:rFonts w:ascii="宋体" w:hAnsi="宋体"/>
                <w:szCs w:val="21"/>
              </w:rPr>
            </w:pPr>
            <w:r>
              <w:rPr>
                <w:rFonts w:hint="eastAsia" w:ascii="宋体" w:hAnsi="宋体"/>
                <w:szCs w:val="21"/>
              </w:rPr>
              <w:t>（元）</w:t>
            </w:r>
          </w:p>
        </w:tc>
        <w:tc>
          <w:tcPr>
            <w:tcW w:w="800" w:type="dxa"/>
            <w:tcBorders>
              <w:top w:val="single" w:color="auto" w:sz="6" w:space="0"/>
              <w:left w:val="single" w:color="auto" w:sz="4" w:space="0"/>
              <w:bottom w:val="single" w:color="auto" w:sz="6" w:space="0"/>
              <w:right w:val="single" w:color="auto" w:sz="4" w:space="0"/>
            </w:tcBorders>
            <w:vAlign w:val="center"/>
          </w:tcPr>
          <w:p>
            <w:pPr>
              <w:spacing w:before="100" w:line="240" w:lineRule="exact"/>
              <w:ind w:left="140"/>
              <w:jc w:val="center"/>
              <w:rPr>
                <w:rFonts w:ascii="宋体" w:hAnsi="宋体"/>
                <w:szCs w:val="21"/>
              </w:rPr>
            </w:pPr>
            <w:r>
              <w:rPr>
                <w:rFonts w:hint="eastAsia" w:ascii="宋体" w:hAnsi="宋体"/>
                <w:szCs w:val="21"/>
              </w:rPr>
              <w:t>开工</w:t>
            </w:r>
          </w:p>
          <w:p>
            <w:pPr>
              <w:spacing w:before="180" w:line="240" w:lineRule="exact"/>
              <w:ind w:left="140"/>
              <w:jc w:val="center"/>
              <w:rPr>
                <w:rFonts w:ascii="宋体" w:hAnsi="宋体"/>
                <w:szCs w:val="21"/>
              </w:rPr>
            </w:pPr>
            <w:r>
              <w:rPr>
                <w:rFonts w:hint="eastAsia" w:ascii="宋体" w:hAnsi="宋体"/>
                <w:szCs w:val="21"/>
              </w:rPr>
              <w:t>日期</w:t>
            </w:r>
          </w:p>
        </w:tc>
        <w:tc>
          <w:tcPr>
            <w:tcW w:w="780" w:type="dxa"/>
            <w:tcBorders>
              <w:top w:val="single" w:color="auto" w:sz="6" w:space="0"/>
              <w:left w:val="single" w:color="auto" w:sz="4" w:space="0"/>
              <w:bottom w:val="single" w:color="auto" w:sz="6" w:space="0"/>
              <w:right w:val="single" w:color="auto" w:sz="4" w:space="0"/>
            </w:tcBorders>
            <w:vAlign w:val="center"/>
          </w:tcPr>
          <w:p>
            <w:pPr>
              <w:spacing w:before="100" w:line="240" w:lineRule="exact"/>
              <w:ind w:left="140"/>
              <w:jc w:val="center"/>
              <w:rPr>
                <w:rFonts w:ascii="宋体" w:hAnsi="宋体"/>
                <w:szCs w:val="21"/>
              </w:rPr>
            </w:pPr>
            <w:r>
              <w:rPr>
                <w:rFonts w:hint="eastAsia" w:ascii="宋体" w:hAnsi="宋体"/>
                <w:szCs w:val="21"/>
              </w:rPr>
              <w:t>竣工</w:t>
            </w:r>
          </w:p>
          <w:p>
            <w:pPr>
              <w:spacing w:before="180" w:line="240" w:lineRule="exact"/>
              <w:ind w:left="140"/>
              <w:jc w:val="center"/>
              <w:rPr>
                <w:rFonts w:ascii="宋体" w:hAnsi="宋体"/>
                <w:szCs w:val="21"/>
              </w:rPr>
            </w:pPr>
            <w:r>
              <w:rPr>
                <w:rFonts w:hint="eastAsia" w:ascii="宋体" w:hAnsi="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120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0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sectPr>
          <w:pgSz w:w="16838" w:h="11906" w:orient="landscape"/>
          <w:pgMar w:top="1797" w:right="1440" w:bottom="1797" w:left="1440" w:header="851" w:footer="992" w:gutter="0"/>
          <w:cols w:space="720" w:num="1"/>
          <w:docGrid w:type="lines" w:linePitch="312" w:charSpace="0"/>
        </w:sectPr>
      </w:pPr>
    </w:p>
    <w:p>
      <w:pPr>
        <w:spacing w:line="360" w:lineRule="auto"/>
        <w:rPr>
          <w:rFonts w:ascii="宋体" w:hAnsi="宋体"/>
          <w:sz w:val="24"/>
        </w:rPr>
      </w:pPr>
      <w:r>
        <w:rPr>
          <w:rFonts w:hint="eastAsia" w:ascii="宋体" w:hAnsi="宋体"/>
          <w:sz w:val="24"/>
        </w:rPr>
        <w:t xml:space="preserve">附件 2： </w:t>
      </w:r>
    </w:p>
    <w:p>
      <w:pPr>
        <w:spacing w:line="360" w:lineRule="auto"/>
        <w:jc w:val="center"/>
        <w:rPr>
          <w:rFonts w:ascii="宋体" w:hAnsi="宋体"/>
          <w:b/>
          <w:sz w:val="28"/>
          <w:szCs w:val="28"/>
        </w:rPr>
      </w:pPr>
      <w:r>
        <w:rPr>
          <w:rFonts w:hint="eastAsia" w:ascii="宋体" w:hAnsi="宋体"/>
          <w:b/>
          <w:sz w:val="28"/>
          <w:szCs w:val="28"/>
        </w:rPr>
        <w:t>发包人供应材料设备一览表</w:t>
      </w:r>
    </w:p>
    <w:tbl>
      <w:tblPr>
        <w:tblStyle w:val="42"/>
        <w:tblpPr w:vertAnchor="text" w:tblpXSpec="center" w:tblpY="1"/>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00"/>
        <w:gridCol w:w="1200"/>
        <w:gridCol w:w="1340"/>
        <w:gridCol w:w="880"/>
        <w:gridCol w:w="800"/>
        <w:gridCol w:w="980"/>
        <w:gridCol w:w="920"/>
        <w:gridCol w:w="800"/>
        <w:gridCol w:w="126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60" w:hRule="exact"/>
        </w:trPr>
        <w:tc>
          <w:tcPr>
            <w:tcW w:w="800" w:type="dxa"/>
            <w:tcBorders>
              <w:top w:val="single" w:color="auto" w:sz="4" w:space="0"/>
              <w:left w:val="single" w:color="auto" w:sz="6"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序号</w:t>
            </w:r>
          </w:p>
        </w:tc>
        <w:tc>
          <w:tcPr>
            <w:tcW w:w="120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材料、</w:t>
            </w:r>
          </w:p>
          <w:p>
            <w:pPr>
              <w:spacing w:line="240" w:lineRule="exact"/>
              <w:jc w:val="center"/>
              <w:rPr>
                <w:rFonts w:ascii="宋体" w:hAnsi="宋体"/>
                <w:szCs w:val="21"/>
              </w:rPr>
            </w:pPr>
            <w:r>
              <w:rPr>
                <w:rFonts w:hint="eastAsia" w:ascii="宋体" w:hAnsi="宋体"/>
                <w:szCs w:val="21"/>
              </w:rPr>
              <w:t>设备品种</w:t>
            </w:r>
          </w:p>
        </w:tc>
        <w:tc>
          <w:tcPr>
            <w:tcW w:w="134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规格型号</w:t>
            </w:r>
          </w:p>
        </w:tc>
        <w:tc>
          <w:tcPr>
            <w:tcW w:w="88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单位</w:t>
            </w:r>
          </w:p>
        </w:tc>
        <w:tc>
          <w:tcPr>
            <w:tcW w:w="80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数量</w:t>
            </w:r>
          </w:p>
        </w:tc>
        <w:tc>
          <w:tcPr>
            <w:tcW w:w="98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单价</w:t>
            </w:r>
          </w:p>
          <w:p>
            <w:pPr>
              <w:spacing w:line="240" w:lineRule="exact"/>
              <w:jc w:val="center"/>
              <w:rPr>
                <w:rFonts w:ascii="宋体" w:hAnsi="宋体"/>
                <w:szCs w:val="21"/>
              </w:rPr>
            </w:pPr>
            <w:r>
              <w:rPr>
                <w:rFonts w:hint="eastAsia" w:ascii="宋体" w:hAnsi="宋体"/>
                <w:szCs w:val="21"/>
              </w:rPr>
              <w:t>（元）</w:t>
            </w:r>
          </w:p>
        </w:tc>
        <w:tc>
          <w:tcPr>
            <w:tcW w:w="92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质量</w:t>
            </w:r>
          </w:p>
          <w:p>
            <w:pPr>
              <w:spacing w:line="240" w:lineRule="exact"/>
              <w:jc w:val="center"/>
              <w:rPr>
                <w:rFonts w:ascii="宋体" w:hAnsi="宋体"/>
                <w:szCs w:val="21"/>
              </w:rPr>
            </w:pPr>
            <w:r>
              <w:rPr>
                <w:rFonts w:hint="eastAsia" w:ascii="宋体" w:hAnsi="宋体"/>
                <w:szCs w:val="21"/>
              </w:rPr>
              <w:t>等级</w:t>
            </w:r>
          </w:p>
        </w:tc>
        <w:tc>
          <w:tcPr>
            <w:tcW w:w="80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供应</w:t>
            </w:r>
          </w:p>
          <w:p>
            <w:pPr>
              <w:spacing w:line="240" w:lineRule="exact"/>
              <w:jc w:val="center"/>
              <w:rPr>
                <w:rFonts w:ascii="宋体" w:hAnsi="宋体"/>
                <w:szCs w:val="21"/>
              </w:rPr>
            </w:pPr>
            <w:r>
              <w:rPr>
                <w:rFonts w:hint="eastAsia" w:ascii="宋体" w:hAnsi="宋体"/>
                <w:szCs w:val="21"/>
              </w:rPr>
              <w:t>时间</w:t>
            </w:r>
          </w:p>
        </w:tc>
        <w:tc>
          <w:tcPr>
            <w:tcW w:w="126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送达地点</w:t>
            </w:r>
          </w:p>
        </w:tc>
        <w:tc>
          <w:tcPr>
            <w:tcW w:w="660" w:type="dxa"/>
            <w:tcBorders>
              <w:top w:val="single" w:color="auto" w:sz="4" w:space="0"/>
              <w:left w:val="single" w:color="auto" w:sz="4" w:space="0"/>
              <w:bottom w:val="single" w:color="auto" w:sz="8"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备</w:t>
            </w:r>
          </w:p>
          <w:p>
            <w:pPr>
              <w:spacing w:line="240" w:lineRule="exact"/>
              <w:jc w:val="center"/>
              <w:rPr>
                <w:rFonts w:ascii="宋体" w:hAnsi="宋体"/>
                <w:szCs w:val="21"/>
              </w:rPr>
            </w:pPr>
            <w:r>
              <w:rPr>
                <w:rFonts w:hint="eastAsia" w:ascii="宋体" w:hAnsi="宋体"/>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800" w:type="dxa"/>
            <w:tcBorders>
              <w:top w:val="single" w:color="auto" w:sz="8"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8"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exact"/>
        </w:trPr>
        <w:tc>
          <w:tcPr>
            <w:tcW w:w="800" w:type="dxa"/>
            <w:tcBorders>
              <w:top w:val="single" w:color="auto" w:sz="4" w:space="0"/>
              <w:left w:val="single" w:color="auto" w:sz="6" w:space="0"/>
              <w:bottom w:val="single" w:color="auto" w:sz="6" w:space="0"/>
              <w:right w:val="single" w:color="auto" w:sz="4" w:space="0"/>
            </w:tcBorders>
            <w:vAlign w:val="center"/>
          </w:tcPr>
          <w:p>
            <w:pPr>
              <w:spacing w:line="240" w:lineRule="exact"/>
              <w:jc w:val="center"/>
              <w:rPr>
                <w:rFonts w:ascii="宋体" w:hAnsi="宋体"/>
                <w:szCs w:val="21"/>
              </w:rPr>
            </w:pPr>
          </w:p>
        </w:tc>
        <w:tc>
          <w:tcPr>
            <w:tcW w:w="120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134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88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98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92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80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126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c>
          <w:tcPr>
            <w:tcW w:w="660" w:type="dxa"/>
            <w:tcBorders>
              <w:top w:val="single" w:color="auto" w:sz="4" w:space="0"/>
              <w:left w:val="single" w:color="auto" w:sz="4" w:space="0"/>
              <w:bottom w:val="single" w:color="auto" w:sz="6" w:space="0"/>
              <w:right w:val="single" w:color="auto" w:sz="4" w:space="0"/>
            </w:tcBorders>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附件 3： </w:t>
      </w:r>
    </w:p>
    <w:p>
      <w:pPr>
        <w:spacing w:line="360" w:lineRule="auto"/>
        <w:jc w:val="center"/>
        <w:rPr>
          <w:rFonts w:ascii="宋体" w:hAnsi="宋体"/>
          <w:b/>
          <w:sz w:val="28"/>
          <w:szCs w:val="28"/>
        </w:rPr>
      </w:pPr>
      <w:r>
        <w:rPr>
          <w:rFonts w:hint="eastAsia" w:ascii="宋体" w:hAnsi="宋体"/>
          <w:b/>
          <w:sz w:val="28"/>
          <w:szCs w:val="28"/>
        </w:rPr>
        <w:t>工程质量保修书</w:t>
      </w:r>
    </w:p>
    <w:p>
      <w:pPr>
        <w:spacing w:line="360" w:lineRule="auto"/>
        <w:rPr>
          <w:rFonts w:ascii="宋体" w:hAnsi="宋体"/>
          <w:sz w:val="24"/>
          <w:szCs w:val="21"/>
        </w:rPr>
      </w:pPr>
      <w:r>
        <w:rPr>
          <w:rFonts w:hint="eastAsia" w:ascii="宋体" w:hAnsi="宋体"/>
          <w:sz w:val="24"/>
          <w:szCs w:val="21"/>
        </w:rPr>
        <w:t>发包人（全称）：</w:t>
      </w:r>
    </w:p>
    <w:p>
      <w:pPr>
        <w:spacing w:line="360" w:lineRule="auto"/>
        <w:rPr>
          <w:rFonts w:ascii="宋体" w:hAnsi="宋体"/>
          <w:sz w:val="24"/>
          <w:szCs w:val="21"/>
        </w:rPr>
      </w:pPr>
      <w:r>
        <w:rPr>
          <w:rFonts w:hint="eastAsia" w:ascii="宋体" w:hAnsi="宋体"/>
          <w:sz w:val="24"/>
          <w:szCs w:val="21"/>
        </w:rPr>
        <w:t>承包人（全称）：</w:t>
      </w:r>
    </w:p>
    <w:p>
      <w:pPr>
        <w:spacing w:line="360" w:lineRule="auto"/>
        <w:rPr>
          <w:rFonts w:ascii="宋体" w:hAnsi="宋体"/>
          <w:sz w:val="24"/>
          <w:szCs w:val="21"/>
        </w:rPr>
      </w:pPr>
    </w:p>
    <w:p>
      <w:pPr>
        <w:spacing w:line="360" w:lineRule="auto"/>
        <w:ind w:firstLine="480" w:firstLineChars="200"/>
        <w:rPr>
          <w:rFonts w:ascii="宋体" w:hAnsi="宋体"/>
          <w:sz w:val="24"/>
          <w:szCs w:val="21"/>
        </w:rPr>
      </w:pPr>
      <w:r>
        <w:rPr>
          <w:rFonts w:hint="eastAsia" w:ascii="宋体" w:hAnsi="宋体"/>
          <w:sz w:val="24"/>
          <w:szCs w:val="21"/>
        </w:rPr>
        <w:t>发包人和承包人根据《中华人民共和国建筑法》和《建设工程质量管理条例》，经协商一致就（工程全称）签订工程质量保修书。</w:t>
      </w:r>
    </w:p>
    <w:p>
      <w:pPr>
        <w:spacing w:line="360" w:lineRule="auto"/>
        <w:ind w:firstLine="360" w:firstLineChars="150"/>
        <w:rPr>
          <w:rFonts w:ascii="宋体" w:hAnsi="宋体"/>
          <w:sz w:val="24"/>
          <w:szCs w:val="21"/>
        </w:rPr>
      </w:pPr>
      <w:r>
        <w:rPr>
          <w:rFonts w:hint="eastAsia" w:ascii="宋体" w:hAnsi="宋体"/>
          <w:sz w:val="24"/>
          <w:szCs w:val="21"/>
        </w:rPr>
        <w:t>一、工程质量保修范围和内容</w:t>
      </w:r>
    </w:p>
    <w:p>
      <w:pPr>
        <w:spacing w:line="360" w:lineRule="auto"/>
        <w:ind w:firstLine="360" w:firstLineChars="150"/>
        <w:rPr>
          <w:rFonts w:ascii="宋体" w:hAnsi="宋体"/>
          <w:sz w:val="24"/>
          <w:szCs w:val="21"/>
        </w:rPr>
      </w:pPr>
      <w:r>
        <w:rPr>
          <w:rFonts w:hint="eastAsia" w:ascii="宋体" w:hAnsi="宋体"/>
          <w:sz w:val="24"/>
          <w:szCs w:val="21"/>
        </w:rPr>
        <w:t>承包人在质量保修期内，按照有关法律规定和合同约定，承担工程质量保修责任。</w:t>
      </w:r>
    </w:p>
    <w:p>
      <w:pPr>
        <w:spacing w:line="360" w:lineRule="auto"/>
        <w:ind w:firstLine="480" w:firstLineChars="200"/>
        <w:rPr>
          <w:rFonts w:ascii="宋体" w:hAnsi="宋体"/>
          <w:sz w:val="24"/>
          <w:szCs w:val="21"/>
        </w:rPr>
      </w:pPr>
      <w:r>
        <w:rPr>
          <w:rFonts w:hint="eastAsia" w:ascii="宋体" w:hAnsi="宋体"/>
          <w:sz w:val="24"/>
          <w:szCs w:val="21"/>
        </w:rPr>
        <w:t>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ascii="宋体" w:hAnsi="宋体"/>
          <w:sz w:val="24"/>
          <w:szCs w:val="21"/>
        </w:rPr>
        <w:t xml:space="preserve"> 。 </w:t>
      </w:r>
    </w:p>
    <w:p>
      <w:pPr>
        <w:spacing w:line="360" w:lineRule="auto"/>
        <w:ind w:firstLine="360" w:firstLineChars="150"/>
        <w:rPr>
          <w:rFonts w:ascii="宋体" w:hAnsi="宋体"/>
          <w:sz w:val="24"/>
          <w:szCs w:val="21"/>
        </w:rPr>
      </w:pPr>
      <w:r>
        <w:rPr>
          <w:rFonts w:hint="eastAsia" w:ascii="宋体" w:hAnsi="宋体"/>
          <w:sz w:val="24"/>
          <w:szCs w:val="21"/>
        </w:rPr>
        <w:t>二、质量保修期</w:t>
      </w:r>
    </w:p>
    <w:p>
      <w:pPr>
        <w:spacing w:line="360" w:lineRule="auto"/>
        <w:ind w:firstLine="360" w:firstLineChars="150"/>
        <w:rPr>
          <w:rFonts w:ascii="宋体" w:hAnsi="宋体"/>
          <w:sz w:val="24"/>
          <w:szCs w:val="21"/>
        </w:rPr>
      </w:pPr>
      <w:r>
        <w:rPr>
          <w:rFonts w:hint="eastAsia" w:ascii="宋体" w:hAnsi="宋体"/>
          <w:sz w:val="24"/>
          <w:szCs w:val="21"/>
        </w:rPr>
        <w:t>根据《建设工程质量管理条例》及有关规定，工程的质量保修期如下：</w:t>
      </w:r>
    </w:p>
    <w:p>
      <w:pPr>
        <w:spacing w:line="360" w:lineRule="auto"/>
        <w:ind w:firstLine="360" w:firstLineChars="150"/>
        <w:rPr>
          <w:rFonts w:ascii="宋体" w:hAnsi="宋体"/>
          <w:sz w:val="24"/>
          <w:szCs w:val="21"/>
        </w:rPr>
      </w:pPr>
      <w:r>
        <w:rPr>
          <w:rFonts w:ascii="宋体" w:hAnsi="宋体"/>
          <w:sz w:val="24"/>
          <w:szCs w:val="21"/>
        </w:rPr>
        <w:t xml:space="preserve">1．地基基础工程和主体结构工程为设计文件规定的工程合理使用年限； </w:t>
      </w:r>
    </w:p>
    <w:p>
      <w:pPr>
        <w:spacing w:line="360" w:lineRule="auto"/>
        <w:ind w:firstLine="360" w:firstLineChars="150"/>
        <w:rPr>
          <w:rFonts w:ascii="宋体" w:hAnsi="宋体"/>
          <w:sz w:val="24"/>
          <w:szCs w:val="21"/>
        </w:rPr>
      </w:pPr>
      <w:r>
        <w:rPr>
          <w:rFonts w:ascii="宋体" w:hAnsi="宋体"/>
          <w:sz w:val="24"/>
          <w:szCs w:val="21"/>
        </w:rPr>
        <w:t>2．屋面防水工程、有防水要求的卫生间、房间和外墙面的防渗为</w:t>
      </w:r>
      <w:r>
        <w:rPr>
          <w:rFonts w:hint="eastAsia" w:ascii="宋体" w:hAnsi="宋体"/>
          <w:sz w:val="24"/>
          <w:szCs w:val="21"/>
        </w:rPr>
        <w:t>年；</w:t>
      </w:r>
    </w:p>
    <w:p>
      <w:pPr>
        <w:spacing w:line="360" w:lineRule="auto"/>
        <w:ind w:firstLine="360" w:firstLineChars="150"/>
        <w:rPr>
          <w:rFonts w:ascii="宋体" w:hAnsi="宋体"/>
          <w:sz w:val="24"/>
          <w:szCs w:val="21"/>
        </w:rPr>
      </w:pPr>
      <w:r>
        <w:rPr>
          <w:rFonts w:ascii="宋体" w:hAnsi="宋体"/>
          <w:sz w:val="24"/>
          <w:szCs w:val="21"/>
        </w:rPr>
        <w:t>3．装修工程为</w:t>
      </w:r>
      <w:r>
        <w:rPr>
          <w:rFonts w:hint="eastAsia" w:ascii="宋体" w:hAnsi="宋体"/>
          <w:sz w:val="24"/>
          <w:szCs w:val="21"/>
        </w:rPr>
        <w:t>年；</w:t>
      </w:r>
    </w:p>
    <w:p>
      <w:pPr>
        <w:spacing w:line="360" w:lineRule="auto"/>
        <w:ind w:firstLine="360" w:firstLineChars="150"/>
        <w:rPr>
          <w:rFonts w:ascii="宋体" w:hAnsi="宋体"/>
          <w:sz w:val="24"/>
          <w:szCs w:val="21"/>
        </w:rPr>
      </w:pPr>
      <w:r>
        <w:rPr>
          <w:rFonts w:ascii="宋体" w:hAnsi="宋体"/>
          <w:sz w:val="24"/>
          <w:szCs w:val="21"/>
        </w:rPr>
        <w:t>4．电气管线、给排水管道、设备安装工程为</w:t>
      </w:r>
      <w:r>
        <w:rPr>
          <w:rFonts w:hint="eastAsia" w:ascii="宋体" w:hAnsi="宋体"/>
          <w:sz w:val="24"/>
          <w:szCs w:val="21"/>
        </w:rPr>
        <w:t>年；</w:t>
      </w:r>
    </w:p>
    <w:p>
      <w:pPr>
        <w:spacing w:line="360" w:lineRule="auto"/>
        <w:ind w:firstLine="360" w:firstLineChars="150"/>
        <w:rPr>
          <w:rFonts w:ascii="宋体" w:hAnsi="宋体"/>
          <w:sz w:val="24"/>
          <w:szCs w:val="21"/>
        </w:rPr>
      </w:pPr>
      <w:r>
        <w:rPr>
          <w:rFonts w:ascii="宋体" w:hAnsi="宋体"/>
          <w:sz w:val="24"/>
          <w:szCs w:val="21"/>
        </w:rPr>
        <w:t>5．供热与供冷系统为</w:t>
      </w:r>
      <w:r>
        <w:rPr>
          <w:rFonts w:hint="eastAsia" w:ascii="宋体" w:hAnsi="宋体"/>
          <w:sz w:val="24"/>
          <w:szCs w:val="21"/>
        </w:rPr>
        <w:t>个采暖期、供冷期；</w:t>
      </w:r>
    </w:p>
    <w:p>
      <w:pPr>
        <w:spacing w:line="360" w:lineRule="auto"/>
        <w:ind w:firstLine="360" w:firstLineChars="150"/>
        <w:rPr>
          <w:rFonts w:ascii="宋体" w:hAnsi="宋体"/>
          <w:sz w:val="24"/>
          <w:szCs w:val="21"/>
        </w:rPr>
      </w:pPr>
      <w:r>
        <w:rPr>
          <w:rFonts w:ascii="宋体" w:hAnsi="宋体"/>
          <w:sz w:val="24"/>
          <w:szCs w:val="21"/>
        </w:rPr>
        <w:t>6．住宅小区内的给排水设施、道路等配套工程为</w:t>
      </w:r>
      <w:r>
        <w:rPr>
          <w:rFonts w:hint="eastAsia" w:ascii="宋体" w:hAnsi="宋体"/>
          <w:sz w:val="24"/>
          <w:szCs w:val="21"/>
        </w:rPr>
        <w:t>年；</w:t>
      </w:r>
    </w:p>
    <w:p>
      <w:pPr>
        <w:spacing w:line="360" w:lineRule="auto"/>
        <w:ind w:firstLine="360" w:firstLineChars="150"/>
        <w:rPr>
          <w:rFonts w:ascii="宋体" w:hAnsi="宋体"/>
          <w:sz w:val="24"/>
          <w:szCs w:val="21"/>
        </w:rPr>
      </w:pPr>
      <w:r>
        <w:rPr>
          <w:rFonts w:ascii="宋体" w:hAnsi="宋体"/>
          <w:sz w:val="24"/>
          <w:szCs w:val="21"/>
        </w:rPr>
        <w:t>7．其他项目保修期限约定如下： 。</w:t>
      </w:r>
    </w:p>
    <w:p>
      <w:pPr>
        <w:spacing w:line="360" w:lineRule="auto"/>
        <w:ind w:firstLine="360" w:firstLineChars="150"/>
        <w:rPr>
          <w:rFonts w:ascii="宋体" w:hAnsi="宋体"/>
          <w:sz w:val="24"/>
          <w:szCs w:val="21"/>
        </w:rPr>
      </w:pPr>
      <w:r>
        <w:rPr>
          <w:rFonts w:hint="eastAsia" w:ascii="宋体" w:hAnsi="宋体"/>
          <w:sz w:val="24"/>
          <w:szCs w:val="21"/>
        </w:rPr>
        <w:t>质量保修期自工程竣工验收合格之日起计算。</w:t>
      </w:r>
    </w:p>
    <w:p>
      <w:pPr>
        <w:spacing w:line="360" w:lineRule="auto"/>
        <w:ind w:firstLine="360" w:firstLineChars="150"/>
        <w:rPr>
          <w:rFonts w:ascii="宋体" w:hAnsi="宋体"/>
          <w:sz w:val="24"/>
          <w:szCs w:val="21"/>
        </w:rPr>
      </w:pPr>
      <w:r>
        <w:rPr>
          <w:rFonts w:hint="eastAsia" w:ascii="宋体" w:hAnsi="宋体"/>
          <w:sz w:val="24"/>
          <w:szCs w:val="21"/>
        </w:rPr>
        <w:t>三、缺陷责任期</w:t>
      </w:r>
    </w:p>
    <w:p>
      <w:pPr>
        <w:spacing w:line="360" w:lineRule="auto"/>
        <w:ind w:firstLine="480" w:firstLineChars="200"/>
        <w:rPr>
          <w:rFonts w:ascii="宋体" w:hAnsi="宋体"/>
          <w:sz w:val="24"/>
          <w:szCs w:val="21"/>
        </w:rPr>
      </w:pPr>
      <w:r>
        <w:rPr>
          <w:rFonts w:hint="eastAsia" w:ascii="宋体" w:hAnsi="宋体"/>
          <w:sz w:val="24"/>
          <w:szCs w:val="21"/>
        </w:rPr>
        <w:t>工程缺陷责任期为24个月，缺陷责任期自工程竣工验收合格之日起计算。单位工程先于全部工程进行验收，单位工程缺陷责任期自单位工程验收合格之日起算。</w:t>
      </w:r>
    </w:p>
    <w:p>
      <w:pPr>
        <w:spacing w:line="360" w:lineRule="auto"/>
        <w:ind w:firstLine="360" w:firstLineChars="150"/>
        <w:rPr>
          <w:rFonts w:ascii="宋体" w:hAnsi="宋体"/>
          <w:sz w:val="24"/>
          <w:szCs w:val="21"/>
        </w:rPr>
      </w:pPr>
      <w:r>
        <w:rPr>
          <w:rFonts w:hint="eastAsia" w:ascii="宋体" w:hAnsi="宋体"/>
          <w:sz w:val="24"/>
          <w:szCs w:val="21"/>
        </w:rPr>
        <w:t>缺陷责任期终止后，发包人应退还剩余的质量保证金。</w:t>
      </w:r>
    </w:p>
    <w:p>
      <w:pPr>
        <w:spacing w:line="360" w:lineRule="auto"/>
        <w:ind w:firstLine="360" w:firstLineChars="150"/>
        <w:rPr>
          <w:rFonts w:ascii="宋体" w:hAnsi="宋体"/>
          <w:sz w:val="24"/>
          <w:szCs w:val="21"/>
        </w:rPr>
      </w:pPr>
      <w:r>
        <w:rPr>
          <w:rFonts w:hint="eastAsia" w:ascii="宋体" w:hAnsi="宋体"/>
          <w:sz w:val="24"/>
          <w:szCs w:val="21"/>
        </w:rPr>
        <w:t>四、质量保修责任</w:t>
      </w:r>
    </w:p>
    <w:p>
      <w:pPr>
        <w:spacing w:line="360" w:lineRule="auto"/>
        <w:ind w:firstLine="360" w:firstLineChars="150"/>
        <w:rPr>
          <w:rFonts w:ascii="宋体" w:hAnsi="宋体"/>
          <w:sz w:val="24"/>
          <w:szCs w:val="21"/>
        </w:rPr>
      </w:pPr>
      <w:r>
        <w:rPr>
          <w:rFonts w:ascii="宋体" w:hAnsi="宋体"/>
          <w:sz w:val="24"/>
          <w:szCs w:val="21"/>
        </w:rPr>
        <w:t xml:space="preserve">1．属于保修范围、内容的项目，承包人应当在接到保修通知之日起 7 天内派人保修。承包人不在约定期限内派人保修的，发包人可以委托他人修理。 </w:t>
      </w:r>
    </w:p>
    <w:p>
      <w:pPr>
        <w:spacing w:line="360" w:lineRule="auto"/>
        <w:ind w:firstLine="360" w:firstLineChars="150"/>
        <w:rPr>
          <w:rFonts w:ascii="宋体" w:hAnsi="宋体"/>
          <w:sz w:val="24"/>
          <w:szCs w:val="21"/>
        </w:rPr>
      </w:pPr>
      <w:r>
        <w:rPr>
          <w:rFonts w:ascii="宋体" w:hAnsi="宋体"/>
          <w:sz w:val="24"/>
          <w:szCs w:val="21"/>
        </w:rPr>
        <w:t xml:space="preserve">2．发生紧急事故需抢修的，承包人在接到事故通知后，应当立即到达事故现场抢修。 </w:t>
      </w:r>
    </w:p>
    <w:p>
      <w:pPr>
        <w:spacing w:line="360" w:lineRule="auto"/>
        <w:ind w:firstLine="360" w:firstLineChars="150"/>
        <w:rPr>
          <w:rFonts w:ascii="宋体" w:hAnsi="宋体"/>
          <w:sz w:val="24"/>
          <w:szCs w:val="21"/>
        </w:rPr>
      </w:pPr>
      <w:r>
        <w:rPr>
          <w:rFonts w:ascii="宋体" w:hAnsi="宋体"/>
          <w:sz w:val="24"/>
          <w:szCs w:val="21"/>
        </w:rPr>
        <w:t xml:space="preserve">3．对于涉及结构安全的质量问题，应当按照《建设工程质量管理条例》的规定，立即向当地建设行政主管部门和有关部门报告，采取安全防范措施，并由原设计人或者具有相应资质等级的设计人提出保修方案，承包人实施保修。 </w:t>
      </w:r>
    </w:p>
    <w:p>
      <w:pPr>
        <w:spacing w:line="360" w:lineRule="auto"/>
        <w:ind w:firstLine="360" w:firstLineChars="150"/>
        <w:rPr>
          <w:rFonts w:ascii="宋体" w:hAnsi="宋体"/>
          <w:sz w:val="24"/>
          <w:szCs w:val="21"/>
        </w:rPr>
      </w:pPr>
      <w:r>
        <w:rPr>
          <w:rFonts w:ascii="宋体" w:hAnsi="宋体"/>
          <w:sz w:val="24"/>
          <w:szCs w:val="21"/>
        </w:rPr>
        <w:t xml:space="preserve">4．质量保修完成后，由发包人组织验收。 </w:t>
      </w:r>
    </w:p>
    <w:p>
      <w:pPr>
        <w:spacing w:line="360" w:lineRule="auto"/>
        <w:ind w:firstLine="480" w:firstLineChars="200"/>
        <w:rPr>
          <w:rFonts w:ascii="宋体" w:hAnsi="宋体"/>
          <w:sz w:val="24"/>
          <w:szCs w:val="21"/>
        </w:rPr>
      </w:pPr>
      <w:r>
        <w:rPr>
          <w:rFonts w:hint="eastAsia" w:ascii="宋体" w:hAnsi="宋体"/>
          <w:sz w:val="24"/>
          <w:szCs w:val="21"/>
        </w:rPr>
        <w:t>五、保修费用</w:t>
      </w:r>
    </w:p>
    <w:p>
      <w:pPr>
        <w:spacing w:line="360" w:lineRule="auto"/>
        <w:ind w:firstLine="360" w:firstLineChars="150"/>
        <w:rPr>
          <w:rFonts w:ascii="宋体" w:hAnsi="宋体"/>
          <w:sz w:val="24"/>
          <w:szCs w:val="21"/>
        </w:rPr>
      </w:pPr>
      <w:r>
        <w:rPr>
          <w:rFonts w:hint="eastAsia" w:ascii="宋体" w:hAnsi="宋体"/>
          <w:sz w:val="24"/>
          <w:szCs w:val="21"/>
        </w:rPr>
        <w:t>保修费用由造成质量缺陷的责任方承担。</w:t>
      </w:r>
    </w:p>
    <w:p>
      <w:pPr>
        <w:spacing w:line="360" w:lineRule="auto"/>
        <w:ind w:firstLine="480" w:firstLineChars="200"/>
        <w:rPr>
          <w:rFonts w:ascii="宋体" w:hAnsi="宋体"/>
          <w:sz w:val="24"/>
          <w:szCs w:val="21"/>
        </w:rPr>
      </w:pPr>
      <w:r>
        <w:rPr>
          <w:rFonts w:hint="eastAsia" w:ascii="宋体" w:hAnsi="宋体"/>
          <w:sz w:val="24"/>
          <w:szCs w:val="21"/>
        </w:rPr>
        <w:t>六、双方约定的其他工程质量保修事项：。</w:t>
      </w:r>
    </w:p>
    <w:p>
      <w:pPr>
        <w:spacing w:line="360" w:lineRule="auto"/>
        <w:ind w:firstLine="360" w:firstLineChars="150"/>
        <w:rPr>
          <w:rFonts w:ascii="宋体" w:hAnsi="宋体"/>
          <w:sz w:val="24"/>
          <w:szCs w:val="21"/>
        </w:rPr>
      </w:pPr>
      <w:r>
        <w:rPr>
          <w:rFonts w:hint="eastAsia" w:ascii="宋体" w:hAnsi="宋体"/>
          <w:sz w:val="24"/>
          <w:szCs w:val="21"/>
        </w:rPr>
        <w:t>工程质量保修书由发包人、承包人在工程竣工验收前共同签署，作为施工合同附件，其有效期限至保修期满。</w:t>
      </w:r>
    </w:p>
    <w:p>
      <w:pPr>
        <w:spacing w:line="360" w:lineRule="auto"/>
        <w:rPr>
          <w:rFonts w:ascii="宋体" w:hAnsi="宋体"/>
          <w:sz w:val="24"/>
          <w:szCs w:val="21"/>
        </w:rPr>
      </w:pPr>
    </w:p>
    <w:p>
      <w:pPr>
        <w:spacing w:line="360" w:lineRule="auto"/>
        <w:rPr>
          <w:rFonts w:ascii="宋体" w:hAnsi="宋体"/>
          <w:sz w:val="24"/>
          <w:szCs w:val="21"/>
        </w:rPr>
      </w:pPr>
      <w:r>
        <w:rPr>
          <w:rFonts w:hint="eastAsia" w:ascii="宋体" w:hAnsi="宋体"/>
          <w:sz w:val="24"/>
          <w:szCs w:val="21"/>
        </w:rPr>
        <w:t>发包人（公章）：</w:t>
      </w:r>
      <w:r>
        <w:rPr>
          <w:rFonts w:ascii="宋体" w:hAnsi="宋体"/>
          <w:sz w:val="24"/>
          <w:szCs w:val="21"/>
        </w:rPr>
        <w:t xml:space="preserve">     承包人（公章）：</w:t>
      </w:r>
    </w:p>
    <w:p>
      <w:pPr>
        <w:spacing w:line="360" w:lineRule="auto"/>
        <w:rPr>
          <w:rFonts w:ascii="宋体" w:hAnsi="宋体"/>
          <w:sz w:val="24"/>
          <w:szCs w:val="21"/>
        </w:rPr>
      </w:pPr>
      <w:r>
        <w:rPr>
          <w:rFonts w:hint="eastAsia" w:ascii="宋体" w:hAnsi="宋体"/>
          <w:sz w:val="24"/>
          <w:szCs w:val="21"/>
        </w:rPr>
        <w:t>地址：</w:t>
      </w:r>
      <w:r>
        <w:rPr>
          <w:rFonts w:ascii="宋体" w:hAnsi="宋体"/>
          <w:sz w:val="24"/>
          <w:szCs w:val="21"/>
        </w:rPr>
        <w:t xml:space="preserve">    地址：</w:t>
      </w:r>
    </w:p>
    <w:p>
      <w:pPr>
        <w:spacing w:line="360" w:lineRule="auto"/>
        <w:rPr>
          <w:rFonts w:ascii="宋体" w:hAnsi="宋体"/>
          <w:sz w:val="24"/>
          <w:szCs w:val="21"/>
        </w:rPr>
      </w:pPr>
      <w:r>
        <w:rPr>
          <w:rFonts w:hint="eastAsia" w:ascii="宋体" w:hAnsi="宋体"/>
          <w:sz w:val="24"/>
          <w:szCs w:val="21"/>
        </w:rPr>
        <w:t>法定代表人（签字）：</w:t>
      </w:r>
      <w:r>
        <w:rPr>
          <w:rFonts w:ascii="宋体" w:hAnsi="宋体"/>
          <w:sz w:val="24"/>
          <w:szCs w:val="21"/>
        </w:rPr>
        <w:t xml:space="preserve"> 法定代表人（签字）：</w:t>
      </w:r>
    </w:p>
    <w:p>
      <w:pPr>
        <w:spacing w:line="360" w:lineRule="auto"/>
        <w:rPr>
          <w:rFonts w:ascii="宋体" w:hAnsi="宋体"/>
          <w:sz w:val="24"/>
          <w:szCs w:val="21"/>
        </w:rPr>
      </w:pPr>
      <w:r>
        <w:rPr>
          <w:rFonts w:hint="eastAsia" w:ascii="宋体" w:hAnsi="宋体"/>
          <w:sz w:val="24"/>
          <w:szCs w:val="21"/>
        </w:rPr>
        <w:t>委托代理人（签字）：委托代理人（签字）：</w:t>
      </w:r>
    </w:p>
    <w:p>
      <w:pPr>
        <w:spacing w:line="360" w:lineRule="auto"/>
        <w:rPr>
          <w:rFonts w:ascii="宋体" w:hAnsi="宋体"/>
          <w:sz w:val="24"/>
          <w:szCs w:val="21"/>
        </w:rPr>
      </w:pPr>
      <w:r>
        <w:rPr>
          <w:rFonts w:hint="eastAsia" w:ascii="宋体" w:hAnsi="宋体"/>
          <w:sz w:val="24"/>
          <w:szCs w:val="21"/>
        </w:rPr>
        <w:t>电话</w:t>
      </w:r>
      <w:r>
        <w:rPr>
          <w:rFonts w:hint="eastAsia" w:ascii="宋体" w:hAnsi="宋体"/>
          <w:sz w:val="24"/>
          <w:szCs w:val="21"/>
          <w:u w:val="single"/>
        </w:rPr>
        <w:t>：</w:t>
      </w:r>
      <w:r>
        <w:rPr>
          <w:rFonts w:hint="eastAsia" w:ascii="宋体" w:hAnsi="宋体"/>
          <w:sz w:val="24"/>
          <w:szCs w:val="21"/>
        </w:rPr>
        <w:t>电话：</w:t>
      </w:r>
    </w:p>
    <w:p>
      <w:pPr>
        <w:spacing w:line="360" w:lineRule="auto"/>
        <w:rPr>
          <w:rFonts w:ascii="宋体" w:hAnsi="宋体"/>
          <w:sz w:val="24"/>
          <w:szCs w:val="21"/>
        </w:rPr>
      </w:pPr>
      <w:r>
        <w:rPr>
          <w:rFonts w:hint="eastAsia" w:ascii="宋体" w:hAnsi="宋体"/>
          <w:sz w:val="24"/>
          <w:szCs w:val="21"/>
        </w:rPr>
        <w:t>传真：传真：</w:t>
      </w:r>
    </w:p>
    <w:p>
      <w:pPr>
        <w:spacing w:line="360" w:lineRule="auto"/>
        <w:rPr>
          <w:rFonts w:ascii="宋体" w:hAnsi="宋体"/>
          <w:sz w:val="24"/>
          <w:szCs w:val="21"/>
          <w:u w:val="single"/>
        </w:rPr>
      </w:pPr>
      <w:r>
        <w:rPr>
          <w:rFonts w:hint="eastAsia" w:ascii="宋体" w:hAnsi="宋体"/>
          <w:sz w:val="24"/>
          <w:szCs w:val="21"/>
        </w:rPr>
        <w:t>开户银行：开户银行：</w:t>
      </w:r>
    </w:p>
    <w:p>
      <w:pPr>
        <w:spacing w:line="360" w:lineRule="auto"/>
        <w:rPr>
          <w:rFonts w:ascii="宋体" w:hAnsi="宋体"/>
          <w:sz w:val="24"/>
          <w:szCs w:val="21"/>
          <w:u w:val="single"/>
        </w:rPr>
      </w:pPr>
      <w:r>
        <w:rPr>
          <w:rFonts w:hint="eastAsia" w:ascii="宋体" w:hAnsi="宋体"/>
          <w:sz w:val="24"/>
          <w:szCs w:val="21"/>
        </w:rPr>
        <w:t>账号：账号：</w:t>
      </w:r>
    </w:p>
    <w:p>
      <w:pPr>
        <w:spacing w:line="360" w:lineRule="auto"/>
        <w:rPr>
          <w:rFonts w:ascii="宋体" w:hAnsi="宋体"/>
          <w:sz w:val="24"/>
          <w:szCs w:val="21"/>
          <w:u w:val="single"/>
        </w:rPr>
      </w:pPr>
      <w:r>
        <w:rPr>
          <w:rFonts w:hint="eastAsia" w:ascii="宋体" w:hAnsi="宋体"/>
          <w:sz w:val="24"/>
          <w:szCs w:val="21"/>
        </w:rPr>
        <w:t>邮政编码：邮政编码：</w:t>
      </w:r>
    </w:p>
    <w:p>
      <w:pPr>
        <w:spacing w:line="360" w:lineRule="auto"/>
        <w:rPr>
          <w:rFonts w:ascii="宋体" w:hAnsi="宋体"/>
          <w:sz w:val="24"/>
        </w:rPr>
      </w:pPr>
      <w:r>
        <w:rPr>
          <w:rFonts w:ascii="宋体" w:hAnsi="宋体"/>
          <w:sz w:val="24"/>
        </w:rPr>
        <w:br w:type="page"/>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附件 4： </w:t>
      </w:r>
    </w:p>
    <w:p>
      <w:pPr>
        <w:spacing w:line="360" w:lineRule="auto"/>
        <w:jc w:val="center"/>
        <w:rPr>
          <w:rFonts w:ascii="宋体" w:hAnsi="宋体"/>
          <w:b/>
          <w:sz w:val="28"/>
          <w:szCs w:val="28"/>
        </w:rPr>
      </w:pPr>
      <w:r>
        <w:rPr>
          <w:rFonts w:hint="eastAsia" w:ascii="宋体" w:hAnsi="宋体"/>
          <w:b/>
          <w:sz w:val="28"/>
          <w:szCs w:val="28"/>
        </w:rPr>
        <w:t>主要建设工程文件目录</w:t>
      </w:r>
    </w:p>
    <w:tbl>
      <w:tblPr>
        <w:tblStyle w:val="42"/>
        <w:tblpPr w:vertAnchor="text" w:tblpX="81" w:tblpY="1"/>
        <w:tblW w:w="848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455"/>
        <w:gridCol w:w="1260"/>
        <w:gridCol w:w="1685"/>
        <w:gridCol w:w="1160"/>
        <w:gridCol w:w="1360"/>
        <w:gridCol w:w="15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60" w:hRule="exact"/>
        </w:trPr>
        <w:tc>
          <w:tcPr>
            <w:tcW w:w="1455" w:type="dxa"/>
            <w:vAlign w:val="center"/>
          </w:tcPr>
          <w:p>
            <w:pPr>
              <w:spacing w:line="360" w:lineRule="auto"/>
              <w:jc w:val="center"/>
              <w:rPr>
                <w:rFonts w:ascii="宋体" w:hAnsi="宋体"/>
                <w:sz w:val="24"/>
              </w:rPr>
            </w:pPr>
            <w:r>
              <w:rPr>
                <w:rFonts w:hint="eastAsia" w:ascii="宋体" w:hAnsi="宋体"/>
                <w:sz w:val="24"/>
              </w:rPr>
              <w:t>文件名称</w:t>
            </w:r>
          </w:p>
        </w:tc>
        <w:tc>
          <w:tcPr>
            <w:tcW w:w="1260" w:type="dxa"/>
            <w:vAlign w:val="center"/>
          </w:tcPr>
          <w:p>
            <w:pPr>
              <w:spacing w:line="360" w:lineRule="auto"/>
              <w:jc w:val="center"/>
              <w:rPr>
                <w:rFonts w:ascii="宋体" w:hAnsi="宋体"/>
                <w:sz w:val="24"/>
              </w:rPr>
            </w:pPr>
            <w:r>
              <w:rPr>
                <w:rFonts w:hint="eastAsia" w:ascii="宋体" w:hAnsi="宋体"/>
                <w:sz w:val="24"/>
              </w:rPr>
              <w:t>套数</w:t>
            </w:r>
          </w:p>
        </w:tc>
        <w:tc>
          <w:tcPr>
            <w:tcW w:w="1685" w:type="dxa"/>
            <w:vAlign w:val="center"/>
          </w:tcPr>
          <w:p>
            <w:pPr>
              <w:spacing w:line="360" w:lineRule="auto"/>
              <w:jc w:val="center"/>
              <w:rPr>
                <w:rFonts w:ascii="宋体" w:hAnsi="宋体"/>
                <w:sz w:val="24"/>
              </w:rPr>
            </w:pPr>
            <w:r>
              <w:rPr>
                <w:rFonts w:hint="eastAsia" w:ascii="宋体" w:hAnsi="宋体"/>
                <w:sz w:val="24"/>
              </w:rPr>
              <w:t>费用（元）</w:t>
            </w:r>
          </w:p>
        </w:tc>
        <w:tc>
          <w:tcPr>
            <w:tcW w:w="1160" w:type="dxa"/>
            <w:vAlign w:val="center"/>
          </w:tcPr>
          <w:p>
            <w:pPr>
              <w:spacing w:line="360" w:lineRule="auto"/>
              <w:jc w:val="center"/>
              <w:rPr>
                <w:rFonts w:ascii="宋体" w:hAnsi="宋体"/>
                <w:sz w:val="24"/>
              </w:rPr>
            </w:pPr>
            <w:r>
              <w:rPr>
                <w:rFonts w:hint="eastAsia" w:ascii="宋体" w:hAnsi="宋体"/>
                <w:sz w:val="24"/>
              </w:rPr>
              <w:t>质量</w:t>
            </w:r>
          </w:p>
        </w:tc>
        <w:tc>
          <w:tcPr>
            <w:tcW w:w="1360" w:type="dxa"/>
            <w:vAlign w:val="center"/>
          </w:tcPr>
          <w:p>
            <w:pPr>
              <w:spacing w:line="360" w:lineRule="auto"/>
              <w:jc w:val="center"/>
              <w:rPr>
                <w:rFonts w:ascii="宋体" w:hAnsi="宋体"/>
                <w:sz w:val="24"/>
              </w:rPr>
            </w:pPr>
            <w:r>
              <w:rPr>
                <w:rFonts w:hint="eastAsia" w:ascii="宋体" w:hAnsi="宋体"/>
                <w:sz w:val="24"/>
              </w:rPr>
              <w:t>移交时间</w:t>
            </w:r>
          </w:p>
        </w:tc>
        <w:tc>
          <w:tcPr>
            <w:tcW w:w="1560" w:type="dxa"/>
            <w:vAlign w:val="center"/>
          </w:tcPr>
          <w:p>
            <w:pPr>
              <w:spacing w:line="360" w:lineRule="auto"/>
              <w:jc w:val="center"/>
              <w:rPr>
                <w:rFonts w:ascii="宋体" w:hAnsi="宋体"/>
                <w:sz w:val="24"/>
              </w:rPr>
            </w:pPr>
            <w:r>
              <w:rPr>
                <w:rFonts w:hint="eastAsia" w:ascii="宋体" w:hAnsi="宋体"/>
                <w:sz w:val="24"/>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6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4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6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4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6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4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4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2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54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trHeight w:val="600" w:hRule="exact"/>
        </w:trPr>
        <w:tc>
          <w:tcPr>
            <w:tcW w:w="1455"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p>
        </w:tc>
        <w:tc>
          <w:tcPr>
            <w:tcW w:w="1685" w:type="dxa"/>
            <w:vAlign w:val="center"/>
          </w:tcPr>
          <w:p>
            <w:pPr>
              <w:spacing w:line="360" w:lineRule="auto"/>
              <w:jc w:val="center"/>
              <w:rPr>
                <w:rFonts w:ascii="宋体" w:hAnsi="宋体"/>
                <w:sz w:val="24"/>
              </w:rPr>
            </w:pPr>
          </w:p>
        </w:tc>
        <w:tc>
          <w:tcPr>
            <w:tcW w:w="1160" w:type="dxa"/>
            <w:vAlign w:val="center"/>
          </w:tcPr>
          <w:p>
            <w:pPr>
              <w:spacing w:line="360" w:lineRule="auto"/>
              <w:jc w:val="center"/>
              <w:rPr>
                <w:rFonts w:ascii="宋体" w:hAnsi="宋体"/>
                <w:sz w:val="24"/>
              </w:rPr>
            </w:pPr>
          </w:p>
        </w:tc>
        <w:tc>
          <w:tcPr>
            <w:tcW w:w="1360" w:type="dxa"/>
            <w:vAlign w:val="center"/>
          </w:tcPr>
          <w:p>
            <w:pPr>
              <w:spacing w:line="360" w:lineRule="auto"/>
              <w:jc w:val="center"/>
              <w:rPr>
                <w:rFonts w:ascii="宋体" w:hAnsi="宋体"/>
                <w:sz w:val="24"/>
              </w:rPr>
            </w:pPr>
          </w:p>
        </w:tc>
        <w:tc>
          <w:tcPr>
            <w:tcW w:w="1560" w:type="dxa"/>
            <w:vAlign w:val="center"/>
          </w:tcPr>
          <w:p>
            <w:pPr>
              <w:spacing w:line="360" w:lineRule="auto"/>
              <w:jc w:val="center"/>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附件 5： </w:t>
      </w:r>
    </w:p>
    <w:p>
      <w:pPr>
        <w:spacing w:line="360" w:lineRule="auto"/>
        <w:jc w:val="center"/>
        <w:rPr>
          <w:rFonts w:ascii="宋体" w:hAnsi="宋体"/>
          <w:b/>
          <w:sz w:val="28"/>
          <w:szCs w:val="28"/>
        </w:rPr>
      </w:pPr>
      <w:r>
        <w:rPr>
          <w:rFonts w:hint="eastAsia" w:ascii="宋体" w:hAnsi="宋体"/>
          <w:b/>
          <w:sz w:val="28"/>
          <w:szCs w:val="28"/>
        </w:rPr>
        <w:t>承包人用于本工程施工的机械设备表</w:t>
      </w:r>
    </w:p>
    <w:tbl>
      <w:tblPr>
        <w:tblStyle w:val="42"/>
        <w:tblW w:w="862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6"/>
        <w:gridCol w:w="1341"/>
        <w:gridCol w:w="816"/>
        <w:gridCol w:w="816"/>
        <w:gridCol w:w="816"/>
        <w:gridCol w:w="816"/>
        <w:gridCol w:w="1236"/>
        <w:gridCol w:w="816"/>
        <w:gridCol w:w="11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31" w:hRule="atLeast"/>
          <w:jc w:val="center"/>
        </w:trPr>
        <w:tc>
          <w:tcPr>
            <w:tcW w:w="816" w:type="dxa"/>
            <w:vAlign w:val="center"/>
          </w:tcPr>
          <w:p>
            <w:pPr>
              <w:spacing w:line="240" w:lineRule="exact"/>
              <w:jc w:val="center"/>
              <w:rPr>
                <w:rFonts w:ascii="宋体" w:hAnsi="宋体"/>
                <w:szCs w:val="21"/>
              </w:rPr>
            </w:pPr>
            <w:r>
              <w:rPr>
                <w:rFonts w:hint="eastAsia" w:ascii="宋体" w:hAnsi="宋体"/>
                <w:szCs w:val="21"/>
              </w:rPr>
              <w:t>序号</w:t>
            </w:r>
          </w:p>
        </w:tc>
        <w:tc>
          <w:tcPr>
            <w:tcW w:w="1341" w:type="dxa"/>
            <w:vAlign w:val="center"/>
          </w:tcPr>
          <w:p>
            <w:pPr>
              <w:spacing w:line="240" w:lineRule="exact"/>
              <w:jc w:val="center"/>
              <w:rPr>
                <w:rFonts w:ascii="宋体" w:hAnsi="宋体"/>
                <w:szCs w:val="21"/>
              </w:rPr>
            </w:pPr>
            <w:r>
              <w:rPr>
                <w:rFonts w:hint="eastAsia" w:ascii="宋体" w:hAnsi="宋体"/>
                <w:szCs w:val="21"/>
              </w:rPr>
              <w:t>机械或设</w:t>
            </w:r>
          </w:p>
          <w:p>
            <w:pPr>
              <w:spacing w:line="240" w:lineRule="exact"/>
              <w:jc w:val="center"/>
              <w:rPr>
                <w:rFonts w:ascii="宋体" w:hAnsi="宋体"/>
                <w:szCs w:val="21"/>
              </w:rPr>
            </w:pPr>
            <w:r>
              <w:rPr>
                <w:rFonts w:hint="eastAsia" w:ascii="宋体" w:hAnsi="宋体"/>
                <w:szCs w:val="21"/>
              </w:rPr>
              <w:t>备名称</w:t>
            </w:r>
          </w:p>
        </w:tc>
        <w:tc>
          <w:tcPr>
            <w:tcW w:w="816" w:type="dxa"/>
            <w:vAlign w:val="center"/>
          </w:tcPr>
          <w:p>
            <w:pPr>
              <w:spacing w:line="240" w:lineRule="exact"/>
              <w:jc w:val="center"/>
              <w:rPr>
                <w:rFonts w:ascii="宋体" w:hAnsi="宋体"/>
                <w:szCs w:val="21"/>
              </w:rPr>
            </w:pPr>
            <w:r>
              <w:rPr>
                <w:rFonts w:hint="eastAsia" w:ascii="宋体" w:hAnsi="宋体"/>
                <w:szCs w:val="21"/>
              </w:rPr>
              <w:t>规格</w:t>
            </w:r>
          </w:p>
          <w:p>
            <w:pPr>
              <w:spacing w:line="240" w:lineRule="exact"/>
              <w:jc w:val="center"/>
              <w:rPr>
                <w:rFonts w:ascii="宋体" w:hAnsi="宋体"/>
                <w:szCs w:val="21"/>
              </w:rPr>
            </w:pPr>
            <w:r>
              <w:rPr>
                <w:rFonts w:hint="eastAsia" w:ascii="宋体" w:hAnsi="宋体"/>
                <w:szCs w:val="21"/>
              </w:rPr>
              <w:t>型号</w:t>
            </w:r>
          </w:p>
        </w:tc>
        <w:tc>
          <w:tcPr>
            <w:tcW w:w="816" w:type="dxa"/>
            <w:vAlign w:val="center"/>
          </w:tcPr>
          <w:p>
            <w:pPr>
              <w:spacing w:line="240" w:lineRule="exact"/>
              <w:jc w:val="center"/>
              <w:rPr>
                <w:rFonts w:ascii="宋体" w:hAnsi="宋体"/>
                <w:szCs w:val="21"/>
              </w:rPr>
            </w:pPr>
            <w:r>
              <w:rPr>
                <w:rFonts w:hint="eastAsia" w:ascii="宋体" w:hAnsi="宋体"/>
                <w:szCs w:val="21"/>
              </w:rPr>
              <w:t>数量</w:t>
            </w:r>
          </w:p>
        </w:tc>
        <w:tc>
          <w:tcPr>
            <w:tcW w:w="816" w:type="dxa"/>
            <w:vAlign w:val="center"/>
          </w:tcPr>
          <w:p>
            <w:pPr>
              <w:spacing w:line="240" w:lineRule="exact"/>
              <w:jc w:val="center"/>
              <w:rPr>
                <w:rFonts w:ascii="宋体" w:hAnsi="宋体"/>
                <w:szCs w:val="21"/>
              </w:rPr>
            </w:pPr>
            <w:r>
              <w:rPr>
                <w:rFonts w:hint="eastAsia" w:ascii="宋体" w:hAnsi="宋体"/>
                <w:szCs w:val="21"/>
              </w:rPr>
              <w:t>产地</w:t>
            </w:r>
          </w:p>
        </w:tc>
        <w:tc>
          <w:tcPr>
            <w:tcW w:w="816" w:type="dxa"/>
            <w:vAlign w:val="center"/>
          </w:tcPr>
          <w:p>
            <w:pPr>
              <w:spacing w:line="240" w:lineRule="exact"/>
              <w:jc w:val="center"/>
              <w:rPr>
                <w:rFonts w:ascii="宋体" w:hAnsi="宋体"/>
                <w:szCs w:val="21"/>
              </w:rPr>
            </w:pPr>
            <w:r>
              <w:rPr>
                <w:rFonts w:hint="eastAsia" w:ascii="宋体" w:hAnsi="宋体"/>
                <w:szCs w:val="21"/>
              </w:rPr>
              <w:t>制造</w:t>
            </w:r>
          </w:p>
          <w:p>
            <w:pPr>
              <w:spacing w:line="240" w:lineRule="exact"/>
              <w:jc w:val="center"/>
              <w:rPr>
                <w:rFonts w:ascii="宋体" w:hAnsi="宋体"/>
                <w:szCs w:val="21"/>
              </w:rPr>
            </w:pPr>
            <w:r>
              <w:rPr>
                <w:rFonts w:hint="eastAsia" w:ascii="宋体" w:hAnsi="宋体"/>
                <w:szCs w:val="21"/>
              </w:rPr>
              <w:t>年份</w:t>
            </w:r>
          </w:p>
        </w:tc>
        <w:tc>
          <w:tcPr>
            <w:tcW w:w="1236" w:type="dxa"/>
            <w:vAlign w:val="center"/>
          </w:tcPr>
          <w:p>
            <w:pPr>
              <w:spacing w:line="240" w:lineRule="exact"/>
              <w:jc w:val="center"/>
              <w:rPr>
                <w:rFonts w:ascii="宋体" w:hAnsi="宋体"/>
                <w:szCs w:val="21"/>
              </w:rPr>
            </w:pPr>
            <w:r>
              <w:rPr>
                <w:rFonts w:hint="eastAsia" w:ascii="宋体" w:hAnsi="宋体"/>
                <w:szCs w:val="21"/>
              </w:rPr>
              <w:t>额定功率</w:t>
            </w:r>
          </w:p>
          <w:p>
            <w:pPr>
              <w:spacing w:line="240" w:lineRule="exact"/>
              <w:jc w:val="center"/>
              <w:rPr>
                <w:rFonts w:ascii="宋体" w:hAnsi="宋体"/>
                <w:szCs w:val="21"/>
              </w:rPr>
            </w:pPr>
            <w:r>
              <w:rPr>
                <w:rFonts w:hint="eastAsia" w:ascii="宋体" w:hAnsi="宋体"/>
                <w:szCs w:val="21"/>
              </w:rPr>
              <w:t>（</w:t>
            </w:r>
            <w:r>
              <w:rPr>
                <w:rFonts w:ascii="宋体" w:hAnsi="宋体"/>
                <w:szCs w:val="21"/>
              </w:rPr>
              <w:t>kW</w:t>
            </w:r>
            <w:r>
              <w:rPr>
                <w:rFonts w:hint="eastAsia" w:ascii="宋体" w:hAnsi="宋体"/>
                <w:szCs w:val="21"/>
              </w:rPr>
              <w:t>）</w:t>
            </w:r>
          </w:p>
        </w:tc>
        <w:tc>
          <w:tcPr>
            <w:tcW w:w="816" w:type="dxa"/>
            <w:vAlign w:val="center"/>
          </w:tcPr>
          <w:p>
            <w:pPr>
              <w:spacing w:line="240" w:lineRule="exact"/>
              <w:jc w:val="center"/>
              <w:rPr>
                <w:rFonts w:ascii="宋体" w:hAnsi="宋体"/>
                <w:szCs w:val="21"/>
              </w:rPr>
            </w:pPr>
            <w:r>
              <w:rPr>
                <w:rFonts w:hint="eastAsia" w:ascii="宋体" w:hAnsi="宋体"/>
                <w:szCs w:val="21"/>
              </w:rPr>
              <w:t>生产</w:t>
            </w:r>
          </w:p>
          <w:p>
            <w:pPr>
              <w:spacing w:line="240" w:lineRule="exact"/>
              <w:jc w:val="center"/>
              <w:rPr>
                <w:rFonts w:ascii="宋体" w:hAnsi="宋体"/>
                <w:szCs w:val="21"/>
              </w:rPr>
            </w:pPr>
            <w:r>
              <w:rPr>
                <w:rFonts w:hint="eastAsia" w:ascii="宋体" w:hAnsi="宋体"/>
                <w:szCs w:val="21"/>
              </w:rPr>
              <w:t>能力</w:t>
            </w:r>
          </w:p>
        </w:tc>
        <w:tc>
          <w:tcPr>
            <w:tcW w:w="1156" w:type="dxa"/>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jc w:val="center"/>
        </w:trPr>
        <w:tc>
          <w:tcPr>
            <w:tcW w:w="816" w:type="dxa"/>
            <w:vAlign w:val="center"/>
          </w:tcPr>
          <w:p>
            <w:pPr>
              <w:jc w:val="center"/>
            </w:pPr>
          </w:p>
        </w:tc>
        <w:tc>
          <w:tcPr>
            <w:tcW w:w="1341"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816" w:type="dxa"/>
            <w:vAlign w:val="center"/>
          </w:tcPr>
          <w:p>
            <w:pPr>
              <w:jc w:val="center"/>
            </w:pPr>
          </w:p>
        </w:tc>
        <w:tc>
          <w:tcPr>
            <w:tcW w:w="1236" w:type="dxa"/>
            <w:vAlign w:val="center"/>
          </w:tcPr>
          <w:p>
            <w:pPr>
              <w:jc w:val="center"/>
            </w:pPr>
          </w:p>
        </w:tc>
        <w:tc>
          <w:tcPr>
            <w:tcW w:w="816" w:type="dxa"/>
            <w:vAlign w:val="center"/>
          </w:tcPr>
          <w:p>
            <w:pPr>
              <w:jc w:val="center"/>
            </w:pPr>
          </w:p>
        </w:tc>
        <w:tc>
          <w:tcPr>
            <w:tcW w:w="1156" w:type="dxa"/>
            <w:vAlign w:val="center"/>
          </w:tcPr>
          <w:p>
            <w:pPr>
              <w:jc w:val="center"/>
            </w:pPr>
          </w:p>
        </w:tc>
      </w:tr>
    </w:tbl>
    <w:p>
      <w:pPr>
        <w:spacing w:line="360" w:lineRule="auto"/>
        <w:jc w:val="center"/>
        <w:rPr>
          <w:rFonts w:ascii="宋体" w:hAnsi="宋体"/>
          <w:b/>
          <w:sz w:val="28"/>
          <w:szCs w:val="28"/>
        </w:rPr>
      </w:pPr>
    </w:p>
    <w:p>
      <w:pPr>
        <w:spacing w:line="360" w:lineRule="auto"/>
        <w:rPr>
          <w:rFonts w:ascii="宋体" w:hAnsi="宋体"/>
          <w:sz w:val="24"/>
        </w:rPr>
      </w:pPr>
      <w:r>
        <w:rPr>
          <w:rFonts w:hint="eastAsia" w:ascii="宋体" w:hAnsi="宋体"/>
          <w:sz w:val="24"/>
        </w:rPr>
        <w:t xml:space="preserve">附件 6： </w:t>
      </w:r>
    </w:p>
    <w:p>
      <w:pPr>
        <w:spacing w:line="360" w:lineRule="auto"/>
        <w:jc w:val="center"/>
        <w:rPr>
          <w:rFonts w:ascii="宋体" w:hAnsi="宋体"/>
          <w:b/>
          <w:sz w:val="28"/>
          <w:szCs w:val="28"/>
        </w:rPr>
      </w:pPr>
      <w:r>
        <w:rPr>
          <w:rFonts w:hint="eastAsia" w:ascii="宋体" w:hAnsi="宋体"/>
          <w:b/>
          <w:sz w:val="28"/>
          <w:szCs w:val="28"/>
        </w:rPr>
        <w:t>承包人主要施工管理人员表</w:t>
      </w:r>
    </w:p>
    <w:tbl>
      <w:tblPr>
        <w:tblStyle w:val="42"/>
        <w:tblW w:w="894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02"/>
        <w:gridCol w:w="1097"/>
        <w:gridCol w:w="985"/>
        <w:gridCol w:w="990"/>
        <w:gridCol w:w="416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14" w:hRule="atLeast"/>
        </w:trPr>
        <w:tc>
          <w:tcPr>
            <w:tcW w:w="1702" w:type="dxa"/>
            <w:vAlign w:val="center"/>
          </w:tcPr>
          <w:p>
            <w:pPr>
              <w:spacing w:line="360" w:lineRule="auto"/>
              <w:jc w:val="center"/>
              <w:rPr>
                <w:rFonts w:ascii="宋体" w:hAnsi="宋体"/>
                <w:sz w:val="24"/>
              </w:rPr>
            </w:pPr>
            <w:r>
              <w:rPr>
                <w:rFonts w:hint="eastAsia" w:ascii="宋体" w:hAnsi="宋体"/>
                <w:sz w:val="24"/>
              </w:rPr>
              <w:t>名称</w:t>
            </w:r>
          </w:p>
        </w:tc>
        <w:tc>
          <w:tcPr>
            <w:tcW w:w="1097" w:type="dxa"/>
            <w:vAlign w:val="center"/>
          </w:tcPr>
          <w:p>
            <w:pPr>
              <w:spacing w:line="360" w:lineRule="auto"/>
              <w:jc w:val="center"/>
              <w:rPr>
                <w:rFonts w:ascii="宋体" w:hAnsi="宋体"/>
                <w:sz w:val="24"/>
              </w:rPr>
            </w:pPr>
            <w:r>
              <w:rPr>
                <w:rFonts w:hint="eastAsia" w:ascii="宋体" w:hAnsi="宋体"/>
                <w:sz w:val="24"/>
              </w:rPr>
              <w:t>姓名</w:t>
            </w:r>
          </w:p>
        </w:tc>
        <w:tc>
          <w:tcPr>
            <w:tcW w:w="985" w:type="dxa"/>
            <w:vAlign w:val="center"/>
          </w:tcPr>
          <w:p>
            <w:pPr>
              <w:spacing w:line="360" w:lineRule="auto"/>
              <w:jc w:val="center"/>
              <w:rPr>
                <w:rFonts w:ascii="宋体" w:hAnsi="宋体"/>
                <w:sz w:val="24"/>
              </w:rPr>
            </w:pPr>
            <w:r>
              <w:rPr>
                <w:rFonts w:hint="eastAsia" w:ascii="宋体" w:hAnsi="宋体"/>
                <w:sz w:val="24"/>
              </w:rPr>
              <w:t>职务</w:t>
            </w:r>
          </w:p>
        </w:tc>
        <w:tc>
          <w:tcPr>
            <w:tcW w:w="990" w:type="dxa"/>
            <w:vAlign w:val="center"/>
          </w:tcPr>
          <w:p>
            <w:pPr>
              <w:spacing w:line="360" w:lineRule="auto"/>
              <w:jc w:val="center"/>
              <w:rPr>
                <w:rFonts w:ascii="宋体" w:hAnsi="宋体"/>
                <w:sz w:val="24"/>
              </w:rPr>
            </w:pPr>
            <w:r>
              <w:rPr>
                <w:rFonts w:hint="eastAsia" w:ascii="宋体" w:hAnsi="宋体"/>
                <w:sz w:val="24"/>
              </w:rPr>
              <w:t>职称</w:t>
            </w:r>
          </w:p>
        </w:tc>
        <w:tc>
          <w:tcPr>
            <w:tcW w:w="4166" w:type="dxa"/>
            <w:vAlign w:val="center"/>
          </w:tcPr>
          <w:p>
            <w:pPr>
              <w:spacing w:line="360" w:lineRule="auto"/>
              <w:jc w:val="center"/>
              <w:rPr>
                <w:rFonts w:ascii="宋体" w:hAnsi="宋体"/>
                <w:sz w:val="24"/>
              </w:rPr>
            </w:pPr>
            <w:r>
              <w:rPr>
                <w:rFonts w:hint="eastAsia" w:ascii="宋体" w:hAnsi="宋体"/>
                <w:sz w:val="24"/>
              </w:rPr>
              <w:t>主要资历、经验及承担过的项目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8940" w:type="dxa"/>
            <w:gridSpan w:val="5"/>
            <w:vAlign w:val="center"/>
          </w:tcPr>
          <w:p>
            <w:pPr>
              <w:spacing w:line="360" w:lineRule="auto"/>
              <w:jc w:val="center"/>
              <w:rPr>
                <w:rFonts w:ascii="宋体" w:hAnsi="宋体"/>
                <w:sz w:val="24"/>
              </w:rPr>
            </w:pPr>
            <w:r>
              <w:rPr>
                <w:rFonts w:hint="eastAsia" w:ascii="宋体" w:hAnsi="宋体"/>
                <w:sz w:val="24"/>
              </w:rPr>
              <w:t>一、总部人员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项目主管</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Merge w:val="restart"/>
            <w:vAlign w:val="center"/>
          </w:tcPr>
          <w:p>
            <w:pPr>
              <w:spacing w:line="360" w:lineRule="auto"/>
              <w:jc w:val="center"/>
              <w:rPr>
                <w:rFonts w:ascii="宋体" w:hAnsi="宋体"/>
                <w:sz w:val="24"/>
              </w:rPr>
            </w:pPr>
            <w:r>
              <w:rPr>
                <w:rFonts w:hint="eastAsia" w:ascii="宋体" w:hAnsi="宋体"/>
                <w:sz w:val="24"/>
              </w:rPr>
              <w:t>其他人员</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8940" w:type="dxa"/>
            <w:gridSpan w:val="5"/>
            <w:vAlign w:val="center"/>
          </w:tcPr>
          <w:p>
            <w:pPr>
              <w:spacing w:line="360" w:lineRule="auto"/>
              <w:jc w:val="center"/>
              <w:rPr>
                <w:rFonts w:ascii="宋体" w:hAnsi="宋体"/>
                <w:sz w:val="24"/>
              </w:rPr>
            </w:pPr>
            <w:r>
              <w:rPr>
                <w:rFonts w:hint="eastAsia" w:ascii="宋体" w:hAnsi="宋体"/>
                <w:sz w:val="24"/>
              </w:rPr>
              <w:t>二、现场人员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项目经理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项目副经理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Align w:val="center"/>
          </w:tcPr>
          <w:p>
            <w:pPr>
              <w:spacing w:line="360" w:lineRule="auto"/>
              <w:jc w:val="center"/>
              <w:rPr>
                <w:rFonts w:ascii="宋体" w:hAnsi="宋体"/>
                <w:sz w:val="24"/>
              </w:rPr>
            </w:pPr>
            <w:r>
              <w:rPr>
                <w:rFonts w:hint="eastAsia" w:ascii="宋体" w:hAnsi="宋体"/>
                <w:sz w:val="24"/>
              </w:rPr>
              <w:t>技术负责人</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5" w:hRule="atLeast"/>
        </w:trPr>
        <w:tc>
          <w:tcPr>
            <w:tcW w:w="1702" w:type="dxa"/>
            <w:vAlign w:val="center"/>
          </w:tcPr>
          <w:p>
            <w:pPr>
              <w:spacing w:line="360" w:lineRule="auto"/>
              <w:jc w:val="center"/>
              <w:rPr>
                <w:rFonts w:ascii="宋体" w:hAnsi="宋体"/>
                <w:sz w:val="24"/>
              </w:rPr>
            </w:pPr>
            <w:r>
              <w:rPr>
                <w:rFonts w:hint="eastAsia" w:ascii="宋体" w:hAnsi="宋体"/>
                <w:sz w:val="24"/>
              </w:rPr>
              <w:t>造价管理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Align w:val="center"/>
          </w:tcPr>
          <w:p>
            <w:pPr>
              <w:spacing w:line="360" w:lineRule="auto"/>
              <w:jc w:val="center"/>
              <w:rPr>
                <w:rFonts w:ascii="宋体" w:hAnsi="宋体"/>
                <w:sz w:val="24"/>
              </w:rPr>
            </w:pPr>
            <w:r>
              <w:rPr>
                <w:rFonts w:hint="eastAsia" w:ascii="宋体" w:hAnsi="宋体"/>
                <w:sz w:val="24"/>
              </w:rPr>
              <w:t>质量管理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材料管理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计划管理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Align w:val="center"/>
          </w:tcPr>
          <w:p>
            <w:pPr>
              <w:spacing w:line="360" w:lineRule="auto"/>
              <w:jc w:val="center"/>
              <w:rPr>
                <w:rFonts w:ascii="宋体" w:hAnsi="宋体"/>
                <w:sz w:val="24"/>
              </w:rPr>
            </w:pPr>
            <w:r>
              <w:rPr>
                <w:rFonts w:hint="eastAsia" w:ascii="宋体" w:hAnsi="宋体"/>
                <w:sz w:val="24"/>
              </w:rPr>
              <w:t>安全管理</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Merge w:val="restart"/>
            <w:vAlign w:val="center"/>
          </w:tcPr>
          <w:p>
            <w:pPr>
              <w:spacing w:line="360" w:lineRule="auto"/>
              <w:jc w:val="center"/>
              <w:rPr>
                <w:rFonts w:ascii="宋体" w:hAnsi="宋体"/>
                <w:sz w:val="24"/>
              </w:rPr>
            </w:pPr>
            <w:r>
              <w:rPr>
                <w:rFonts w:hint="eastAsia" w:ascii="宋体" w:hAnsi="宋体"/>
                <w:sz w:val="24"/>
              </w:rPr>
              <w:t>其他人员</w:t>
            </w: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30" w:hRule="atLeast"/>
        </w:trPr>
        <w:tc>
          <w:tcPr>
            <w:tcW w:w="1702" w:type="dxa"/>
            <w:vMerge w:val="continue"/>
            <w:vAlign w:val="center"/>
          </w:tcPr>
          <w:p>
            <w:pPr>
              <w:spacing w:line="360" w:lineRule="auto"/>
              <w:jc w:val="center"/>
              <w:rPr>
                <w:rFonts w:ascii="宋体" w:hAnsi="宋体"/>
                <w:sz w:val="24"/>
              </w:rPr>
            </w:pPr>
          </w:p>
        </w:tc>
        <w:tc>
          <w:tcPr>
            <w:tcW w:w="1097" w:type="dxa"/>
            <w:vAlign w:val="center"/>
          </w:tcPr>
          <w:p>
            <w:pPr>
              <w:spacing w:line="360" w:lineRule="auto"/>
              <w:jc w:val="center"/>
              <w:rPr>
                <w:rFonts w:ascii="宋体" w:hAnsi="宋体"/>
                <w:sz w:val="24"/>
              </w:rPr>
            </w:pPr>
          </w:p>
        </w:tc>
        <w:tc>
          <w:tcPr>
            <w:tcW w:w="985" w:type="dxa"/>
            <w:vAlign w:val="center"/>
          </w:tcPr>
          <w:p>
            <w:pPr>
              <w:spacing w:line="360" w:lineRule="auto"/>
              <w:jc w:val="center"/>
              <w:rPr>
                <w:rFonts w:ascii="宋体" w:hAnsi="宋体"/>
                <w:sz w:val="24"/>
              </w:rPr>
            </w:pPr>
          </w:p>
        </w:tc>
        <w:tc>
          <w:tcPr>
            <w:tcW w:w="990" w:type="dxa"/>
            <w:vAlign w:val="center"/>
          </w:tcPr>
          <w:p>
            <w:pPr>
              <w:spacing w:line="360" w:lineRule="auto"/>
              <w:jc w:val="center"/>
              <w:rPr>
                <w:rFonts w:ascii="宋体" w:hAnsi="宋体"/>
                <w:sz w:val="24"/>
              </w:rPr>
            </w:pPr>
          </w:p>
        </w:tc>
        <w:tc>
          <w:tcPr>
            <w:tcW w:w="4166" w:type="dxa"/>
            <w:vAlign w:val="center"/>
          </w:tcPr>
          <w:p>
            <w:pPr>
              <w:spacing w:line="360" w:lineRule="auto"/>
              <w:jc w:val="center"/>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 附件 7： </w:t>
      </w:r>
    </w:p>
    <w:p>
      <w:pPr>
        <w:spacing w:line="360" w:lineRule="auto"/>
        <w:jc w:val="center"/>
        <w:rPr>
          <w:rFonts w:ascii="宋体" w:hAnsi="宋体"/>
          <w:b/>
          <w:sz w:val="28"/>
          <w:szCs w:val="28"/>
        </w:rPr>
      </w:pPr>
      <w:r>
        <w:rPr>
          <w:rFonts w:hint="eastAsia" w:ascii="宋体" w:hAnsi="宋体"/>
          <w:b/>
          <w:sz w:val="28"/>
          <w:szCs w:val="28"/>
        </w:rPr>
        <w:t>分包人主要施工管理人员表</w:t>
      </w:r>
    </w:p>
    <w:tbl>
      <w:tblPr>
        <w:tblStyle w:val="42"/>
        <w:tblW w:w="9187"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50"/>
        <w:gridCol w:w="1127"/>
        <w:gridCol w:w="1012"/>
        <w:gridCol w:w="1185"/>
        <w:gridCol w:w="411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80" w:hRule="atLeast"/>
        </w:trPr>
        <w:tc>
          <w:tcPr>
            <w:tcW w:w="1750" w:type="dxa"/>
            <w:vAlign w:val="center"/>
          </w:tcPr>
          <w:p>
            <w:pPr>
              <w:spacing w:line="360" w:lineRule="auto"/>
              <w:jc w:val="center"/>
              <w:rPr>
                <w:rFonts w:ascii="宋体" w:hAnsi="宋体"/>
                <w:sz w:val="24"/>
              </w:rPr>
            </w:pPr>
            <w:r>
              <w:rPr>
                <w:rFonts w:hint="eastAsia" w:ascii="宋体" w:hAnsi="宋体"/>
                <w:sz w:val="24"/>
              </w:rPr>
              <w:t>名称</w:t>
            </w:r>
          </w:p>
        </w:tc>
        <w:tc>
          <w:tcPr>
            <w:tcW w:w="1127" w:type="dxa"/>
            <w:vAlign w:val="center"/>
          </w:tcPr>
          <w:p>
            <w:pPr>
              <w:spacing w:line="360" w:lineRule="auto"/>
              <w:jc w:val="center"/>
              <w:rPr>
                <w:rFonts w:ascii="宋体" w:hAnsi="宋体"/>
                <w:sz w:val="24"/>
              </w:rPr>
            </w:pPr>
            <w:r>
              <w:rPr>
                <w:rFonts w:hint="eastAsia" w:ascii="宋体" w:hAnsi="宋体"/>
                <w:sz w:val="24"/>
              </w:rPr>
              <w:t>姓名</w:t>
            </w:r>
          </w:p>
        </w:tc>
        <w:tc>
          <w:tcPr>
            <w:tcW w:w="1012" w:type="dxa"/>
            <w:vAlign w:val="center"/>
          </w:tcPr>
          <w:p>
            <w:pPr>
              <w:spacing w:line="360" w:lineRule="auto"/>
              <w:jc w:val="center"/>
              <w:rPr>
                <w:rFonts w:ascii="宋体" w:hAnsi="宋体"/>
                <w:sz w:val="24"/>
              </w:rPr>
            </w:pPr>
            <w:r>
              <w:rPr>
                <w:rFonts w:hint="eastAsia" w:ascii="宋体" w:hAnsi="宋体"/>
                <w:sz w:val="24"/>
              </w:rPr>
              <w:t>职务</w:t>
            </w:r>
          </w:p>
        </w:tc>
        <w:tc>
          <w:tcPr>
            <w:tcW w:w="1185" w:type="dxa"/>
            <w:vAlign w:val="center"/>
          </w:tcPr>
          <w:p>
            <w:pPr>
              <w:spacing w:line="360" w:lineRule="auto"/>
              <w:jc w:val="center"/>
              <w:rPr>
                <w:rFonts w:ascii="宋体" w:hAnsi="宋体"/>
                <w:sz w:val="24"/>
              </w:rPr>
            </w:pPr>
            <w:r>
              <w:rPr>
                <w:rFonts w:hint="eastAsia" w:ascii="宋体" w:hAnsi="宋体"/>
                <w:sz w:val="24"/>
              </w:rPr>
              <w:t>职称</w:t>
            </w:r>
          </w:p>
        </w:tc>
        <w:tc>
          <w:tcPr>
            <w:tcW w:w="4113" w:type="dxa"/>
            <w:vAlign w:val="center"/>
          </w:tcPr>
          <w:p>
            <w:pPr>
              <w:spacing w:line="360" w:lineRule="auto"/>
              <w:jc w:val="center"/>
              <w:rPr>
                <w:rFonts w:ascii="宋体" w:hAnsi="宋体"/>
                <w:sz w:val="24"/>
              </w:rPr>
            </w:pPr>
            <w:r>
              <w:rPr>
                <w:rFonts w:hint="eastAsia" w:ascii="宋体" w:hAnsi="宋体"/>
                <w:sz w:val="24"/>
              </w:rPr>
              <w:t>主要资历、经验及承担过的项目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9187" w:type="dxa"/>
            <w:gridSpan w:val="5"/>
            <w:vAlign w:val="center"/>
          </w:tcPr>
          <w:p>
            <w:pPr>
              <w:spacing w:line="360" w:lineRule="auto"/>
              <w:jc w:val="center"/>
              <w:rPr>
                <w:rFonts w:ascii="宋体" w:hAnsi="宋体"/>
                <w:sz w:val="24"/>
              </w:rPr>
            </w:pPr>
            <w:r>
              <w:rPr>
                <w:rFonts w:hint="eastAsia" w:ascii="宋体" w:hAnsi="宋体"/>
                <w:sz w:val="24"/>
              </w:rPr>
              <w:t>一、总部人员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项目主管</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Merge w:val="restart"/>
            <w:vAlign w:val="center"/>
          </w:tcPr>
          <w:p>
            <w:pPr>
              <w:spacing w:line="360" w:lineRule="auto"/>
              <w:jc w:val="center"/>
              <w:rPr>
                <w:rFonts w:ascii="宋体" w:hAnsi="宋体"/>
                <w:sz w:val="24"/>
              </w:rPr>
            </w:pPr>
            <w:r>
              <w:rPr>
                <w:rFonts w:hint="eastAsia" w:ascii="宋体" w:hAnsi="宋体"/>
                <w:sz w:val="24"/>
              </w:rPr>
              <w:t>其他人员</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00"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9187" w:type="dxa"/>
            <w:gridSpan w:val="5"/>
            <w:vAlign w:val="center"/>
          </w:tcPr>
          <w:p>
            <w:pPr>
              <w:spacing w:line="360" w:lineRule="auto"/>
              <w:jc w:val="center"/>
              <w:rPr>
                <w:rFonts w:ascii="宋体" w:hAnsi="宋体"/>
                <w:sz w:val="24"/>
              </w:rPr>
            </w:pPr>
            <w:r>
              <w:rPr>
                <w:rFonts w:hint="eastAsia" w:ascii="宋体" w:hAnsi="宋体"/>
                <w:sz w:val="24"/>
              </w:rPr>
              <w:t>二、现场人员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项目经理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项目副经理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1750" w:type="dxa"/>
            <w:vAlign w:val="center"/>
          </w:tcPr>
          <w:p>
            <w:pPr>
              <w:spacing w:line="360" w:lineRule="auto"/>
              <w:jc w:val="center"/>
              <w:rPr>
                <w:rFonts w:ascii="宋体" w:hAnsi="宋体"/>
                <w:sz w:val="24"/>
              </w:rPr>
            </w:pPr>
            <w:r>
              <w:rPr>
                <w:rFonts w:hint="eastAsia" w:ascii="宋体" w:hAnsi="宋体"/>
                <w:sz w:val="24"/>
              </w:rPr>
              <w:t>技术负责人</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00" w:hRule="atLeast"/>
        </w:trPr>
        <w:tc>
          <w:tcPr>
            <w:tcW w:w="1750" w:type="dxa"/>
            <w:vAlign w:val="center"/>
          </w:tcPr>
          <w:p>
            <w:pPr>
              <w:spacing w:line="360" w:lineRule="auto"/>
              <w:jc w:val="center"/>
              <w:rPr>
                <w:rFonts w:ascii="宋体" w:hAnsi="宋体"/>
                <w:sz w:val="24"/>
              </w:rPr>
            </w:pPr>
            <w:r>
              <w:rPr>
                <w:rFonts w:hint="eastAsia" w:ascii="宋体" w:hAnsi="宋体"/>
                <w:sz w:val="24"/>
              </w:rPr>
              <w:t>造价管理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1750" w:type="dxa"/>
            <w:vAlign w:val="center"/>
          </w:tcPr>
          <w:p>
            <w:pPr>
              <w:spacing w:line="360" w:lineRule="auto"/>
              <w:jc w:val="center"/>
              <w:rPr>
                <w:rFonts w:ascii="宋体" w:hAnsi="宋体"/>
                <w:sz w:val="24"/>
              </w:rPr>
            </w:pPr>
            <w:r>
              <w:rPr>
                <w:rFonts w:hint="eastAsia" w:ascii="宋体" w:hAnsi="宋体"/>
                <w:sz w:val="24"/>
              </w:rPr>
              <w:t>质量管理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材料管理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计划管理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Align w:val="center"/>
          </w:tcPr>
          <w:p>
            <w:pPr>
              <w:spacing w:line="360" w:lineRule="auto"/>
              <w:jc w:val="center"/>
              <w:rPr>
                <w:rFonts w:ascii="宋体" w:hAnsi="宋体"/>
                <w:sz w:val="24"/>
              </w:rPr>
            </w:pPr>
            <w:r>
              <w:rPr>
                <w:rFonts w:hint="eastAsia" w:ascii="宋体" w:hAnsi="宋体"/>
                <w:sz w:val="24"/>
              </w:rPr>
              <w:t>安全管理</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1750" w:type="dxa"/>
            <w:vMerge w:val="restart"/>
            <w:vAlign w:val="center"/>
          </w:tcPr>
          <w:p>
            <w:pPr>
              <w:spacing w:line="360" w:lineRule="auto"/>
              <w:jc w:val="center"/>
              <w:rPr>
                <w:rFonts w:ascii="宋体" w:hAnsi="宋体"/>
                <w:sz w:val="24"/>
              </w:rPr>
            </w:pPr>
            <w:r>
              <w:rPr>
                <w:rFonts w:hint="eastAsia" w:ascii="宋体" w:hAnsi="宋体"/>
                <w:sz w:val="24"/>
              </w:rPr>
              <w:t>其他人员</w:t>
            </w: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500"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0"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95" w:hRule="atLeast"/>
        </w:trPr>
        <w:tc>
          <w:tcPr>
            <w:tcW w:w="1750" w:type="dxa"/>
            <w:vMerge w:val="continue"/>
            <w:vAlign w:val="center"/>
          </w:tcPr>
          <w:p>
            <w:pPr>
              <w:spacing w:line="360" w:lineRule="auto"/>
              <w:jc w:val="center"/>
              <w:rPr>
                <w:rFonts w:ascii="宋体" w:hAnsi="宋体"/>
                <w:sz w:val="24"/>
              </w:rPr>
            </w:pPr>
          </w:p>
        </w:tc>
        <w:tc>
          <w:tcPr>
            <w:tcW w:w="1127" w:type="dxa"/>
            <w:vAlign w:val="center"/>
          </w:tcPr>
          <w:p>
            <w:pPr>
              <w:spacing w:line="360" w:lineRule="auto"/>
              <w:jc w:val="center"/>
              <w:rPr>
                <w:rFonts w:ascii="宋体" w:hAnsi="宋体"/>
                <w:sz w:val="24"/>
              </w:rPr>
            </w:pPr>
          </w:p>
        </w:tc>
        <w:tc>
          <w:tcPr>
            <w:tcW w:w="1012" w:type="dxa"/>
            <w:vAlign w:val="center"/>
          </w:tcPr>
          <w:p>
            <w:pPr>
              <w:spacing w:line="360" w:lineRule="auto"/>
              <w:jc w:val="center"/>
              <w:rPr>
                <w:rFonts w:ascii="宋体" w:hAnsi="宋体"/>
                <w:sz w:val="24"/>
              </w:rPr>
            </w:pPr>
          </w:p>
        </w:tc>
        <w:tc>
          <w:tcPr>
            <w:tcW w:w="1185" w:type="dxa"/>
            <w:vAlign w:val="center"/>
          </w:tcPr>
          <w:p>
            <w:pPr>
              <w:spacing w:line="360" w:lineRule="auto"/>
              <w:jc w:val="center"/>
              <w:rPr>
                <w:rFonts w:ascii="宋体" w:hAnsi="宋体"/>
                <w:sz w:val="24"/>
              </w:rPr>
            </w:pPr>
          </w:p>
        </w:tc>
        <w:tc>
          <w:tcPr>
            <w:tcW w:w="4113" w:type="dxa"/>
            <w:vAlign w:val="center"/>
          </w:tcPr>
          <w:p>
            <w:pPr>
              <w:spacing w:line="360" w:lineRule="auto"/>
              <w:jc w:val="center"/>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附件 8： </w:t>
      </w:r>
    </w:p>
    <w:p>
      <w:pPr>
        <w:spacing w:line="360" w:lineRule="auto"/>
        <w:jc w:val="center"/>
        <w:rPr>
          <w:rFonts w:ascii="宋体" w:hAnsi="宋体"/>
          <w:b/>
          <w:sz w:val="28"/>
          <w:szCs w:val="28"/>
        </w:rPr>
      </w:pPr>
      <w:r>
        <w:rPr>
          <w:rFonts w:hint="eastAsia" w:ascii="宋体" w:hAnsi="宋体"/>
          <w:b/>
          <w:sz w:val="28"/>
          <w:szCs w:val="28"/>
        </w:rPr>
        <w:t>履约担保</w:t>
      </w:r>
    </w:p>
    <w:p>
      <w:pPr>
        <w:spacing w:line="360" w:lineRule="auto"/>
        <w:rPr>
          <w:rFonts w:ascii="宋体" w:hAnsi="宋体"/>
          <w:sz w:val="24"/>
          <w:szCs w:val="21"/>
        </w:rPr>
      </w:pPr>
      <w:r>
        <w:rPr>
          <w:rFonts w:hint="eastAsia" w:ascii="宋体" w:hAnsi="宋体"/>
          <w:sz w:val="24"/>
          <w:szCs w:val="21"/>
        </w:rPr>
        <w:t>（发包人名称）：</w:t>
      </w:r>
    </w:p>
    <w:p>
      <w:pPr>
        <w:spacing w:line="360" w:lineRule="auto"/>
        <w:ind w:firstLine="600" w:firstLineChars="250"/>
        <w:rPr>
          <w:rFonts w:ascii="宋体" w:hAnsi="宋体"/>
          <w:sz w:val="24"/>
          <w:szCs w:val="21"/>
        </w:rPr>
      </w:pPr>
      <w:r>
        <w:rPr>
          <w:rFonts w:hint="eastAsia" w:ascii="宋体" w:hAnsi="宋体"/>
          <w:sz w:val="24"/>
          <w:szCs w:val="21"/>
        </w:rPr>
        <w:t>鉴于（发包人名称，以下简称“发包人”）与（承包人名称，以下简称“承包人”）于年</w:t>
      </w:r>
      <w:r>
        <w:rPr>
          <w:rFonts w:ascii="宋体" w:hAnsi="宋体"/>
          <w:sz w:val="24"/>
          <w:szCs w:val="21"/>
        </w:rPr>
        <w:t xml:space="preserve"> 月 日就（工程名称）施工及有关事项协商一致共同签订《建设工程施工合同》。</w:t>
      </w:r>
    </w:p>
    <w:p>
      <w:pPr>
        <w:spacing w:line="360" w:lineRule="auto"/>
        <w:rPr>
          <w:rFonts w:ascii="宋体" w:hAnsi="宋体"/>
          <w:sz w:val="24"/>
          <w:szCs w:val="21"/>
        </w:rPr>
      </w:pPr>
      <w:r>
        <w:rPr>
          <w:rFonts w:hint="eastAsia" w:ascii="宋体" w:hAnsi="宋体"/>
          <w:sz w:val="24"/>
          <w:szCs w:val="21"/>
        </w:rPr>
        <w:t>我方愿意无条件地、不可撤销地就承包人履行与你方签订的合同，向你方提供连带责任担保。</w:t>
      </w:r>
    </w:p>
    <w:p>
      <w:pPr>
        <w:spacing w:line="360" w:lineRule="auto"/>
        <w:ind w:firstLine="360" w:firstLineChars="150"/>
        <w:rPr>
          <w:rFonts w:ascii="宋体" w:hAnsi="宋体"/>
          <w:sz w:val="24"/>
          <w:szCs w:val="21"/>
        </w:rPr>
      </w:pPr>
      <w:r>
        <w:rPr>
          <w:rFonts w:ascii="宋体" w:hAnsi="宋体"/>
          <w:sz w:val="24"/>
          <w:szCs w:val="21"/>
        </w:rPr>
        <w:t>1.担保金额人民币（大写）</w:t>
      </w:r>
      <w:r>
        <w:rPr>
          <w:rFonts w:hint="eastAsia" w:ascii="宋体" w:hAnsi="宋体"/>
          <w:sz w:val="24"/>
          <w:szCs w:val="21"/>
        </w:rPr>
        <w:t>元</w:t>
      </w:r>
    </w:p>
    <w:p>
      <w:pPr>
        <w:spacing w:line="360" w:lineRule="auto"/>
        <w:rPr>
          <w:rFonts w:ascii="宋体" w:hAnsi="宋体"/>
          <w:sz w:val="24"/>
          <w:szCs w:val="21"/>
        </w:rPr>
      </w:pPr>
      <w:r>
        <w:rPr>
          <w:rFonts w:hint="eastAsia" w:ascii="宋体" w:hAnsi="宋体"/>
          <w:sz w:val="24"/>
          <w:szCs w:val="21"/>
        </w:rPr>
        <w:t>（小写：¥）。</w:t>
      </w:r>
    </w:p>
    <w:p>
      <w:pPr>
        <w:spacing w:line="360" w:lineRule="auto"/>
        <w:ind w:firstLine="360" w:firstLineChars="150"/>
        <w:rPr>
          <w:rFonts w:ascii="宋体" w:hAnsi="宋体"/>
          <w:sz w:val="24"/>
          <w:szCs w:val="21"/>
        </w:rPr>
      </w:pPr>
      <w:r>
        <w:rPr>
          <w:rFonts w:ascii="宋体" w:hAnsi="宋体"/>
          <w:sz w:val="24"/>
          <w:szCs w:val="21"/>
        </w:rPr>
        <w:t xml:space="preserve">2.担保有效期自你方与承包人签订的合同生效之日起至你方签发或应签发工程接收证书之日止。 </w:t>
      </w:r>
    </w:p>
    <w:p>
      <w:pPr>
        <w:spacing w:line="360" w:lineRule="auto"/>
        <w:ind w:firstLine="360" w:firstLineChars="150"/>
        <w:rPr>
          <w:rFonts w:ascii="宋体" w:hAnsi="宋体"/>
          <w:sz w:val="24"/>
          <w:szCs w:val="21"/>
        </w:rPr>
      </w:pPr>
      <w:r>
        <w:rPr>
          <w:rFonts w:ascii="宋体" w:hAnsi="宋体"/>
          <w:sz w:val="24"/>
          <w:szCs w:val="21"/>
        </w:rPr>
        <w:t xml:space="preserve">3.在本担保有效期内，因承包人违反合同约定的义务给你方造成经济损失时，我方在收到你方以书面形式提出的在担保金额内的赔偿要求后，在 7 天内无条件支付。 </w:t>
      </w:r>
    </w:p>
    <w:p>
      <w:pPr>
        <w:spacing w:line="360" w:lineRule="auto"/>
        <w:ind w:firstLine="240" w:firstLineChars="100"/>
        <w:rPr>
          <w:rFonts w:ascii="宋体" w:hAnsi="宋体"/>
          <w:sz w:val="24"/>
          <w:szCs w:val="21"/>
        </w:rPr>
      </w:pPr>
      <w:r>
        <w:rPr>
          <w:rFonts w:ascii="宋体" w:hAnsi="宋体"/>
          <w:sz w:val="24"/>
          <w:szCs w:val="21"/>
        </w:rPr>
        <w:t xml:space="preserve">4.你方和承包人按合同约定变更合同时，我方承担本担保规定的义务不变。 </w:t>
      </w:r>
    </w:p>
    <w:p>
      <w:pPr>
        <w:spacing w:line="360" w:lineRule="auto"/>
        <w:ind w:firstLine="240" w:firstLineChars="100"/>
        <w:rPr>
          <w:rFonts w:ascii="宋体" w:hAnsi="宋体"/>
          <w:sz w:val="24"/>
          <w:szCs w:val="21"/>
        </w:rPr>
      </w:pPr>
      <w:r>
        <w:rPr>
          <w:rFonts w:ascii="宋体" w:hAnsi="宋体"/>
          <w:sz w:val="24"/>
          <w:szCs w:val="21"/>
        </w:rPr>
        <w:t xml:space="preserve">5.因本保函发生的纠纷，可由双方协商解决，协商不成的，任何一方均可提请仲裁委员会仲裁。 </w:t>
      </w:r>
    </w:p>
    <w:p>
      <w:pPr>
        <w:spacing w:line="360" w:lineRule="auto"/>
        <w:ind w:firstLine="360" w:firstLineChars="150"/>
        <w:rPr>
          <w:rFonts w:ascii="宋体" w:hAnsi="宋体"/>
          <w:sz w:val="24"/>
          <w:szCs w:val="21"/>
        </w:rPr>
      </w:pPr>
      <w:r>
        <w:rPr>
          <w:rFonts w:ascii="宋体" w:hAnsi="宋体"/>
          <w:sz w:val="24"/>
          <w:szCs w:val="21"/>
        </w:rPr>
        <w:t xml:space="preserve">6.本保函自我方法定代表人（或其授权代理人）签字并加盖公章之日起生效。 </w:t>
      </w:r>
    </w:p>
    <w:p>
      <w:pPr>
        <w:spacing w:line="360" w:lineRule="auto"/>
        <w:rPr>
          <w:rFonts w:ascii="宋体" w:hAnsi="宋体"/>
          <w:sz w:val="24"/>
          <w:szCs w:val="21"/>
        </w:rPr>
      </w:pPr>
      <w:r>
        <w:rPr>
          <w:rFonts w:hint="eastAsia" w:ascii="宋体" w:hAnsi="宋体"/>
          <w:sz w:val="24"/>
          <w:szCs w:val="21"/>
        </w:rPr>
        <w:t>担保人：（盖单位章）</w:t>
      </w:r>
    </w:p>
    <w:p>
      <w:pPr>
        <w:spacing w:line="360" w:lineRule="auto"/>
        <w:rPr>
          <w:rFonts w:ascii="宋体" w:hAnsi="宋体"/>
          <w:sz w:val="24"/>
          <w:szCs w:val="21"/>
        </w:rPr>
      </w:pPr>
      <w:r>
        <w:rPr>
          <w:rFonts w:hint="eastAsia" w:ascii="宋体" w:hAnsi="宋体"/>
          <w:sz w:val="24"/>
          <w:szCs w:val="21"/>
        </w:rPr>
        <w:t>法定代表人或其委托代理人：</w:t>
      </w:r>
      <w:r>
        <w:rPr>
          <w:rFonts w:ascii="宋体" w:hAnsi="宋体"/>
          <w:sz w:val="24"/>
          <w:szCs w:val="21"/>
        </w:rPr>
        <w:t xml:space="preserve"> （签字）</w:t>
      </w:r>
    </w:p>
    <w:p>
      <w:pPr>
        <w:spacing w:line="360" w:lineRule="auto"/>
        <w:rPr>
          <w:rFonts w:ascii="宋体" w:hAnsi="宋体"/>
          <w:sz w:val="24"/>
          <w:szCs w:val="21"/>
        </w:rPr>
      </w:pPr>
      <w:r>
        <w:rPr>
          <w:rFonts w:hint="eastAsia" w:ascii="宋体" w:hAnsi="宋体"/>
          <w:sz w:val="24"/>
          <w:szCs w:val="21"/>
        </w:rPr>
        <w:t>地址：</w:t>
      </w:r>
    </w:p>
    <w:p>
      <w:pPr>
        <w:spacing w:line="360" w:lineRule="auto"/>
        <w:rPr>
          <w:rFonts w:ascii="宋体" w:hAnsi="宋体"/>
          <w:sz w:val="24"/>
          <w:szCs w:val="21"/>
        </w:rPr>
      </w:pPr>
      <w:r>
        <w:rPr>
          <w:rFonts w:hint="eastAsia" w:ascii="宋体" w:hAnsi="宋体"/>
          <w:sz w:val="24"/>
          <w:szCs w:val="21"/>
        </w:rPr>
        <w:t>邮政编码：</w:t>
      </w:r>
    </w:p>
    <w:p>
      <w:pPr>
        <w:spacing w:line="360" w:lineRule="auto"/>
        <w:rPr>
          <w:rFonts w:ascii="宋体" w:hAnsi="宋体"/>
          <w:sz w:val="24"/>
          <w:szCs w:val="21"/>
        </w:rPr>
      </w:pPr>
      <w:r>
        <w:rPr>
          <w:rFonts w:hint="eastAsia" w:ascii="宋体" w:hAnsi="宋体"/>
          <w:sz w:val="24"/>
          <w:szCs w:val="21"/>
        </w:rPr>
        <w:t>电话：</w:t>
      </w:r>
    </w:p>
    <w:p>
      <w:pPr>
        <w:spacing w:line="360" w:lineRule="auto"/>
        <w:rPr>
          <w:rFonts w:ascii="宋体" w:hAnsi="宋体"/>
          <w:sz w:val="24"/>
          <w:szCs w:val="21"/>
        </w:rPr>
      </w:pPr>
      <w:r>
        <w:rPr>
          <w:rFonts w:hint="eastAsia" w:ascii="宋体" w:hAnsi="宋体"/>
          <w:sz w:val="24"/>
          <w:szCs w:val="21"/>
        </w:rPr>
        <w:t>传真：</w:t>
      </w:r>
    </w:p>
    <w:p>
      <w:pPr>
        <w:spacing w:line="360" w:lineRule="auto"/>
        <w:rPr>
          <w:rFonts w:ascii="宋体" w:hAnsi="宋体"/>
          <w:sz w:val="24"/>
          <w:szCs w:val="21"/>
        </w:rPr>
      </w:pPr>
      <w:r>
        <w:rPr>
          <w:rFonts w:hint="eastAsia" w:ascii="宋体" w:hAnsi="宋体"/>
          <w:sz w:val="24"/>
          <w:szCs w:val="21"/>
        </w:rPr>
        <w:t>年月日</w:t>
      </w:r>
    </w:p>
    <w:p>
      <w:pPr>
        <w:spacing w:line="360" w:lineRule="auto"/>
        <w:rPr>
          <w:rFonts w:ascii="宋体" w:hAnsi="宋体"/>
          <w:sz w:val="24"/>
          <w:szCs w:val="21"/>
        </w:rPr>
      </w:pPr>
    </w:p>
    <w:p>
      <w:pPr>
        <w:spacing w:line="360" w:lineRule="auto"/>
        <w:rPr>
          <w:rFonts w:ascii="宋体" w:hAnsi="宋体"/>
          <w:sz w:val="24"/>
          <w:szCs w:val="21"/>
        </w:rPr>
      </w:pPr>
    </w:p>
    <w:p>
      <w:pPr>
        <w:spacing w:line="360" w:lineRule="auto"/>
        <w:rPr>
          <w:rFonts w:ascii="宋体" w:hAnsi="宋体"/>
          <w:sz w:val="24"/>
          <w:szCs w:val="21"/>
        </w:rPr>
      </w:pPr>
      <w:r>
        <w:rPr>
          <w:rFonts w:ascii="宋体" w:hAnsi="宋体"/>
          <w:sz w:val="24"/>
          <w:szCs w:val="21"/>
        </w:rPr>
        <w:br w:type="page"/>
      </w:r>
    </w:p>
    <w:p>
      <w:pPr>
        <w:spacing w:line="360" w:lineRule="auto"/>
        <w:rPr>
          <w:rFonts w:ascii="宋体" w:hAnsi="宋体"/>
          <w:sz w:val="24"/>
          <w:szCs w:val="21"/>
        </w:rPr>
      </w:pPr>
    </w:p>
    <w:p>
      <w:pPr>
        <w:spacing w:line="360" w:lineRule="auto"/>
        <w:rPr>
          <w:rFonts w:ascii="宋体" w:hAnsi="宋体"/>
          <w:sz w:val="24"/>
          <w:szCs w:val="21"/>
        </w:rPr>
      </w:pPr>
      <w:r>
        <w:rPr>
          <w:rFonts w:hint="eastAsia" w:ascii="宋体" w:hAnsi="宋体"/>
          <w:sz w:val="24"/>
          <w:szCs w:val="21"/>
        </w:rPr>
        <w:t>附件</w:t>
      </w:r>
      <w:r>
        <w:rPr>
          <w:rFonts w:ascii="宋体" w:hAnsi="宋体"/>
          <w:sz w:val="24"/>
          <w:szCs w:val="21"/>
        </w:rPr>
        <w:t xml:space="preserve"> 9： </w:t>
      </w:r>
    </w:p>
    <w:p>
      <w:pPr>
        <w:spacing w:line="360" w:lineRule="auto"/>
        <w:jc w:val="center"/>
        <w:rPr>
          <w:rFonts w:ascii="宋体" w:hAnsi="宋体"/>
          <w:b/>
          <w:sz w:val="28"/>
          <w:szCs w:val="21"/>
        </w:rPr>
      </w:pPr>
      <w:r>
        <w:rPr>
          <w:rFonts w:hint="eastAsia" w:ascii="宋体" w:hAnsi="宋体"/>
          <w:b/>
          <w:sz w:val="28"/>
          <w:szCs w:val="21"/>
        </w:rPr>
        <w:t>预付款担保</w:t>
      </w:r>
    </w:p>
    <w:p>
      <w:pPr>
        <w:spacing w:line="360" w:lineRule="auto"/>
        <w:rPr>
          <w:rFonts w:ascii="宋体" w:hAnsi="宋体"/>
          <w:sz w:val="24"/>
          <w:szCs w:val="21"/>
        </w:rPr>
      </w:pPr>
      <w:r>
        <w:rPr>
          <w:rFonts w:ascii="宋体" w:hAnsi="宋体"/>
          <w:sz w:val="24"/>
          <w:szCs w:val="21"/>
        </w:rPr>
        <w:t xml:space="preserve"> （发包人名称）：</w:t>
      </w:r>
    </w:p>
    <w:p>
      <w:pPr>
        <w:spacing w:line="360" w:lineRule="auto"/>
        <w:rPr>
          <w:rFonts w:ascii="宋体" w:hAnsi="宋体"/>
          <w:sz w:val="24"/>
          <w:szCs w:val="21"/>
        </w:rPr>
      </w:pPr>
      <w:r>
        <w:rPr>
          <w:rFonts w:ascii="宋体" w:hAnsi="宋体"/>
          <w:sz w:val="24"/>
          <w:szCs w:val="21"/>
        </w:rPr>
        <w:t xml:space="preserve">      根据（承包人名称）（以下称“承包人”）与</w:t>
      </w:r>
      <w:r>
        <w:rPr>
          <w:rFonts w:hint="eastAsia" w:ascii="宋体" w:hAnsi="宋体"/>
          <w:sz w:val="24"/>
          <w:szCs w:val="21"/>
        </w:rPr>
        <w:t>（发包人名称）（以下简称“发包人”）于年月日签订的（工程名称）《建设工程施工合同》，承包人按约定的金额向你方提交一份预付款担保，即有权得到你方支付相等金额的预付款。我方愿意就你方提供给承包人的预付款为承包人提供连带责任担保。</w:t>
      </w:r>
    </w:p>
    <w:p>
      <w:pPr>
        <w:spacing w:line="360" w:lineRule="auto"/>
        <w:ind w:firstLine="480" w:firstLineChars="200"/>
        <w:rPr>
          <w:rFonts w:ascii="宋体" w:hAnsi="宋体"/>
          <w:sz w:val="24"/>
          <w:szCs w:val="21"/>
        </w:rPr>
      </w:pPr>
      <w:r>
        <w:rPr>
          <w:rFonts w:ascii="宋体" w:hAnsi="宋体"/>
          <w:sz w:val="24"/>
          <w:szCs w:val="21"/>
        </w:rPr>
        <w:t>1.担保金额人民币（大写）</w:t>
      </w:r>
      <w:r>
        <w:rPr>
          <w:rFonts w:hint="eastAsia" w:ascii="宋体" w:hAnsi="宋体"/>
          <w:sz w:val="24"/>
          <w:szCs w:val="21"/>
        </w:rPr>
        <w:t>元</w:t>
      </w:r>
    </w:p>
    <w:p>
      <w:pPr>
        <w:spacing w:line="360" w:lineRule="auto"/>
        <w:rPr>
          <w:rFonts w:ascii="宋体" w:hAnsi="宋体"/>
          <w:sz w:val="24"/>
          <w:szCs w:val="21"/>
        </w:rPr>
      </w:pPr>
      <w:r>
        <w:rPr>
          <w:rFonts w:hint="eastAsia" w:ascii="宋体" w:hAnsi="宋体"/>
          <w:sz w:val="24"/>
          <w:szCs w:val="21"/>
        </w:rPr>
        <w:t>（小写：¥）。</w:t>
      </w:r>
    </w:p>
    <w:p>
      <w:pPr>
        <w:spacing w:line="360" w:lineRule="auto"/>
        <w:ind w:firstLine="480" w:firstLineChars="200"/>
        <w:rPr>
          <w:rFonts w:ascii="宋体" w:hAnsi="宋体"/>
          <w:sz w:val="24"/>
          <w:szCs w:val="21"/>
        </w:rPr>
      </w:pPr>
      <w:r>
        <w:rPr>
          <w:rFonts w:ascii="宋体" w:hAnsi="宋体"/>
          <w:sz w:val="24"/>
          <w:szCs w:val="21"/>
        </w:rPr>
        <w:t xml:space="preserve">2.担保有效期自预付款支付给承包人起生效，至你方签发的进度款支付证书说明已完全扣清止。 </w:t>
      </w:r>
    </w:p>
    <w:p>
      <w:pPr>
        <w:spacing w:line="360" w:lineRule="auto"/>
        <w:ind w:firstLine="480" w:firstLineChars="200"/>
        <w:rPr>
          <w:rFonts w:ascii="宋体" w:hAnsi="宋体"/>
          <w:sz w:val="24"/>
          <w:szCs w:val="21"/>
        </w:rPr>
      </w:pPr>
      <w:r>
        <w:rPr>
          <w:rFonts w:ascii="宋体" w:hAnsi="宋体"/>
          <w:sz w:val="24"/>
          <w:szCs w:val="21"/>
        </w:rPr>
        <w:t xml:space="preserve">3.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 </w:t>
      </w:r>
    </w:p>
    <w:p>
      <w:pPr>
        <w:spacing w:line="360" w:lineRule="auto"/>
        <w:ind w:firstLine="360" w:firstLineChars="150"/>
        <w:rPr>
          <w:rFonts w:ascii="宋体" w:hAnsi="宋体"/>
          <w:sz w:val="24"/>
          <w:szCs w:val="21"/>
        </w:rPr>
      </w:pPr>
      <w:r>
        <w:rPr>
          <w:rFonts w:ascii="宋体" w:hAnsi="宋体"/>
          <w:sz w:val="24"/>
          <w:szCs w:val="21"/>
        </w:rPr>
        <w:t xml:space="preserve">4.你方和承包人按合同约定变更合同时，我方承担本保函规定的义务不变。 </w:t>
      </w:r>
    </w:p>
    <w:p>
      <w:pPr>
        <w:spacing w:line="360" w:lineRule="auto"/>
        <w:ind w:firstLine="360" w:firstLineChars="150"/>
        <w:rPr>
          <w:rFonts w:ascii="宋体" w:hAnsi="宋体"/>
          <w:sz w:val="24"/>
          <w:szCs w:val="21"/>
        </w:rPr>
      </w:pPr>
      <w:r>
        <w:rPr>
          <w:rFonts w:ascii="宋体" w:hAnsi="宋体"/>
          <w:sz w:val="24"/>
          <w:szCs w:val="21"/>
        </w:rPr>
        <w:t xml:space="preserve">5.因本保函发生的纠纷，可由双方协商解决，协商不成的，任何一方均可提请仲裁委员会仲裁。 </w:t>
      </w:r>
    </w:p>
    <w:p>
      <w:pPr>
        <w:spacing w:line="360" w:lineRule="auto"/>
        <w:ind w:firstLine="480" w:firstLineChars="200"/>
        <w:rPr>
          <w:rFonts w:ascii="宋体" w:hAnsi="宋体"/>
          <w:sz w:val="24"/>
          <w:szCs w:val="21"/>
        </w:rPr>
      </w:pPr>
      <w:r>
        <w:rPr>
          <w:rFonts w:ascii="宋体" w:hAnsi="宋体"/>
          <w:sz w:val="24"/>
          <w:szCs w:val="21"/>
        </w:rPr>
        <w:t xml:space="preserve">6.本保函自我方法定代表人（或其授权代理人）签字并加盖公章之日起生效。 </w:t>
      </w:r>
    </w:p>
    <w:p>
      <w:pPr>
        <w:spacing w:line="360" w:lineRule="auto"/>
        <w:rPr>
          <w:rFonts w:ascii="宋体" w:hAnsi="宋体"/>
          <w:sz w:val="24"/>
          <w:szCs w:val="21"/>
        </w:rPr>
      </w:pPr>
    </w:p>
    <w:p>
      <w:pPr>
        <w:spacing w:line="360" w:lineRule="auto"/>
        <w:rPr>
          <w:rFonts w:ascii="宋体" w:hAnsi="宋体"/>
          <w:sz w:val="24"/>
          <w:szCs w:val="21"/>
        </w:rPr>
      </w:pPr>
      <w:r>
        <w:rPr>
          <w:rFonts w:hint="eastAsia" w:ascii="宋体" w:hAnsi="宋体"/>
          <w:sz w:val="24"/>
          <w:szCs w:val="21"/>
        </w:rPr>
        <w:t>担保人（盖单位章）</w:t>
      </w:r>
    </w:p>
    <w:p>
      <w:pPr>
        <w:spacing w:line="360" w:lineRule="auto"/>
        <w:rPr>
          <w:rFonts w:ascii="宋体" w:hAnsi="宋体"/>
          <w:sz w:val="24"/>
          <w:szCs w:val="21"/>
        </w:rPr>
      </w:pPr>
      <w:r>
        <w:rPr>
          <w:rFonts w:hint="eastAsia" w:ascii="宋体" w:hAnsi="宋体"/>
          <w:sz w:val="24"/>
          <w:szCs w:val="21"/>
        </w:rPr>
        <w:t>法定代表人或其委托代理人：</w:t>
      </w:r>
      <w:r>
        <w:rPr>
          <w:rFonts w:ascii="宋体" w:hAnsi="宋体"/>
          <w:sz w:val="24"/>
          <w:szCs w:val="21"/>
        </w:rPr>
        <w:t xml:space="preserve"> （签字）</w:t>
      </w:r>
    </w:p>
    <w:p>
      <w:pPr>
        <w:spacing w:line="360" w:lineRule="auto"/>
        <w:rPr>
          <w:rFonts w:ascii="宋体" w:hAnsi="宋体"/>
          <w:sz w:val="24"/>
          <w:szCs w:val="21"/>
        </w:rPr>
      </w:pPr>
      <w:r>
        <w:rPr>
          <w:rFonts w:hint="eastAsia" w:ascii="宋体" w:hAnsi="宋体"/>
          <w:sz w:val="24"/>
          <w:szCs w:val="21"/>
        </w:rPr>
        <w:t>地址：</w:t>
      </w:r>
    </w:p>
    <w:p>
      <w:pPr>
        <w:spacing w:line="360" w:lineRule="auto"/>
        <w:rPr>
          <w:rFonts w:ascii="宋体" w:hAnsi="宋体"/>
          <w:sz w:val="24"/>
          <w:szCs w:val="21"/>
        </w:rPr>
      </w:pPr>
      <w:r>
        <w:rPr>
          <w:rFonts w:hint="eastAsia" w:ascii="宋体" w:hAnsi="宋体"/>
          <w:sz w:val="24"/>
          <w:szCs w:val="21"/>
        </w:rPr>
        <w:t>邮政编码：</w:t>
      </w:r>
    </w:p>
    <w:p>
      <w:pPr>
        <w:spacing w:line="360" w:lineRule="auto"/>
        <w:rPr>
          <w:rFonts w:ascii="宋体" w:hAnsi="宋体"/>
          <w:sz w:val="24"/>
          <w:szCs w:val="21"/>
        </w:rPr>
      </w:pPr>
      <w:r>
        <w:rPr>
          <w:rFonts w:hint="eastAsia" w:ascii="宋体" w:hAnsi="宋体"/>
          <w:sz w:val="24"/>
          <w:szCs w:val="21"/>
        </w:rPr>
        <w:t>电话：</w:t>
      </w:r>
    </w:p>
    <w:p>
      <w:pPr>
        <w:spacing w:line="360" w:lineRule="auto"/>
        <w:rPr>
          <w:rFonts w:ascii="宋体" w:hAnsi="宋体"/>
          <w:sz w:val="24"/>
          <w:szCs w:val="21"/>
        </w:rPr>
      </w:pPr>
      <w:r>
        <w:rPr>
          <w:rFonts w:hint="eastAsia" w:ascii="宋体" w:hAnsi="宋体"/>
          <w:sz w:val="24"/>
          <w:szCs w:val="21"/>
        </w:rPr>
        <w:t>传真：</w:t>
      </w:r>
    </w:p>
    <w:p>
      <w:pPr>
        <w:spacing w:line="360" w:lineRule="auto"/>
        <w:rPr>
          <w:rFonts w:ascii="宋体" w:hAnsi="宋体"/>
          <w:sz w:val="24"/>
          <w:szCs w:val="21"/>
        </w:rPr>
      </w:pPr>
      <w:r>
        <w:rPr>
          <w:rFonts w:hint="eastAsia" w:ascii="宋体" w:hAnsi="宋体"/>
          <w:sz w:val="24"/>
          <w:szCs w:val="21"/>
        </w:rPr>
        <w:t>年月日</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 xml:space="preserve"> 附件 10： </w:t>
      </w:r>
    </w:p>
    <w:p>
      <w:pPr>
        <w:spacing w:line="360" w:lineRule="auto"/>
        <w:jc w:val="center"/>
        <w:rPr>
          <w:rFonts w:ascii="宋体" w:hAnsi="宋体"/>
          <w:b/>
          <w:sz w:val="28"/>
          <w:szCs w:val="28"/>
        </w:rPr>
      </w:pPr>
      <w:r>
        <w:rPr>
          <w:rFonts w:hint="eastAsia" w:ascii="宋体" w:hAnsi="宋体"/>
          <w:b/>
          <w:sz w:val="28"/>
          <w:szCs w:val="28"/>
        </w:rPr>
        <w:t>支付担保</w:t>
      </w:r>
    </w:p>
    <w:p>
      <w:pPr>
        <w:spacing w:line="360" w:lineRule="auto"/>
        <w:rPr>
          <w:rFonts w:ascii="宋体" w:hAnsi="宋体"/>
          <w:sz w:val="24"/>
          <w:szCs w:val="21"/>
        </w:rPr>
      </w:pPr>
      <w:r>
        <w:rPr>
          <w:rFonts w:hint="eastAsia" w:ascii="宋体" w:hAnsi="宋体"/>
          <w:sz w:val="24"/>
          <w:szCs w:val="21"/>
        </w:rPr>
        <w:t>（承包人）：</w:t>
      </w:r>
    </w:p>
    <w:p>
      <w:pPr>
        <w:spacing w:line="360" w:lineRule="auto"/>
        <w:ind w:firstLine="720" w:firstLineChars="300"/>
        <w:rPr>
          <w:rFonts w:ascii="宋体" w:hAnsi="宋体"/>
          <w:sz w:val="24"/>
          <w:szCs w:val="21"/>
        </w:rPr>
      </w:pPr>
      <w:r>
        <w:rPr>
          <w:rFonts w:hint="eastAsia" w:ascii="宋体" w:hAnsi="宋体"/>
          <w:sz w:val="24"/>
          <w:szCs w:val="21"/>
        </w:rPr>
        <w:t>鉴于你方作为承包人已经与（发包人名称）（以下称“发包人”）于年月日签订了（工程名称）《建设工程施工合同》（以下称“主合同”），应发包人的申请，我方愿就发包人履行主合同约定的工程款支付义务以保证的方式向你方提供如下担保：</w:t>
      </w:r>
    </w:p>
    <w:p>
      <w:pPr>
        <w:spacing w:line="360" w:lineRule="auto"/>
        <w:ind w:firstLine="120" w:firstLineChars="50"/>
        <w:rPr>
          <w:rFonts w:ascii="宋体" w:hAnsi="宋体"/>
          <w:sz w:val="24"/>
          <w:szCs w:val="21"/>
        </w:rPr>
      </w:pPr>
      <w:r>
        <w:rPr>
          <w:rFonts w:hint="eastAsia" w:ascii="宋体" w:hAnsi="宋体"/>
          <w:sz w:val="24"/>
          <w:szCs w:val="21"/>
        </w:rPr>
        <w:t>一、保证的范围及保证金额</w:t>
      </w:r>
    </w:p>
    <w:p>
      <w:pPr>
        <w:spacing w:line="360" w:lineRule="auto"/>
        <w:ind w:firstLine="120" w:firstLineChars="50"/>
        <w:rPr>
          <w:rFonts w:ascii="宋体" w:hAnsi="宋体"/>
          <w:sz w:val="24"/>
          <w:szCs w:val="21"/>
        </w:rPr>
      </w:pPr>
      <w:r>
        <w:rPr>
          <w:rFonts w:ascii="宋体" w:hAnsi="宋体"/>
          <w:sz w:val="24"/>
          <w:szCs w:val="21"/>
        </w:rPr>
        <w:t xml:space="preserve">1.我方的保证范围是主合同约定的工程款。 </w:t>
      </w:r>
    </w:p>
    <w:p>
      <w:pPr>
        <w:spacing w:line="360" w:lineRule="auto"/>
        <w:ind w:left="120" w:leftChars="57"/>
        <w:rPr>
          <w:rFonts w:ascii="宋体" w:hAnsi="宋体"/>
          <w:sz w:val="24"/>
          <w:szCs w:val="21"/>
        </w:rPr>
      </w:pPr>
      <w:r>
        <w:rPr>
          <w:rFonts w:ascii="宋体" w:hAnsi="宋体"/>
          <w:sz w:val="24"/>
          <w:szCs w:val="21"/>
        </w:rPr>
        <w:t xml:space="preserve">2.本保函所称主合同约定的工程款是指主合同约定的除工程质量保证金以外的合同价款。 </w:t>
      </w:r>
    </w:p>
    <w:p>
      <w:pPr>
        <w:spacing w:line="360" w:lineRule="auto"/>
        <w:ind w:firstLine="120" w:firstLineChars="50"/>
        <w:rPr>
          <w:rFonts w:ascii="宋体" w:hAnsi="宋体"/>
          <w:sz w:val="24"/>
          <w:szCs w:val="21"/>
        </w:rPr>
      </w:pPr>
      <w:r>
        <w:rPr>
          <w:rFonts w:ascii="宋体" w:hAnsi="宋体"/>
          <w:sz w:val="24"/>
          <w:szCs w:val="21"/>
        </w:rPr>
        <w:t>3.我方保证的金额是主合同约定的工程款的%，数额最高不超过人民币元</w:t>
      </w:r>
    </w:p>
    <w:p>
      <w:pPr>
        <w:spacing w:line="360" w:lineRule="auto"/>
        <w:ind w:firstLine="120" w:firstLineChars="50"/>
        <w:rPr>
          <w:rFonts w:ascii="宋体" w:hAnsi="宋体"/>
          <w:sz w:val="24"/>
          <w:szCs w:val="21"/>
        </w:rPr>
      </w:pPr>
      <w:r>
        <w:rPr>
          <w:rFonts w:hint="eastAsia" w:ascii="宋体" w:hAnsi="宋体"/>
          <w:sz w:val="24"/>
          <w:szCs w:val="21"/>
        </w:rPr>
        <w:t>（大写：（小写：</w:t>
      </w:r>
      <w:r>
        <w:rPr>
          <w:rFonts w:ascii="宋体" w:hAnsi="宋体"/>
          <w:sz w:val="24"/>
          <w:szCs w:val="21"/>
        </w:rPr>
        <w:t xml:space="preserve"> ）。 </w:t>
      </w:r>
    </w:p>
    <w:p>
      <w:pPr>
        <w:spacing w:line="360" w:lineRule="auto"/>
        <w:ind w:firstLine="120" w:firstLineChars="50"/>
        <w:rPr>
          <w:rFonts w:ascii="宋体" w:hAnsi="宋体"/>
          <w:sz w:val="24"/>
          <w:szCs w:val="21"/>
        </w:rPr>
      </w:pPr>
      <w:r>
        <w:rPr>
          <w:rFonts w:hint="eastAsia" w:ascii="宋体" w:hAnsi="宋体"/>
          <w:sz w:val="24"/>
          <w:szCs w:val="21"/>
        </w:rPr>
        <w:t>二、保证的方式及保证期间</w:t>
      </w:r>
    </w:p>
    <w:p>
      <w:pPr>
        <w:spacing w:line="360" w:lineRule="auto"/>
        <w:ind w:firstLine="120" w:firstLineChars="50"/>
        <w:rPr>
          <w:rFonts w:ascii="宋体" w:hAnsi="宋体"/>
          <w:sz w:val="24"/>
          <w:szCs w:val="21"/>
        </w:rPr>
      </w:pPr>
      <w:r>
        <w:rPr>
          <w:rFonts w:ascii="宋体" w:hAnsi="宋体"/>
          <w:sz w:val="24"/>
          <w:szCs w:val="21"/>
        </w:rPr>
        <w:t xml:space="preserve">1.我方保证的方式为：连带责任保证。 </w:t>
      </w:r>
    </w:p>
    <w:p>
      <w:pPr>
        <w:spacing w:line="360" w:lineRule="auto"/>
        <w:ind w:firstLine="120" w:firstLineChars="50"/>
        <w:rPr>
          <w:rFonts w:ascii="宋体" w:hAnsi="宋体"/>
          <w:sz w:val="24"/>
          <w:szCs w:val="21"/>
        </w:rPr>
      </w:pPr>
      <w:r>
        <w:rPr>
          <w:rFonts w:ascii="宋体" w:hAnsi="宋体"/>
          <w:sz w:val="24"/>
          <w:szCs w:val="21"/>
        </w:rPr>
        <w:t xml:space="preserve">2.我方保证的期间为：自本合同生效之日起至主合同约定的工程款支付完毕之日后日内。 </w:t>
      </w:r>
    </w:p>
    <w:p>
      <w:pPr>
        <w:spacing w:line="360" w:lineRule="auto"/>
        <w:ind w:firstLine="120" w:firstLineChars="50"/>
        <w:rPr>
          <w:rFonts w:ascii="宋体" w:hAnsi="宋体"/>
          <w:sz w:val="24"/>
          <w:szCs w:val="21"/>
        </w:rPr>
      </w:pPr>
      <w:r>
        <w:rPr>
          <w:rFonts w:ascii="宋体" w:hAnsi="宋体"/>
          <w:sz w:val="24"/>
          <w:szCs w:val="21"/>
        </w:rPr>
        <w:t xml:space="preserve">3.你方与发包人协议变更工程款支付日期的，经我方书面同意后，保证期间按照变更后的支付日期做相应调整。 </w:t>
      </w:r>
    </w:p>
    <w:p>
      <w:pPr>
        <w:spacing w:line="360" w:lineRule="auto"/>
        <w:ind w:firstLine="120" w:firstLineChars="50"/>
        <w:rPr>
          <w:rFonts w:ascii="宋体" w:hAnsi="宋体"/>
          <w:sz w:val="24"/>
          <w:szCs w:val="21"/>
        </w:rPr>
      </w:pPr>
      <w:r>
        <w:rPr>
          <w:rFonts w:hint="eastAsia" w:ascii="宋体" w:hAnsi="宋体"/>
          <w:sz w:val="24"/>
          <w:szCs w:val="21"/>
        </w:rPr>
        <w:t>三、承担保证责任的形式</w:t>
      </w:r>
    </w:p>
    <w:p>
      <w:pPr>
        <w:spacing w:line="360" w:lineRule="auto"/>
        <w:rPr>
          <w:rFonts w:ascii="宋体" w:hAnsi="宋体"/>
          <w:sz w:val="24"/>
          <w:szCs w:val="21"/>
        </w:rPr>
      </w:pPr>
      <w:r>
        <w:rPr>
          <w:rFonts w:hint="eastAsia" w:ascii="宋体" w:hAnsi="宋体"/>
          <w:sz w:val="24"/>
          <w:szCs w:val="21"/>
        </w:rPr>
        <w:t>我方承担保证责任的形式是代为支付。发包人未按主合同约定向你方支付工程款的，由我方在保证金额内代为支付。</w:t>
      </w:r>
    </w:p>
    <w:p>
      <w:pPr>
        <w:spacing w:line="360" w:lineRule="auto"/>
        <w:ind w:firstLine="240" w:firstLineChars="100"/>
        <w:rPr>
          <w:rFonts w:ascii="宋体" w:hAnsi="宋体"/>
          <w:sz w:val="24"/>
          <w:szCs w:val="21"/>
        </w:rPr>
      </w:pPr>
      <w:r>
        <w:rPr>
          <w:rFonts w:hint="eastAsia" w:ascii="宋体" w:hAnsi="宋体"/>
          <w:sz w:val="24"/>
          <w:szCs w:val="21"/>
        </w:rPr>
        <w:t>四、代偿的安排</w:t>
      </w:r>
    </w:p>
    <w:p>
      <w:pPr>
        <w:spacing w:line="360" w:lineRule="auto"/>
        <w:ind w:firstLine="120" w:firstLineChars="50"/>
        <w:rPr>
          <w:rFonts w:ascii="宋体" w:hAnsi="宋体"/>
          <w:sz w:val="24"/>
          <w:szCs w:val="21"/>
        </w:rPr>
      </w:pPr>
      <w:r>
        <w:rPr>
          <w:rFonts w:ascii="宋体" w:hAnsi="宋体"/>
          <w:sz w:val="24"/>
          <w:szCs w:val="21"/>
        </w:rPr>
        <w:t xml:space="preserve">1.你方要求我方承担保证责任的，应向我方发出书面索赔通知及发包人未支付主合同约定工程款的证明材料。索赔通知应写明要求索赔的金额，支付款项应到达的账号。 </w:t>
      </w:r>
    </w:p>
    <w:p>
      <w:pPr>
        <w:spacing w:line="360" w:lineRule="auto"/>
        <w:ind w:firstLine="120" w:firstLineChars="50"/>
        <w:rPr>
          <w:rFonts w:ascii="宋体" w:hAnsi="宋体"/>
          <w:sz w:val="24"/>
          <w:szCs w:val="21"/>
        </w:rPr>
      </w:pPr>
      <w:r>
        <w:rPr>
          <w:rFonts w:ascii="宋体" w:hAnsi="宋体"/>
          <w:sz w:val="24"/>
          <w:szCs w:val="21"/>
        </w:rPr>
        <w:t xml:space="preserve">2.在出现你方与发包人因工程质量发生争议，发包人拒绝向你方支付工程款的情形时，你方要求我方履行保证责任代为支付的，需提供符合相应条件要求的工程质量检测机构出具的质量说明材料。 </w:t>
      </w:r>
    </w:p>
    <w:p>
      <w:pPr>
        <w:spacing w:line="360" w:lineRule="auto"/>
        <w:ind w:firstLine="120" w:firstLineChars="50"/>
        <w:rPr>
          <w:rFonts w:ascii="宋体" w:hAnsi="宋体"/>
          <w:sz w:val="24"/>
          <w:szCs w:val="21"/>
        </w:rPr>
      </w:pPr>
      <w:r>
        <w:rPr>
          <w:rFonts w:ascii="宋体" w:hAnsi="宋体"/>
          <w:sz w:val="24"/>
          <w:szCs w:val="21"/>
        </w:rPr>
        <w:t xml:space="preserve">3.我方收到你方的书面索赔通知及相应的证明材料后７天内无条件支付。 </w:t>
      </w:r>
    </w:p>
    <w:p>
      <w:pPr>
        <w:spacing w:line="360" w:lineRule="auto"/>
        <w:ind w:firstLine="120" w:firstLineChars="50"/>
        <w:rPr>
          <w:rFonts w:ascii="宋体" w:hAnsi="宋体"/>
          <w:sz w:val="24"/>
          <w:szCs w:val="21"/>
        </w:rPr>
      </w:pPr>
      <w:r>
        <w:rPr>
          <w:rFonts w:hint="eastAsia" w:ascii="宋体" w:hAnsi="宋体"/>
          <w:sz w:val="24"/>
          <w:szCs w:val="21"/>
        </w:rPr>
        <w:t>五、保证责任的解除</w:t>
      </w:r>
    </w:p>
    <w:p>
      <w:pPr>
        <w:spacing w:line="360" w:lineRule="auto"/>
        <w:ind w:firstLine="120" w:firstLineChars="50"/>
        <w:rPr>
          <w:rFonts w:ascii="宋体" w:hAnsi="宋体"/>
          <w:sz w:val="24"/>
          <w:szCs w:val="21"/>
        </w:rPr>
      </w:pPr>
      <w:r>
        <w:rPr>
          <w:rFonts w:ascii="宋体" w:hAnsi="宋体"/>
          <w:sz w:val="24"/>
          <w:szCs w:val="21"/>
        </w:rPr>
        <w:t xml:space="preserve">1.在本保函承诺的保证期间内，你方未书面向我方主张保证责任的，自保证期间届满次日起，我方保证责任解除。 </w:t>
      </w:r>
    </w:p>
    <w:p>
      <w:pPr>
        <w:spacing w:line="360" w:lineRule="auto"/>
        <w:ind w:firstLine="120" w:firstLineChars="50"/>
        <w:rPr>
          <w:rFonts w:ascii="宋体" w:hAnsi="宋体"/>
          <w:sz w:val="24"/>
          <w:szCs w:val="21"/>
        </w:rPr>
      </w:pPr>
      <w:r>
        <w:rPr>
          <w:rFonts w:ascii="宋体" w:hAnsi="宋体"/>
          <w:sz w:val="24"/>
          <w:szCs w:val="21"/>
        </w:rPr>
        <w:t xml:space="preserve">2.发包人按主合同约定履行了工程款的全部支付义务的，自本保函承诺的保证期间届满次日起，我方保证责任解除。 </w:t>
      </w:r>
    </w:p>
    <w:p>
      <w:pPr>
        <w:spacing w:line="360" w:lineRule="auto"/>
        <w:ind w:firstLine="120" w:firstLineChars="50"/>
        <w:rPr>
          <w:rFonts w:ascii="宋体" w:hAnsi="宋体"/>
          <w:sz w:val="24"/>
          <w:szCs w:val="21"/>
        </w:rPr>
      </w:pPr>
      <w:r>
        <w:rPr>
          <w:rFonts w:ascii="宋体" w:hAnsi="宋体"/>
          <w:sz w:val="24"/>
          <w:szCs w:val="21"/>
        </w:rPr>
        <w:t xml:space="preserve">3.我方按照本保函向你方履行保证责任所支付金额达到本保函保证金额时，自我方向你方支付（支付款项从我方账户划出）之日起，保证责任即解除。 </w:t>
      </w:r>
    </w:p>
    <w:p>
      <w:pPr>
        <w:spacing w:line="360" w:lineRule="auto"/>
        <w:ind w:firstLine="120" w:firstLineChars="50"/>
        <w:rPr>
          <w:rFonts w:ascii="宋体" w:hAnsi="宋体"/>
          <w:sz w:val="24"/>
          <w:szCs w:val="21"/>
        </w:rPr>
      </w:pPr>
      <w:r>
        <w:rPr>
          <w:rFonts w:ascii="宋体" w:hAnsi="宋体"/>
          <w:sz w:val="24"/>
          <w:szCs w:val="21"/>
        </w:rPr>
        <w:t xml:space="preserve">4.按照法律法规的规定或出现应解除我方保证责任的其他情形的，我方在本保函项下的保证责任亦解除。 </w:t>
      </w:r>
    </w:p>
    <w:p>
      <w:pPr>
        <w:spacing w:line="360" w:lineRule="auto"/>
        <w:ind w:firstLine="120" w:firstLineChars="50"/>
        <w:rPr>
          <w:rFonts w:ascii="宋体" w:hAnsi="宋体"/>
          <w:sz w:val="24"/>
          <w:szCs w:val="21"/>
        </w:rPr>
      </w:pPr>
      <w:r>
        <w:rPr>
          <w:rFonts w:ascii="宋体" w:hAnsi="宋体"/>
          <w:sz w:val="24"/>
          <w:szCs w:val="21"/>
        </w:rPr>
        <w:t xml:space="preserve">5.我方解除保证责任后，你方应自我方保证责任解除之日起个工作日内，将本保函原件返还我方。 </w:t>
      </w:r>
    </w:p>
    <w:p>
      <w:pPr>
        <w:spacing w:line="360" w:lineRule="auto"/>
        <w:ind w:firstLine="120" w:firstLineChars="50"/>
        <w:rPr>
          <w:rFonts w:ascii="宋体" w:hAnsi="宋体"/>
          <w:sz w:val="24"/>
          <w:szCs w:val="21"/>
        </w:rPr>
      </w:pPr>
      <w:r>
        <w:rPr>
          <w:rFonts w:hint="eastAsia" w:ascii="宋体" w:hAnsi="宋体"/>
          <w:sz w:val="24"/>
          <w:szCs w:val="21"/>
        </w:rPr>
        <w:t>六、免责条款</w:t>
      </w:r>
    </w:p>
    <w:p>
      <w:pPr>
        <w:spacing w:line="360" w:lineRule="auto"/>
        <w:ind w:firstLine="120" w:firstLineChars="50"/>
        <w:rPr>
          <w:rFonts w:ascii="宋体" w:hAnsi="宋体"/>
          <w:sz w:val="24"/>
          <w:szCs w:val="21"/>
        </w:rPr>
      </w:pPr>
      <w:r>
        <w:rPr>
          <w:rFonts w:ascii="宋体" w:hAnsi="宋体"/>
          <w:sz w:val="24"/>
          <w:szCs w:val="21"/>
        </w:rPr>
        <w:t xml:space="preserve">1.因你方违约致使发包人不能履行义务的，我方不承担保证责任。 </w:t>
      </w:r>
    </w:p>
    <w:p>
      <w:pPr>
        <w:spacing w:line="360" w:lineRule="auto"/>
        <w:ind w:firstLine="120" w:firstLineChars="50"/>
        <w:rPr>
          <w:rFonts w:ascii="宋体" w:hAnsi="宋体"/>
          <w:sz w:val="24"/>
          <w:szCs w:val="21"/>
        </w:rPr>
      </w:pPr>
      <w:r>
        <w:rPr>
          <w:rFonts w:ascii="宋体" w:hAnsi="宋体"/>
          <w:sz w:val="24"/>
          <w:szCs w:val="21"/>
        </w:rPr>
        <w:t xml:space="preserve">2.依照法律法规的规定或你方与发包人的另行约定，免除发包人部分或全部义务的，我方亦免除其相应的保证责任。 </w:t>
      </w:r>
    </w:p>
    <w:p>
      <w:pPr>
        <w:spacing w:line="360" w:lineRule="auto"/>
        <w:ind w:firstLine="120" w:firstLineChars="50"/>
        <w:rPr>
          <w:rFonts w:ascii="宋体" w:hAnsi="宋体"/>
          <w:sz w:val="24"/>
          <w:szCs w:val="21"/>
        </w:rPr>
      </w:pPr>
      <w:r>
        <w:rPr>
          <w:rFonts w:ascii="宋体" w:hAnsi="宋体"/>
          <w:sz w:val="24"/>
          <w:szCs w:val="21"/>
        </w:rPr>
        <w:t xml:space="preserve">3.你方与发包人协议变更主合同的，如加重发包人责任致使我方保证责任加重的，需征得我方书面同意，否则我方不再承担因此而加重部分的保证责任，但主合同第 10 条〔变更〕约定的变更不受本款限制。 </w:t>
      </w:r>
    </w:p>
    <w:p>
      <w:pPr>
        <w:spacing w:line="360" w:lineRule="auto"/>
        <w:ind w:firstLine="120" w:firstLineChars="50"/>
        <w:rPr>
          <w:rFonts w:ascii="宋体" w:hAnsi="宋体"/>
          <w:sz w:val="24"/>
          <w:szCs w:val="21"/>
        </w:rPr>
      </w:pPr>
      <w:r>
        <w:rPr>
          <w:rFonts w:ascii="宋体" w:hAnsi="宋体"/>
          <w:sz w:val="24"/>
          <w:szCs w:val="21"/>
        </w:rPr>
        <w:t xml:space="preserve">4.因不可抗力造成发包人不能履行义务的，我方不承担保证责任。 </w:t>
      </w:r>
    </w:p>
    <w:p>
      <w:pPr>
        <w:spacing w:line="360" w:lineRule="auto"/>
        <w:ind w:firstLine="120" w:firstLineChars="50"/>
        <w:rPr>
          <w:rFonts w:ascii="宋体" w:hAnsi="宋体"/>
          <w:sz w:val="24"/>
          <w:szCs w:val="21"/>
        </w:rPr>
      </w:pPr>
      <w:r>
        <w:rPr>
          <w:rFonts w:hint="eastAsia" w:ascii="宋体" w:hAnsi="宋体"/>
          <w:sz w:val="24"/>
          <w:szCs w:val="21"/>
        </w:rPr>
        <w:t>七、争议解决</w:t>
      </w:r>
    </w:p>
    <w:p>
      <w:pPr>
        <w:spacing w:line="360" w:lineRule="auto"/>
        <w:ind w:firstLine="120" w:firstLineChars="50"/>
        <w:rPr>
          <w:rFonts w:ascii="宋体" w:hAnsi="宋体"/>
          <w:sz w:val="24"/>
          <w:szCs w:val="21"/>
        </w:rPr>
      </w:pPr>
      <w:r>
        <w:rPr>
          <w:rFonts w:hint="eastAsia" w:ascii="宋体" w:hAnsi="宋体"/>
          <w:sz w:val="24"/>
          <w:szCs w:val="21"/>
        </w:rPr>
        <w:t>因本保函或本保函相关事项发生的纠纷，可由双方协商解决，协商不成的，按下列第种方式解决：</w:t>
      </w:r>
    </w:p>
    <w:p>
      <w:pPr>
        <w:spacing w:line="360" w:lineRule="auto"/>
        <w:ind w:firstLine="120" w:firstLineChars="50"/>
        <w:rPr>
          <w:rFonts w:ascii="宋体" w:hAnsi="宋体"/>
          <w:sz w:val="24"/>
          <w:szCs w:val="21"/>
        </w:rPr>
      </w:pPr>
      <w:r>
        <w:rPr>
          <w:rFonts w:hint="eastAsia" w:ascii="宋体" w:hAnsi="宋体"/>
          <w:sz w:val="24"/>
          <w:szCs w:val="21"/>
        </w:rPr>
        <w:t>（</w:t>
      </w:r>
      <w:r>
        <w:rPr>
          <w:rFonts w:ascii="宋体" w:hAnsi="宋体"/>
          <w:sz w:val="24"/>
          <w:szCs w:val="21"/>
        </w:rPr>
        <w:t xml:space="preserve">1）向 </w:t>
      </w:r>
      <w:r>
        <w:rPr>
          <w:rFonts w:hint="eastAsia" w:ascii="宋体" w:hAnsi="宋体"/>
          <w:sz w:val="24"/>
          <w:szCs w:val="21"/>
        </w:rPr>
        <w:t>仲裁委员会申请仲裁；</w:t>
      </w:r>
    </w:p>
    <w:p>
      <w:pPr>
        <w:spacing w:line="360" w:lineRule="auto"/>
        <w:ind w:firstLine="120" w:firstLineChars="50"/>
        <w:rPr>
          <w:rFonts w:ascii="宋体" w:hAnsi="宋体"/>
          <w:sz w:val="24"/>
          <w:szCs w:val="21"/>
        </w:rPr>
      </w:pPr>
      <w:r>
        <w:rPr>
          <w:rFonts w:hint="eastAsia" w:ascii="宋体" w:hAnsi="宋体"/>
          <w:sz w:val="24"/>
          <w:szCs w:val="21"/>
        </w:rPr>
        <w:t>（</w:t>
      </w:r>
      <w:r>
        <w:rPr>
          <w:rFonts w:ascii="宋体" w:hAnsi="宋体"/>
          <w:sz w:val="24"/>
          <w:szCs w:val="21"/>
        </w:rPr>
        <w:t>2）向</w:t>
      </w:r>
      <w:r>
        <w:rPr>
          <w:rFonts w:hint="eastAsia" w:ascii="宋体" w:hAnsi="宋体"/>
          <w:sz w:val="24"/>
          <w:szCs w:val="21"/>
        </w:rPr>
        <w:t>人民法院起诉。</w:t>
      </w:r>
    </w:p>
    <w:p>
      <w:pPr>
        <w:spacing w:line="360" w:lineRule="auto"/>
        <w:ind w:firstLine="120" w:firstLineChars="50"/>
        <w:rPr>
          <w:rFonts w:ascii="宋体" w:hAnsi="宋体"/>
          <w:sz w:val="24"/>
          <w:szCs w:val="21"/>
        </w:rPr>
      </w:pPr>
      <w:r>
        <w:rPr>
          <w:rFonts w:hint="eastAsia" w:ascii="宋体" w:hAnsi="宋体"/>
          <w:sz w:val="24"/>
          <w:szCs w:val="21"/>
        </w:rPr>
        <w:t>八、保函的生效</w:t>
      </w:r>
    </w:p>
    <w:p>
      <w:pPr>
        <w:spacing w:line="360" w:lineRule="auto"/>
        <w:ind w:firstLine="120" w:firstLineChars="50"/>
        <w:rPr>
          <w:rFonts w:ascii="宋体" w:hAnsi="宋体"/>
          <w:sz w:val="24"/>
          <w:szCs w:val="21"/>
        </w:rPr>
      </w:pPr>
      <w:r>
        <w:rPr>
          <w:rFonts w:hint="eastAsia" w:ascii="宋体" w:hAnsi="宋体"/>
          <w:sz w:val="24"/>
          <w:szCs w:val="21"/>
        </w:rPr>
        <w:t>本保函自我方法定代表人（或其授权代理人）签字并加盖公章之</w:t>
      </w:r>
    </w:p>
    <w:p>
      <w:pPr>
        <w:spacing w:line="360" w:lineRule="auto"/>
        <w:rPr>
          <w:rFonts w:ascii="宋体" w:hAnsi="宋体"/>
          <w:sz w:val="24"/>
          <w:szCs w:val="21"/>
        </w:rPr>
      </w:pPr>
      <w:r>
        <w:rPr>
          <w:rFonts w:hint="eastAsia" w:ascii="宋体" w:hAnsi="宋体"/>
          <w:sz w:val="24"/>
          <w:szCs w:val="21"/>
        </w:rPr>
        <w:t>日起生效。</w:t>
      </w:r>
    </w:p>
    <w:p>
      <w:pPr>
        <w:spacing w:line="360" w:lineRule="auto"/>
        <w:rPr>
          <w:rFonts w:ascii="宋体" w:hAnsi="宋体"/>
          <w:sz w:val="24"/>
          <w:szCs w:val="21"/>
        </w:rPr>
      </w:pPr>
      <w:r>
        <w:rPr>
          <w:rFonts w:hint="eastAsia" w:ascii="宋体" w:hAnsi="宋体"/>
          <w:sz w:val="24"/>
          <w:szCs w:val="21"/>
        </w:rPr>
        <w:t>担保人：（盖章）</w:t>
      </w:r>
    </w:p>
    <w:p>
      <w:pPr>
        <w:spacing w:line="360" w:lineRule="auto"/>
        <w:rPr>
          <w:rFonts w:ascii="宋体" w:hAnsi="宋体"/>
          <w:sz w:val="24"/>
          <w:szCs w:val="21"/>
        </w:rPr>
      </w:pPr>
      <w:r>
        <w:rPr>
          <w:rFonts w:hint="eastAsia" w:ascii="宋体" w:hAnsi="宋体"/>
          <w:sz w:val="24"/>
          <w:szCs w:val="21"/>
        </w:rPr>
        <w:t>法定代表人或委托代理人：（签字）</w:t>
      </w:r>
    </w:p>
    <w:p>
      <w:pPr>
        <w:spacing w:line="360" w:lineRule="auto"/>
        <w:rPr>
          <w:rFonts w:ascii="宋体" w:hAnsi="宋体"/>
          <w:sz w:val="24"/>
          <w:szCs w:val="21"/>
        </w:rPr>
      </w:pPr>
      <w:r>
        <w:rPr>
          <w:rFonts w:hint="eastAsia" w:ascii="宋体" w:hAnsi="宋体"/>
          <w:sz w:val="24"/>
          <w:szCs w:val="21"/>
        </w:rPr>
        <w:t>地址：</w:t>
      </w:r>
    </w:p>
    <w:p>
      <w:pPr>
        <w:spacing w:line="360" w:lineRule="auto"/>
        <w:rPr>
          <w:rFonts w:ascii="宋体" w:hAnsi="宋体"/>
          <w:sz w:val="24"/>
          <w:szCs w:val="21"/>
        </w:rPr>
      </w:pPr>
      <w:r>
        <w:rPr>
          <w:rFonts w:hint="eastAsia" w:ascii="宋体" w:hAnsi="宋体"/>
          <w:sz w:val="24"/>
          <w:szCs w:val="21"/>
        </w:rPr>
        <w:t>邮政编码：</w:t>
      </w:r>
    </w:p>
    <w:p>
      <w:pPr>
        <w:spacing w:line="360" w:lineRule="auto"/>
        <w:rPr>
          <w:rFonts w:ascii="宋体" w:hAnsi="宋体"/>
          <w:sz w:val="24"/>
          <w:szCs w:val="21"/>
        </w:rPr>
      </w:pPr>
      <w:r>
        <w:rPr>
          <w:rFonts w:hint="eastAsia" w:ascii="宋体" w:hAnsi="宋体"/>
          <w:sz w:val="24"/>
          <w:szCs w:val="21"/>
        </w:rPr>
        <w:t>传真：</w:t>
      </w:r>
    </w:p>
    <w:p>
      <w:pPr>
        <w:spacing w:line="360" w:lineRule="auto"/>
        <w:ind w:firstLine="2040" w:firstLineChars="850"/>
        <w:rPr>
          <w:rFonts w:ascii="宋体" w:hAnsi="宋体"/>
          <w:sz w:val="24"/>
          <w:szCs w:val="21"/>
        </w:rPr>
        <w:sectPr>
          <w:pgSz w:w="11906" w:h="16838"/>
          <w:pgMar w:top="1440" w:right="1797" w:bottom="1440" w:left="1797" w:header="851" w:footer="992" w:gutter="0"/>
          <w:cols w:space="720" w:num="1"/>
          <w:docGrid w:type="lines" w:linePitch="312" w:charSpace="0"/>
        </w:sectPr>
      </w:pPr>
      <w:r>
        <w:rPr>
          <w:rFonts w:hint="eastAsia" w:ascii="宋体" w:hAnsi="宋体"/>
          <w:sz w:val="24"/>
          <w:szCs w:val="21"/>
        </w:rPr>
        <w:t>年月</w:t>
      </w:r>
    </w:p>
    <w:p>
      <w:pPr>
        <w:spacing w:line="360" w:lineRule="auto"/>
        <w:rPr>
          <w:rFonts w:ascii="宋体" w:hAnsi="宋体"/>
          <w:sz w:val="24"/>
        </w:rPr>
      </w:pPr>
      <w:r>
        <w:rPr>
          <w:rFonts w:hint="eastAsia" w:ascii="宋体" w:hAnsi="宋体"/>
          <w:sz w:val="24"/>
        </w:rPr>
        <w:t xml:space="preserve">附件 11： </w:t>
      </w:r>
    </w:p>
    <w:p>
      <w:pPr>
        <w:spacing w:line="360" w:lineRule="auto"/>
        <w:jc w:val="center"/>
        <w:rPr>
          <w:rFonts w:ascii="宋体" w:hAnsi="宋体"/>
          <w:b/>
          <w:sz w:val="28"/>
          <w:szCs w:val="28"/>
        </w:rPr>
      </w:pPr>
      <w:r>
        <w:rPr>
          <w:rFonts w:hint="eastAsia" w:ascii="宋体" w:hAnsi="宋体"/>
          <w:b/>
          <w:sz w:val="28"/>
          <w:szCs w:val="28"/>
        </w:rPr>
        <w:t>11-1：材料暂估价表</w:t>
      </w:r>
    </w:p>
    <w:tbl>
      <w:tblPr>
        <w:tblStyle w:val="42"/>
        <w:tblW w:w="87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6"/>
        <w:gridCol w:w="1424"/>
        <w:gridCol w:w="1070"/>
        <w:gridCol w:w="955"/>
        <w:gridCol w:w="1488"/>
        <w:gridCol w:w="1586"/>
        <w:gridCol w:w="13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31" w:hRule="atLeast"/>
        </w:trPr>
        <w:tc>
          <w:tcPr>
            <w:tcW w:w="896" w:type="dxa"/>
            <w:vAlign w:val="center"/>
          </w:tcPr>
          <w:p>
            <w:pPr>
              <w:jc w:val="center"/>
            </w:pPr>
            <w:r>
              <w:rPr>
                <w:rFonts w:hint="eastAsia"/>
              </w:rPr>
              <w:t>序号</w:t>
            </w:r>
          </w:p>
        </w:tc>
        <w:tc>
          <w:tcPr>
            <w:tcW w:w="1424" w:type="dxa"/>
            <w:vAlign w:val="center"/>
          </w:tcPr>
          <w:p>
            <w:pPr>
              <w:jc w:val="center"/>
            </w:pPr>
            <w:r>
              <w:rPr>
                <w:rFonts w:hint="eastAsia"/>
              </w:rPr>
              <w:t>材料名称、规格、型号</w:t>
            </w:r>
          </w:p>
        </w:tc>
        <w:tc>
          <w:tcPr>
            <w:tcW w:w="1070" w:type="dxa"/>
            <w:vAlign w:val="center"/>
          </w:tcPr>
          <w:p>
            <w:pPr>
              <w:jc w:val="center"/>
            </w:pPr>
            <w:r>
              <w:rPr>
                <w:rFonts w:hint="eastAsia"/>
              </w:rPr>
              <w:t>单位</w:t>
            </w:r>
          </w:p>
        </w:tc>
        <w:tc>
          <w:tcPr>
            <w:tcW w:w="955" w:type="dxa"/>
            <w:vAlign w:val="center"/>
          </w:tcPr>
          <w:p>
            <w:pPr>
              <w:jc w:val="center"/>
            </w:pPr>
            <w:r>
              <w:rPr>
                <w:rFonts w:hint="eastAsia"/>
              </w:rPr>
              <w:t>数量</w:t>
            </w:r>
          </w:p>
        </w:tc>
        <w:tc>
          <w:tcPr>
            <w:tcW w:w="1488" w:type="dxa"/>
            <w:vAlign w:val="center"/>
          </w:tcPr>
          <w:p>
            <w:pPr>
              <w:jc w:val="center"/>
            </w:pPr>
            <w:r>
              <w:rPr>
                <w:rFonts w:hint="eastAsia"/>
              </w:rPr>
              <w:t>单价（元）</w:t>
            </w:r>
          </w:p>
        </w:tc>
        <w:tc>
          <w:tcPr>
            <w:tcW w:w="1586" w:type="dxa"/>
            <w:vAlign w:val="center"/>
          </w:tcPr>
          <w:p>
            <w:pPr>
              <w:jc w:val="center"/>
            </w:pPr>
            <w:r>
              <w:rPr>
                <w:rFonts w:hint="eastAsia"/>
              </w:rPr>
              <w:t>合价（元）</w:t>
            </w:r>
          </w:p>
        </w:tc>
        <w:tc>
          <w:tcPr>
            <w:tcW w:w="1360" w:type="dxa"/>
            <w:vAlign w:val="center"/>
          </w:tcPr>
          <w:p>
            <w:pPr>
              <w:jc w:val="cente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bl>
    <w:p>
      <w:pPr>
        <w:spacing w:line="360" w:lineRule="auto"/>
        <w:rPr>
          <w:rFonts w:ascii="宋体" w:hAnsi="宋体"/>
          <w:sz w:val="24"/>
        </w:rPr>
      </w:pPr>
      <w:r>
        <w:rPr>
          <w:rFonts w:ascii="宋体" w:hAnsi="宋体"/>
          <w:sz w:val="24"/>
        </w:rPr>
        <w:br w:type="page"/>
      </w:r>
    </w:p>
    <w:p>
      <w:pPr>
        <w:spacing w:line="360" w:lineRule="auto"/>
        <w:rPr>
          <w:rFonts w:ascii="宋体" w:hAnsi="宋体"/>
          <w:sz w:val="24"/>
        </w:rPr>
      </w:pPr>
    </w:p>
    <w:p>
      <w:pPr>
        <w:spacing w:line="360" w:lineRule="auto"/>
        <w:jc w:val="center"/>
        <w:rPr>
          <w:rFonts w:ascii="宋体" w:hAnsi="宋体"/>
          <w:b/>
          <w:sz w:val="28"/>
          <w:szCs w:val="28"/>
        </w:rPr>
      </w:pPr>
      <w:r>
        <w:rPr>
          <w:rFonts w:hint="eastAsia" w:ascii="宋体" w:hAnsi="宋体"/>
          <w:b/>
          <w:sz w:val="28"/>
          <w:szCs w:val="28"/>
        </w:rPr>
        <w:t>11-2：工程设备暂估价表</w:t>
      </w:r>
    </w:p>
    <w:tbl>
      <w:tblPr>
        <w:tblStyle w:val="42"/>
        <w:tblW w:w="89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4"/>
        <w:gridCol w:w="1453"/>
        <w:gridCol w:w="1092"/>
        <w:gridCol w:w="974"/>
        <w:gridCol w:w="1518"/>
        <w:gridCol w:w="1618"/>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54" w:hRule="atLeast"/>
        </w:trPr>
        <w:tc>
          <w:tcPr>
            <w:tcW w:w="914" w:type="dxa"/>
            <w:vAlign w:val="center"/>
          </w:tcPr>
          <w:p>
            <w:pPr>
              <w:jc w:val="center"/>
            </w:pPr>
            <w:r>
              <w:rPr>
                <w:rFonts w:hint="eastAsia"/>
              </w:rPr>
              <w:t>序号</w:t>
            </w:r>
          </w:p>
        </w:tc>
        <w:tc>
          <w:tcPr>
            <w:tcW w:w="1453" w:type="dxa"/>
            <w:vAlign w:val="center"/>
          </w:tcPr>
          <w:p>
            <w:pPr>
              <w:jc w:val="center"/>
            </w:pPr>
            <w:r>
              <w:rPr>
                <w:rFonts w:hint="eastAsia"/>
              </w:rPr>
              <w:t>设备名称、规格、型号</w:t>
            </w:r>
          </w:p>
        </w:tc>
        <w:tc>
          <w:tcPr>
            <w:tcW w:w="1092" w:type="dxa"/>
            <w:vAlign w:val="center"/>
          </w:tcPr>
          <w:p>
            <w:pPr>
              <w:jc w:val="center"/>
            </w:pPr>
            <w:r>
              <w:rPr>
                <w:rFonts w:hint="eastAsia"/>
              </w:rPr>
              <w:t>单位</w:t>
            </w:r>
          </w:p>
        </w:tc>
        <w:tc>
          <w:tcPr>
            <w:tcW w:w="974" w:type="dxa"/>
            <w:vAlign w:val="center"/>
          </w:tcPr>
          <w:p>
            <w:pPr>
              <w:jc w:val="center"/>
            </w:pPr>
            <w:r>
              <w:rPr>
                <w:rFonts w:hint="eastAsia"/>
              </w:rPr>
              <w:t>数量</w:t>
            </w:r>
          </w:p>
        </w:tc>
        <w:tc>
          <w:tcPr>
            <w:tcW w:w="1518" w:type="dxa"/>
            <w:vAlign w:val="center"/>
          </w:tcPr>
          <w:p>
            <w:pPr>
              <w:jc w:val="center"/>
            </w:pPr>
            <w:r>
              <w:rPr>
                <w:rFonts w:hint="eastAsia"/>
              </w:rPr>
              <w:t>单价（元）</w:t>
            </w:r>
          </w:p>
        </w:tc>
        <w:tc>
          <w:tcPr>
            <w:tcW w:w="1618" w:type="dxa"/>
            <w:vAlign w:val="center"/>
          </w:tcPr>
          <w:p>
            <w:pPr>
              <w:jc w:val="center"/>
            </w:pPr>
            <w:r>
              <w:rPr>
                <w:rFonts w:hint="eastAsia"/>
              </w:rPr>
              <w:t>合价（元）</w:t>
            </w:r>
          </w:p>
        </w:tc>
        <w:tc>
          <w:tcPr>
            <w:tcW w:w="1388" w:type="dxa"/>
            <w:vAlign w:val="center"/>
          </w:tcPr>
          <w:p>
            <w:pPr>
              <w:jc w:val="cente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44" w:hRule="atLeast"/>
        </w:trPr>
        <w:tc>
          <w:tcPr>
            <w:tcW w:w="914" w:type="dxa"/>
            <w:vAlign w:val="center"/>
          </w:tcPr>
          <w:p>
            <w:pPr>
              <w:jc w:val="center"/>
            </w:pPr>
          </w:p>
        </w:tc>
        <w:tc>
          <w:tcPr>
            <w:tcW w:w="1453" w:type="dxa"/>
            <w:vAlign w:val="center"/>
          </w:tcPr>
          <w:p>
            <w:pPr>
              <w:jc w:val="center"/>
            </w:pPr>
          </w:p>
        </w:tc>
        <w:tc>
          <w:tcPr>
            <w:tcW w:w="1092" w:type="dxa"/>
            <w:vAlign w:val="center"/>
          </w:tcPr>
          <w:p>
            <w:pPr>
              <w:jc w:val="center"/>
            </w:pPr>
          </w:p>
        </w:tc>
        <w:tc>
          <w:tcPr>
            <w:tcW w:w="974" w:type="dxa"/>
            <w:vAlign w:val="center"/>
          </w:tcPr>
          <w:p>
            <w:pPr>
              <w:jc w:val="center"/>
            </w:pPr>
          </w:p>
        </w:tc>
        <w:tc>
          <w:tcPr>
            <w:tcW w:w="1518" w:type="dxa"/>
            <w:vAlign w:val="center"/>
          </w:tcPr>
          <w:p>
            <w:pPr>
              <w:jc w:val="center"/>
            </w:pPr>
          </w:p>
        </w:tc>
        <w:tc>
          <w:tcPr>
            <w:tcW w:w="1618" w:type="dxa"/>
            <w:vAlign w:val="center"/>
          </w:tcPr>
          <w:p>
            <w:pPr>
              <w:jc w:val="center"/>
            </w:pPr>
          </w:p>
        </w:tc>
        <w:tc>
          <w:tcPr>
            <w:tcW w:w="1388" w:type="dxa"/>
            <w:vAlign w:val="center"/>
          </w:tcPr>
          <w:p>
            <w:pPr>
              <w:jc w:val="center"/>
            </w:pPr>
          </w:p>
        </w:tc>
      </w:tr>
    </w:tbl>
    <w:p>
      <w:pPr>
        <w:spacing w:line="360" w:lineRule="auto"/>
        <w:rPr>
          <w:rFonts w:ascii="宋体" w:hAnsi="宋体"/>
          <w:sz w:val="24"/>
        </w:rPr>
      </w:pPr>
    </w:p>
    <w:p>
      <w:pPr>
        <w:spacing w:line="360" w:lineRule="auto"/>
        <w:rPr>
          <w:rFonts w:ascii="宋体" w:hAnsi="宋体"/>
          <w:sz w:val="24"/>
        </w:rPr>
      </w:pPr>
    </w:p>
    <w:p>
      <w:pPr>
        <w:spacing w:line="360" w:lineRule="auto"/>
        <w:jc w:val="center"/>
        <w:rPr>
          <w:rFonts w:ascii="宋体" w:hAnsi="宋体"/>
          <w:b/>
          <w:sz w:val="28"/>
          <w:szCs w:val="28"/>
        </w:rPr>
      </w:pPr>
      <w:r>
        <w:rPr>
          <w:rFonts w:hint="eastAsia" w:ascii="宋体" w:hAnsi="宋体"/>
          <w:b/>
          <w:sz w:val="28"/>
          <w:szCs w:val="28"/>
        </w:rPr>
        <w:t>11-3：专业工程暂估价表</w:t>
      </w:r>
    </w:p>
    <w:tbl>
      <w:tblPr>
        <w:tblStyle w:val="42"/>
        <w:tblW w:w="87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6"/>
        <w:gridCol w:w="1424"/>
        <w:gridCol w:w="1070"/>
        <w:gridCol w:w="955"/>
        <w:gridCol w:w="1488"/>
        <w:gridCol w:w="1586"/>
        <w:gridCol w:w="13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31" w:hRule="atLeast"/>
        </w:trPr>
        <w:tc>
          <w:tcPr>
            <w:tcW w:w="896" w:type="dxa"/>
            <w:vAlign w:val="center"/>
          </w:tcPr>
          <w:p>
            <w:pPr>
              <w:jc w:val="center"/>
            </w:pPr>
            <w:r>
              <w:rPr>
                <w:rFonts w:hint="eastAsia"/>
              </w:rPr>
              <w:t>序号</w:t>
            </w:r>
          </w:p>
        </w:tc>
        <w:tc>
          <w:tcPr>
            <w:tcW w:w="1424" w:type="dxa"/>
            <w:vAlign w:val="center"/>
          </w:tcPr>
          <w:p>
            <w:pPr>
              <w:jc w:val="center"/>
            </w:pPr>
            <w:r>
              <w:rPr>
                <w:rFonts w:hint="eastAsia"/>
              </w:rPr>
              <w:t>专业工程名称</w:t>
            </w:r>
          </w:p>
        </w:tc>
        <w:tc>
          <w:tcPr>
            <w:tcW w:w="1070" w:type="dxa"/>
            <w:vAlign w:val="center"/>
          </w:tcPr>
          <w:p>
            <w:pPr>
              <w:jc w:val="center"/>
            </w:pPr>
            <w:r>
              <w:rPr>
                <w:rFonts w:hint="eastAsia"/>
              </w:rPr>
              <w:t>单位</w:t>
            </w:r>
          </w:p>
        </w:tc>
        <w:tc>
          <w:tcPr>
            <w:tcW w:w="955" w:type="dxa"/>
            <w:vAlign w:val="center"/>
          </w:tcPr>
          <w:p>
            <w:pPr>
              <w:jc w:val="center"/>
            </w:pPr>
            <w:r>
              <w:rPr>
                <w:rFonts w:hint="eastAsia"/>
              </w:rPr>
              <w:t>数量</w:t>
            </w:r>
          </w:p>
        </w:tc>
        <w:tc>
          <w:tcPr>
            <w:tcW w:w="1488" w:type="dxa"/>
            <w:vAlign w:val="center"/>
          </w:tcPr>
          <w:p>
            <w:pPr>
              <w:jc w:val="center"/>
            </w:pPr>
            <w:r>
              <w:rPr>
                <w:rFonts w:hint="eastAsia"/>
              </w:rPr>
              <w:t>单价（元）</w:t>
            </w:r>
          </w:p>
        </w:tc>
        <w:tc>
          <w:tcPr>
            <w:tcW w:w="1586" w:type="dxa"/>
            <w:vAlign w:val="center"/>
          </w:tcPr>
          <w:p>
            <w:pPr>
              <w:jc w:val="center"/>
            </w:pPr>
            <w:r>
              <w:rPr>
                <w:rFonts w:hint="eastAsia"/>
              </w:rPr>
              <w:t>合价（元）</w:t>
            </w:r>
          </w:p>
        </w:tc>
        <w:tc>
          <w:tcPr>
            <w:tcW w:w="1360" w:type="dxa"/>
            <w:vAlign w:val="center"/>
          </w:tcPr>
          <w:p>
            <w:pPr>
              <w:jc w:val="cente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8"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27" w:hRule="atLeast"/>
        </w:trPr>
        <w:tc>
          <w:tcPr>
            <w:tcW w:w="896" w:type="dxa"/>
            <w:vAlign w:val="center"/>
          </w:tcPr>
          <w:p>
            <w:pPr>
              <w:jc w:val="center"/>
            </w:pPr>
          </w:p>
        </w:tc>
        <w:tc>
          <w:tcPr>
            <w:tcW w:w="1424" w:type="dxa"/>
            <w:vAlign w:val="center"/>
          </w:tcPr>
          <w:p>
            <w:pPr>
              <w:jc w:val="center"/>
            </w:pPr>
          </w:p>
        </w:tc>
        <w:tc>
          <w:tcPr>
            <w:tcW w:w="1070" w:type="dxa"/>
            <w:vAlign w:val="center"/>
          </w:tcPr>
          <w:p>
            <w:pPr>
              <w:jc w:val="center"/>
            </w:pPr>
          </w:p>
        </w:tc>
        <w:tc>
          <w:tcPr>
            <w:tcW w:w="955" w:type="dxa"/>
            <w:vAlign w:val="center"/>
          </w:tcPr>
          <w:p>
            <w:pPr>
              <w:jc w:val="center"/>
            </w:pPr>
          </w:p>
        </w:tc>
        <w:tc>
          <w:tcPr>
            <w:tcW w:w="1488" w:type="dxa"/>
            <w:vAlign w:val="center"/>
          </w:tcPr>
          <w:p>
            <w:pPr>
              <w:jc w:val="center"/>
            </w:pPr>
          </w:p>
        </w:tc>
        <w:tc>
          <w:tcPr>
            <w:tcW w:w="1586" w:type="dxa"/>
            <w:vAlign w:val="center"/>
          </w:tcPr>
          <w:p>
            <w:pPr>
              <w:jc w:val="center"/>
            </w:pPr>
          </w:p>
        </w:tc>
        <w:tc>
          <w:tcPr>
            <w:tcW w:w="1360" w:type="dxa"/>
            <w:vAlign w:val="center"/>
          </w:tcPr>
          <w:p>
            <w:pPr>
              <w:jc w:val="center"/>
            </w:pPr>
          </w:p>
        </w:tc>
      </w:tr>
    </w:tbl>
    <w:p>
      <w:pPr>
        <w:spacing w:line="360" w:lineRule="auto"/>
        <w:rPr>
          <w:rFonts w:ascii="宋体" w:hAnsi="宋体"/>
          <w:sz w:val="24"/>
        </w:rPr>
      </w:pPr>
    </w:p>
    <w:p>
      <w:pPr>
        <w:rPr>
          <w:rFonts w:ascii="黑体" w:eastAsia="黑体"/>
          <w:sz w:val="32"/>
          <w:szCs w:val="32"/>
        </w:rPr>
      </w:pPr>
    </w:p>
    <w:p>
      <w:pPr>
        <w:adjustRightInd w:val="0"/>
        <w:snapToGrid w:val="0"/>
        <w:spacing w:line="312" w:lineRule="auto"/>
        <w:rPr>
          <w:rFonts w:ascii="黑体" w:hAnsi="宋体" w:eastAsia="黑体"/>
          <w:szCs w:val="21"/>
        </w:rPr>
      </w:pPr>
      <w:r>
        <w:br w:type="page"/>
      </w:r>
    </w:p>
    <w:p>
      <w:pPr>
        <w:pStyle w:val="2"/>
        <w:spacing w:before="0" w:after="0"/>
        <w:jc w:val="center"/>
        <w:rPr>
          <w:spacing w:val="-20"/>
          <w:w w:val="80"/>
          <w:sz w:val="21"/>
          <w:szCs w:val="21"/>
        </w:rPr>
      </w:pPr>
      <w:bookmarkStart w:id="233" w:name="_Toc7667"/>
      <w:bookmarkStart w:id="234" w:name="_Toc484015098"/>
      <w:bookmarkStart w:id="235" w:name="_Toc3754"/>
      <w:bookmarkStart w:id="236" w:name="_Toc24419"/>
      <w:bookmarkStart w:id="237" w:name="_Toc486318730"/>
      <w:bookmarkStart w:id="238" w:name="_Toc27235"/>
      <w:r>
        <w:rPr>
          <w:rFonts w:hint="eastAsia" w:ascii="黑体" w:hAnsi="黑体" w:eastAsia="黑体"/>
          <w:b w:val="0"/>
          <w:bCs w:val="0"/>
        </w:rPr>
        <w:t>第五章  工程量清单</w:t>
      </w:r>
      <w:r>
        <w:rPr>
          <w:rFonts w:hint="eastAsia"/>
          <w:w w:val="80"/>
          <w:sz w:val="21"/>
          <w:szCs w:val="21"/>
        </w:rPr>
        <w:t>（适用于经评审的最低投标价法、综合评估法Ⅰ、综合评估法Ⅱ、最低投标价法）</w:t>
      </w:r>
      <w:bookmarkEnd w:id="233"/>
      <w:bookmarkEnd w:id="234"/>
      <w:bookmarkEnd w:id="235"/>
      <w:bookmarkEnd w:id="236"/>
      <w:bookmarkEnd w:id="237"/>
      <w:bookmarkEnd w:id="238"/>
    </w:p>
    <w:p>
      <w:pPr>
        <w:rPr>
          <w:rFonts w:ascii="黑体" w:hAnsi="宋体" w:eastAsia="黑体"/>
          <w:szCs w:val="21"/>
        </w:rPr>
      </w:pPr>
    </w:p>
    <w:p>
      <w:pPr>
        <w:pStyle w:val="4"/>
        <w:jc w:val="left"/>
        <w:rPr>
          <w:rFonts w:ascii="黑体" w:hAnsi="宋体" w:eastAsia="黑体"/>
          <w:b w:val="0"/>
          <w:bCs w:val="0"/>
          <w:sz w:val="28"/>
          <w:szCs w:val="28"/>
        </w:rPr>
      </w:pPr>
      <w:bookmarkStart w:id="239" w:name="_Toc9436"/>
      <w:bookmarkStart w:id="240" w:name="_Toc484015099"/>
      <w:bookmarkStart w:id="241" w:name="_Toc486318731"/>
      <w:bookmarkStart w:id="242" w:name="_Toc32572"/>
      <w:bookmarkStart w:id="243" w:name="_Toc22235"/>
      <w:bookmarkStart w:id="244" w:name="_Toc23085"/>
      <w:r>
        <w:rPr>
          <w:rFonts w:hint="eastAsia" w:ascii="黑体" w:hAnsi="宋体" w:eastAsia="黑体"/>
          <w:b w:val="0"/>
          <w:bCs w:val="0"/>
          <w:sz w:val="28"/>
          <w:szCs w:val="28"/>
        </w:rPr>
        <w:t>1.工程量清单说明</w:t>
      </w:r>
      <w:bookmarkEnd w:id="239"/>
      <w:bookmarkEnd w:id="240"/>
      <w:bookmarkEnd w:id="241"/>
      <w:bookmarkEnd w:id="242"/>
      <w:bookmarkEnd w:id="243"/>
      <w:bookmarkEnd w:id="244"/>
    </w:p>
    <w:p>
      <w:pPr>
        <w:spacing w:line="360" w:lineRule="auto"/>
        <w:ind w:firstLine="420" w:firstLineChars="200"/>
        <w:rPr>
          <w:rFonts w:ascii="宋体" w:hAnsi="宋体"/>
          <w:szCs w:val="21"/>
        </w:rPr>
      </w:pPr>
      <w:r>
        <w:rPr>
          <w:rFonts w:hint="eastAsia" w:ascii="宋体" w:hAnsi="宋体"/>
          <w:szCs w:val="21"/>
        </w:rPr>
        <w:t>1.1 本工程量清单是依据《建设工程工程量计算规范》（简称“国家计算规范”）、</w:t>
      </w:r>
      <w:r>
        <w:rPr>
          <w:rFonts w:hint="eastAsia" w:ascii="宋体" w:hAnsi="宋体"/>
          <w:szCs w:val="21"/>
          <w:u w:val="single"/>
        </w:rPr>
        <w:t>湘建价</w:t>
      </w:r>
      <w:r>
        <w:rPr>
          <w:rFonts w:ascii="宋体" w:hAnsi="宋体"/>
          <w:szCs w:val="21"/>
          <w:u w:val="single"/>
        </w:rPr>
        <w:t>[2014]113号</w:t>
      </w:r>
      <w:r>
        <w:rPr>
          <w:rFonts w:hint="eastAsia" w:ascii="宋体" w:hAnsi="宋体"/>
          <w:szCs w:val="21"/>
        </w:rPr>
        <w:t>文《湖南省建设工程计价办法》（以下简称“计价办法”）以及招标文件中包括的图纸等编制。计价办法中规定的工程量计算规则中没有的</w:t>
      </w:r>
      <w:r>
        <w:rPr>
          <w:rFonts w:hint="eastAsia" w:ascii="宋体" w:hAnsi="宋体"/>
          <w:sz w:val="18"/>
          <w:szCs w:val="21"/>
        </w:rPr>
        <w:t>项目</w:t>
      </w:r>
      <w:r>
        <w:rPr>
          <w:rFonts w:hint="eastAsia" w:ascii="宋体" w:hAnsi="宋体"/>
          <w:szCs w:val="21"/>
        </w:rPr>
        <w:t>，在本章第</w:t>
      </w:r>
      <w:r>
        <w:rPr>
          <w:rFonts w:ascii="宋体" w:hAnsi="宋体"/>
          <w:szCs w:val="21"/>
        </w:rPr>
        <w:t xml:space="preserve">1.4款及本文件《第四章 </w:t>
      </w:r>
      <w:r>
        <w:rPr>
          <w:rFonts w:hint="eastAsia" w:ascii="宋体" w:hAnsi="宋体"/>
          <w:szCs w:val="21"/>
        </w:rPr>
        <w:t>合同条款及格式》中约定；计价办法中规定的工程量计算规则中没有且本章第</w:t>
      </w:r>
      <w:r>
        <w:rPr>
          <w:rFonts w:ascii="宋体" w:hAnsi="宋体"/>
          <w:szCs w:val="21"/>
        </w:rPr>
        <w:t xml:space="preserve">1.4款及本文件《第四章 </w:t>
      </w:r>
      <w:r>
        <w:rPr>
          <w:rFonts w:hint="eastAsia" w:ascii="宋体" w:hAnsi="宋体"/>
          <w:szCs w:val="21"/>
        </w:rPr>
        <w:t>合同条款及格式》中也未约定的，双方协商确定；协商不成的，可向省级或行业工程造价管理机构申请裁定。</w:t>
      </w:r>
    </w:p>
    <w:p>
      <w:pPr>
        <w:spacing w:line="360" w:lineRule="auto"/>
        <w:ind w:firstLine="420" w:firstLineChars="200"/>
        <w:rPr>
          <w:rFonts w:ascii="宋体" w:hAnsi="宋体"/>
          <w:szCs w:val="21"/>
        </w:rPr>
      </w:pPr>
      <w:r>
        <w:rPr>
          <w:rFonts w:ascii="宋体" w:hAnsi="宋体"/>
          <w:szCs w:val="21"/>
        </w:rPr>
        <w:t xml:space="preserve">1.2 </w:t>
      </w:r>
      <w:r>
        <w:rPr>
          <w:rFonts w:hint="eastAsia" w:ascii="宋体" w:hAnsi="宋体"/>
          <w:szCs w:val="21"/>
        </w:rPr>
        <w:t>本工程量清单应与招标文件中的投标人须知、通用合同条款、专用合同条款、技术标准和要求及图纸等章节内容一起阅读和理解。</w:t>
      </w:r>
    </w:p>
    <w:p>
      <w:pPr>
        <w:spacing w:line="360" w:lineRule="auto"/>
        <w:ind w:firstLine="420" w:firstLineChars="200"/>
        <w:rPr>
          <w:rFonts w:ascii="宋体" w:hAnsi="宋体"/>
          <w:szCs w:val="21"/>
        </w:rPr>
      </w:pPr>
      <w:r>
        <w:rPr>
          <w:rFonts w:ascii="宋体" w:hAnsi="宋体"/>
          <w:szCs w:val="21"/>
        </w:rPr>
        <w:t xml:space="preserve">1.3 </w:t>
      </w:r>
      <w:r>
        <w:rPr>
          <w:rFonts w:hint="eastAsia" w:ascii="宋体" w:hAnsi="宋体"/>
          <w:szCs w:val="21"/>
        </w:rPr>
        <w:t>本工程量清单仅是投标报价的共同基础，竣工结算的工程量</w:t>
      </w:r>
      <w:r>
        <w:rPr>
          <w:rFonts w:hint="eastAsia" w:ascii="宋体" w:hAnsi="宋体"/>
          <w:b/>
          <w:szCs w:val="21"/>
        </w:rPr>
        <w:t>必须以承包人完成合同工程应予计量的工程量</w:t>
      </w:r>
      <w:r>
        <w:rPr>
          <w:rFonts w:hint="eastAsia" w:ascii="宋体" w:hAnsi="宋体"/>
          <w:szCs w:val="21"/>
        </w:rPr>
        <w:t>确定。合同价格的确定以及价款支付应遵循合同条款（包括通用合同条款和专用合同条款）、技术标准和要求以及本章的有关约定。</w:t>
      </w:r>
    </w:p>
    <w:p>
      <w:pPr>
        <w:spacing w:line="360" w:lineRule="auto"/>
        <w:ind w:firstLine="420" w:firstLineChars="200"/>
        <w:rPr>
          <w:rFonts w:ascii="宋体" w:hAnsi="宋体"/>
          <w:szCs w:val="21"/>
        </w:rPr>
      </w:pPr>
      <w:r>
        <w:rPr>
          <w:rFonts w:ascii="宋体" w:hAnsi="宋体"/>
          <w:szCs w:val="21"/>
        </w:rPr>
        <w:t xml:space="preserve">1.4 </w:t>
      </w:r>
      <w:r>
        <w:rPr>
          <w:rFonts w:hint="eastAsia" w:ascii="宋体" w:hAnsi="宋体"/>
          <w:szCs w:val="21"/>
        </w:rPr>
        <w:t>补充项目的项目特征、计量单位、工程量计算规则及工作内容说明如下：</w:t>
      </w: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ascii="宋体" w:hAnsi="宋体"/>
          <w:szCs w:val="21"/>
        </w:rPr>
        <w:t xml:space="preserve">1.5 </w:t>
      </w:r>
      <w:r>
        <w:rPr>
          <w:rFonts w:hint="eastAsia" w:ascii="宋体" w:hAnsi="宋体"/>
          <w:szCs w:val="21"/>
        </w:rPr>
        <w:t>本条第</w:t>
      </w:r>
      <w:r>
        <w:rPr>
          <w:rFonts w:ascii="宋体" w:hAnsi="宋体"/>
          <w:szCs w:val="21"/>
        </w:rPr>
        <w:t>1.1款中约定的计量和计价规则适用于合同履约过程中工程量计量与价款支付、工程变更、索赔和工程结算。</w:t>
      </w:r>
    </w:p>
    <w:p>
      <w:pPr>
        <w:spacing w:line="360" w:lineRule="auto"/>
        <w:ind w:firstLine="420" w:firstLineChars="200"/>
        <w:rPr>
          <w:rFonts w:ascii="宋体" w:hAnsi="宋体"/>
          <w:szCs w:val="21"/>
        </w:rPr>
      </w:pPr>
      <w:r>
        <w:rPr>
          <w:rFonts w:ascii="宋体" w:hAnsi="宋体"/>
          <w:szCs w:val="21"/>
        </w:rPr>
        <w:t xml:space="preserve">1.6 </w:t>
      </w:r>
      <w:r>
        <w:rPr>
          <w:rFonts w:hint="eastAsia" w:ascii="宋体" w:hAnsi="宋体"/>
          <w:szCs w:val="21"/>
        </w:rPr>
        <w:t>本条与下述第</w:t>
      </w:r>
      <w:r>
        <w:rPr>
          <w:rFonts w:ascii="宋体" w:hAnsi="宋体"/>
          <w:szCs w:val="21"/>
        </w:rPr>
        <w:t>2条和第3条的说明内容是构成合同文件的已标价工程量清单的组成部分。</w:t>
      </w:r>
    </w:p>
    <w:p>
      <w:pPr>
        <w:pStyle w:val="34"/>
        <w:jc w:val="left"/>
        <w:rPr>
          <w:rFonts w:ascii="黑体" w:hAnsi="黑体" w:eastAsia="黑体"/>
          <w:b w:val="0"/>
          <w:sz w:val="28"/>
          <w:szCs w:val="28"/>
        </w:rPr>
      </w:pPr>
      <w:bookmarkStart w:id="245" w:name="_Toc22768"/>
      <w:bookmarkStart w:id="246" w:name="_Toc13834"/>
      <w:bookmarkStart w:id="247" w:name="_Toc486318732"/>
      <w:bookmarkStart w:id="248" w:name="_Toc18993"/>
      <w:bookmarkStart w:id="249" w:name="_Toc7199"/>
      <w:bookmarkStart w:id="250" w:name="_Toc484015100"/>
      <w:r>
        <w:rPr>
          <w:rFonts w:ascii="黑体" w:hAnsi="黑体" w:eastAsia="黑体"/>
          <w:b w:val="0"/>
          <w:sz w:val="28"/>
          <w:szCs w:val="28"/>
        </w:rPr>
        <w:t>2.招标控制价编制说明及公布内容</w:t>
      </w:r>
      <w:bookmarkEnd w:id="245"/>
      <w:bookmarkEnd w:id="246"/>
      <w:bookmarkEnd w:id="247"/>
      <w:bookmarkEnd w:id="248"/>
      <w:bookmarkEnd w:id="249"/>
      <w:bookmarkEnd w:id="250"/>
    </w:p>
    <w:p>
      <w:pPr>
        <w:spacing w:line="360" w:lineRule="auto"/>
        <w:ind w:firstLine="420" w:firstLineChars="200"/>
        <w:jc w:val="left"/>
        <w:rPr>
          <w:rFonts w:ascii="宋体" w:hAnsi="宋体"/>
          <w:szCs w:val="21"/>
        </w:rPr>
      </w:pPr>
      <w:r>
        <w:rPr>
          <w:rFonts w:ascii="宋体" w:hAnsi="宋体"/>
          <w:szCs w:val="21"/>
        </w:rPr>
        <w:t xml:space="preserve">2.1 </w:t>
      </w:r>
      <w:r>
        <w:rPr>
          <w:rFonts w:hint="eastAsia" w:ascii="宋体" w:hAnsi="宋体"/>
          <w:szCs w:val="21"/>
        </w:rPr>
        <w:t>招标控制价编制依据</w:t>
      </w:r>
    </w:p>
    <w:p>
      <w:pPr>
        <w:spacing w:line="360" w:lineRule="auto"/>
        <w:ind w:firstLine="420" w:firstLineChars="200"/>
        <w:rPr>
          <w:rFonts w:ascii="宋体" w:hAnsi="宋体"/>
          <w:szCs w:val="21"/>
        </w:rPr>
      </w:pPr>
      <w:r>
        <w:rPr>
          <w:rFonts w:ascii="宋体" w:hAnsi="宋体"/>
          <w:szCs w:val="21"/>
        </w:rPr>
        <w:t xml:space="preserve">2.1.1 </w:t>
      </w:r>
      <w:r>
        <w:rPr>
          <w:rFonts w:hint="eastAsia" w:ascii="宋体" w:hAnsi="宋体"/>
          <w:szCs w:val="21"/>
        </w:rPr>
        <w:t>本招标文件及补充通知、答疑纪要、招标工程量清单；</w:t>
      </w:r>
    </w:p>
    <w:p>
      <w:pPr>
        <w:spacing w:line="360" w:lineRule="auto"/>
        <w:ind w:firstLine="420" w:firstLineChars="200"/>
        <w:rPr>
          <w:rFonts w:ascii="宋体" w:hAnsi="宋体"/>
          <w:szCs w:val="21"/>
        </w:rPr>
      </w:pPr>
      <w:r>
        <w:rPr>
          <w:rFonts w:ascii="宋体" w:hAnsi="宋体"/>
          <w:szCs w:val="21"/>
        </w:rPr>
        <w:t xml:space="preserve">2.1.2 </w:t>
      </w:r>
      <w:r>
        <w:rPr>
          <w:rFonts w:hint="eastAsia" w:ascii="宋体" w:hAnsi="宋体"/>
          <w:szCs w:val="21"/>
        </w:rPr>
        <w:t>《建设工程工程量清单计价规范》；</w:t>
      </w:r>
    </w:p>
    <w:p>
      <w:pPr>
        <w:spacing w:line="360" w:lineRule="auto"/>
        <w:ind w:firstLine="420" w:firstLineChars="200"/>
        <w:rPr>
          <w:rFonts w:ascii="宋体" w:hAnsi="宋体"/>
          <w:szCs w:val="21"/>
        </w:rPr>
      </w:pPr>
      <w:r>
        <w:rPr>
          <w:rFonts w:ascii="宋体" w:hAnsi="宋体"/>
          <w:szCs w:val="21"/>
        </w:rPr>
        <w:t xml:space="preserve">2.1.3 </w:t>
      </w:r>
      <w:r>
        <w:rPr>
          <w:rFonts w:hint="eastAsia" w:ascii="宋体" w:hAnsi="宋体"/>
          <w:szCs w:val="21"/>
          <w:u w:val="single"/>
        </w:rPr>
        <w:t>《湖南省建设工程计价办法》（湘建价［</w:t>
      </w:r>
      <w:r>
        <w:rPr>
          <w:rFonts w:ascii="宋体" w:hAnsi="宋体"/>
          <w:szCs w:val="21"/>
          <w:u w:val="single"/>
        </w:rPr>
        <w:t>2014］113号）、</w:t>
      </w:r>
      <w:r>
        <w:rPr>
          <w:rFonts w:hint="eastAsia" w:ascii="宋体" w:hAnsi="宋体"/>
          <w:u w:val="single"/>
        </w:rPr>
        <w:t>《</w:t>
      </w:r>
      <w:r>
        <w:rPr>
          <w:rFonts w:ascii="宋体" w:hAnsi="宋体"/>
          <w:u w:val="single"/>
        </w:rPr>
        <w:t>关于执行《湖南省建设工程计价办法》的补充通知</w:t>
      </w:r>
      <w:r>
        <w:rPr>
          <w:rFonts w:hint="eastAsia" w:ascii="宋体" w:hAnsi="宋体"/>
          <w:u w:val="single"/>
        </w:rPr>
        <w:t>》（湘建价建〔</w:t>
      </w:r>
      <w:r>
        <w:rPr>
          <w:rFonts w:ascii="宋体" w:hAnsi="宋体"/>
          <w:u w:val="single"/>
        </w:rPr>
        <w:t>2014〕35号）、</w:t>
      </w:r>
      <w:r>
        <w:rPr>
          <w:rFonts w:hint="eastAsia" w:ascii="宋体" w:hAnsi="宋体"/>
          <w:szCs w:val="21"/>
          <w:u w:val="single"/>
        </w:rPr>
        <w:t>《湖南省建设工程造价管理总站关于印发〈</w:t>
      </w:r>
      <w:r>
        <w:rPr>
          <w:rFonts w:ascii="宋体" w:hAnsi="宋体"/>
          <w:szCs w:val="21"/>
          <w:u w:val="single"/>
        </w:rPr>
        <w:t>2014版〈湖南省建设工程计价办法〉及〈湖南省建设工程消耗量标准〉解释汇编（一）〉的通知》（湘建价建〔2016〕8号）；《湖南省住房和城乡建设厅关于印发〈关于增值税条件下计费程序和计费标准的规定〉及〈关于增值税条件下材料价格发布与使用的规定〉的通知》（湘建价〔2016〕72号）；《湖南省住房城乡建设厅关于取消建筑行业劳保基金与增加社会保险有关事项的通知》（湘建价〔2016〕134号）；《关于调整补充增值税条件下建设工程计价依据的通知》（湘建价〔2016〕160号）</w:t>
      </w:r>
      <w:r>
        <w:rPr>
          <w:rFonts w:hint="eastAsia" w:ascii="宋体" w:hAnsi="宋体"/>
          <w:szCs w:val="21"/>
          <w:u w:val="single"/>
        </w:rPr>
        <w:t>、</w:t>
      </w:r>
      <w:r>
        <w:rPr>
          <w:rFonts w:hint="eastAsia" w:hAnsi="宋体"/>
          <w:color w:val="auto"/>
          <w:szCs w:val="21"/>
          <w:u w:val="single"/>
        </w:rPr>
        <w:t>湘建价[201</w:t>
      </w:r>
      <w:r>
        <w:rPr>
          <w:rFonts w:hint="eastAsia" w:hAnsi="宋体"/>
          <w:color w:val="auto"/>
          <w:szCs w:val="21"/>
          <w:u w:val="single"/>
          <w:lang w:val="en-US" w:eastAsia="zh-CN"/>
        </w:rPr>
        <w:t>9</w:t>
      </w:r>
      <w:r>
        <w:rPr>
          <w:rFonts w:hint="eastAsia" w:hAnsi="宋体"/>
          <w:color w:val="auto"/>
          <w:szCs w:val="21"/>
          <w:u w:val="single"/>
        </w:rPr>
        <w:t>]</w:t>
      </w:r>
      <w:r>
        <w:rPr>
          <w:rFonts w:hint="eastAsia" w:hAnsi="宋体"/>
          <w:color w:val="auto"/>
          <w:szCs w:val="21"/>
          <w:u w:val="single"/>
          <w:lang w:val="en-US" w:eastAsia="zh-CN"/>
        </w:rPr>
        <w:t>47</w:t>
      </w:r>
      <w:r>
        <w:rPr>
          <w:rFonts w:hint="eastAsia" w:hAnsi="宋体"/>
          <w:color w:val="auto"/>
          <w:szCs w:val="21"/>
          <w:u w:val="single"/>
        </w:rPr>
        <w:t>号</w:t>
      </w:r>
      <w:r>
        <w:rPr>
          <w:rFonts w:hint="eastAsia" w:ascii="宋体" w:hAnsi="宋体"/>
          <w:szCs w:val="21"/>
        </w:rPr>
        <w:t>；</w:t>
      </w:r>
    </w:p>
    <w:p>
      <w:pPr>
        <w:spacing w:line="360" w:lineRule="auto"/>
        <w:ind w:firstLine="420" w:firstLineChars="200"/>
        <w:rPr>
          <w:rFonts w:ascii="宋体" w:hAnsi="宋体"/>
          <w:szCs w:val="21"/>
        </w:rPr>
      </w:pPr>
      <w:r>
        <w:rPr>
          <w:rFonts w:ascii="宋体" w:hAnsi="宋体"/>
          <w:szCs w:val="21"/>
        </w:rPr>
        <w:t xml:space="preserve">2.1.4 </w:t>
      </w:r>
      <w:r>
        <w:rPr>
          <w:rFonts w:hint="eastAsia" w:ascii="宋体" w:hAnsi="宋体"/>
          <w:szCs w:val="21"/>
        </w:rPr>
        <w:t>湖南省建设行政主管部门颁发的建设工程消耗量标准，取费标准、计费程序、人工工资单价；</w:t>
      </w:r>
    </w:p>
    <w:p>
      <w:pPr>
        <w:spacing w:line="360" w:lineRule="auto"/>
        <w:ind w:firstLine="420" w:firstLineChars="200"/>
        <w:rPr>
          <w:rFonts w:ascii="宋体" w:hAnsi="宋体"/>
          <w:szCs w:val="21"/>
        </w:rPr>
      </w:pPr>
      <w:r>
        <w:rPr>
          <w:rFonts w:ascii="宋体" w:hAnsi="宋体"/>
          <w:szCs w:val="21"/>
        </w:rPr>
        <w:t xml:space="preserve">2.1.5 </w:t>
      </w:r>
      <w:r>
        <w:rPr>
          <w:rFonts w:hint="eastAsia" w:ascii="宋体" w:hAnsi="宋体"/>
          <w:szCs w:val="21"/>
        </w:rPr>
        <w:t>建设工程设计文件及相关资料；</w:t>
      </w:r>
    </w:p>
    <w:p>
      <w:pPr>
        <w:spacing w:line="360" w:lineRule="auto"/>
        <w:ind w:firstLine="420" w:firstLineChars="200"/>
        <w:rPr>
          <w:rFonts w:ascii="宋体" w:hAnsi="宋体"/>
          <w:szCs w:val="21"/>
        </w:rPr>
      </w:pPr>
      <w:r>
        <w:rPr>
          <w:rFonts w:ascii="宋体" w:hAnsi="宋体"/>
          <w:szCs w:val="21"/>
        </w:rPr>
        <w:t xml:space="preserve">2.1.6 </w:t>
      </w:r>
      <w:r>
        <w:rPr>
          <w:rFonts w:hint="eastAsia" w:ascii="宋体" w:hAnsi="宋体"/>
          <w:szCs w:val="21"/>
        </w:rPr>
        <w:t>与建设项目相关的标准、规范、技术资料；</w:t>
      </w:r>
    </w:p>
    <w:p>
      <w:pPr>
        <w:spacing w:line="360" w:lineRule="auto"/>
        <w:ind w:firstLine="420" w:firstLineChars="200"/>
        <w:rPr>
          <w:rFonts w:ascii="宋体" w:hAnsi="宋体"/>
          <w:szCs w:val="21"/>
        </w:rPr>
      </w:pPr>
      <w:r>
        <w:rPr>
          <w:rFonts w:ascii="宋体" w:hAnsi="宋体"/>
          <w:szCs w:val="21"/>
        </w:rPr>
        <w:t xml:space="preserve">2.1.7 </w:t>
      </w:r>
      <w:r>
        <w:rPr>
          <w:rFonts w:hint="eastAsia" w:ascii="宋体" w:hAnsi="宋体"/>
          <w:szCs w:val="21"/>
        </w:rPr>
        <w:t>工程造价管理机构发布的工程造价信息，工程造价信息没有发布的参照市场价；</w:t>
      </w:r>
    </w:p>
    <w:p>
      <w:pPr>
        <w:spacing w:line="360" w:lineRule="auto"/>
        <w:ind w:firstLine="420" w:firstLineChars="200"/>
        <w:rPr>
          <w:rFonts w:ascii="宋体" w:hAnsi="宋体"/>
          <w:szCs w:val="21"/>
        </w:rPr>
      </w:pPr>
      <w:r>
        <w:rPr>
          <w:rFonts w:ascii="宋体" w:hAnsi="宋体"/>
          <w:szCs w:val="21"/>
        </w:rPr>
        <w:t xml:space="preserve">2.1.8 </w:t>
      </w:r>
      <w:r>
        <w:rPr>
          <w:rFonts w:hint="eastAsia" w:ascii="宋体" w:hAnsi="宋体"/>
          <w:szCs w:val="21"/>
        </w:rPr>
        <w:t>施工现场情况、工程特点及常规施工方案；</w:t>
      </w:r>
    </w:p>
    <w:p>
      <w:pPr>
        <w:spacing w:line="360" w:lineRule="auto"/>
        <w:ind w:firstLine="420" w:firstLineChars="200"/>
        <w:rPr>
          <w:rFonts w:ascii="宋体" w:hAnsi="宋体"/>
          <w:szCs w:val="21"/>
        </w:rPr>
      </w:pPr>
      <w:r>
        <w:rPr>
          <w:rFonts w:ascii="宋体" w:hAnsi="宋体"/>
          <w:szCs w:val="21"/>
        </w:rPr>
        <w:t xml:space="preserve">2.1.9 </w:t>
      </w:r>
      <w:r>
        <w:rPr>
          <w:rFonts w:hint="eastAsia" w:ascii="宋体" w:hAnsi="宋体"/>
          <w:szCs w:val="21"/>
        </w:rPr>
        <w:t>其他的相关资料（招标人可根据有关规定进行细化）；</w:t>
      </w:r>
    </w:p>
    <w:p>
      <w:pPr>
        <w:spacing w:line="360" w:lineRule="auto"/>
        <w:ind w:firstLine="420" w:firstLineChars="200"/>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ascii="宋体" w:hAnsi="宋体"/>
          <w:szCs w:val="21"/>
        </w:rPr>
        <w:t xml:space="preserve">2.2 </w:t>
      </w:r>
      <w:r>
        <w:rPr>
          <w:rFonts w:hint="eastAsia" w:ascii="宋体" w:hAnsi="宋体"/>
          <w:szCs w:val="21"/>
        </w:rPr>
        <w:t>本招标控制价由具有编制能力的招标人或受其委托并具有相应资质的工程造价咨询机构（招标人根据情况选择）编制和复核，并已报备案。</w:t>
      </w:r>
    </w:p>
    <w:p>
      <w:pPr>
        <w:spacing w:line="360" w:lineRule="auto"/>
        <w:ind w:firstLine="420" w:firstLineChars="200"/>
        <w:rPr>
          <w:rFonts w:ascii="宋体" w:hAnsi="宋体"/>
          <w:szCs w:val="21"/>
        </w:rPr>
      </w:pPr>
      <w:r>
        <w:rPr>
          <w:rFonts w:ascii="宋体" w:hAnsi="宋体"/>
          <w:szCs w:val="21"/>
        </w:rPr>
        <w:t>2.3招标控制价公布内容</w:t>
      </w:r>
    </w:p>
    <w:p>
      <w:pPr>
        <w:spacing w:line="360" w:lineRule="auto"/>
        <w:ind w:firstLine="420" w:firstLineChars="200"/>
        <w:rPr>
          <w:rFonts w:ascii="宋体" w:hAnsi="宋体"/>
          <w:szCs w:val="21"/>
        </w:rPr>
      </w:pPr>
      <w:r>
        <w:rPr>
          <w:rFonts w:ascii="宋体" w:hAnsi="宋体"/>
          <w:szCs w:val="21"/>
        </w:rPr>
        <w:t>2.3.1本项目设招标控制价，</w:t>
      </w:r>
      <w:r>
        <w:rPr>
          <w:rFonts w:hint="eastAsia" w:ascii="宋体" w:hAnsi="宋体"/>
          <w:szCs w:val="21"/>
        </w:rPr>
        <w:t>招标控制价为：</w:t>
      </w:r>
      <w:r>
        <w:rPr>
          <w:rFonts w:hint="eastAsia" w:ascii="宋体" w:hAnsi="宋体"/>
          <w:szCs w:val="21"/>
          <w:u w:val="single"/>
          <w:lang w:eastAsia="zh-CN"/>
        </w:rPr>
        <w:t>239.66万元</w:t>
      </w:r>
      <w:r>
        <w:rPr>
          <w:rFonts w:hint="eastAsia" w:ascii="宋体" w:hAnsi="宋体"/>
          <w:szCs w:val="21"/>
        </w:rPr>
        <w:t>。</w:t>
      </w:r>
    </w:p>
    <w:p>
      <w:pPr>
        <w:spacing w:line="360" w:lineRule="auto"/>
        <w:ind w:firstLine="420" w:firstLineChars="200"/>
        <w:jc w:val="left"/>
        <w:rPr>
          <w:rFonts w:ascii="宋体" w:hAnsi="宋体"/>
          <w:szCs w:val="21"/>
        </w:rPr>
      </w:pPr>
      <w:r>
        <w:rPr>
          <w:rFonts w:ascii="宋体" w:hAnsi="宋体"/>
          <w:szCs w:val="21"/>
        </w:rPr>
        <w:t xml:space="preserve">2.3.2 </w:t>
      </w:r>
      <w:r>
        <w:rPr>
          <w:rFonts w:hint="eastAsia" w:ascii="宋体" w:hAnsi="宋体"/>
          <w:szCs w:val="21"/>
        </w:rPr>
        <w:t>投标人在投标截止时间</w:t>
      </w:r>
      <w:r>
        <w:rPr>
          <w:rFonts w:ascii="宋体" w:hAnsi="宋体"/>
          <w:szCs w:val="21"/>
        </w:rPr>
        <w:t>10日前，可对招标控制价向招标人或招标代理机构书面提出异议；招标人对招标控制价若有调整，则在投标截止时间15日前在上公示。投标人应自行查阅，招标代理机构不另行通知。</w:t>
      </w:r>
    </w:p>
    <w:p>
      <w:pPr>
        <w:spacing w:line="360" w:lineRule="auto"/>
        <w:ind w:firstLine="420" w:firstLineChars="200"/>
        <w:jc w:val="left"/>
        <w:rPr>
          <w:rFonts w:ascii="宋体" w:hAnsi="宋体"/>
          <w:szCs w:val="21"/>
        </w:rPr>
      </w:pPr>
      <w:r>
        <w:rPr>
          <w:rFonts w:ascii="宋体" w:hAnsi="宋体"/>
          <w:szCs w:val="21"/>
        </w:rPr>
        <w:t xml:space="preserve">2.3.3 </w:t>
      </w:r>
      <w:r>
        <w:rPr>
          <w:rFonts w:hint="eastAsia" w:ascii="宋体" w:hAnsi="宋体"/>
          <w:szCs w:val="21"/>
        </w:rPr>
        <w:t>招标控制价公布的内容</w:t>
      </w:r>
    </w:p>
    <w:p>
      <w:pPr>
        <w:spacing w:line="300" w:lineRule="auto"/>
        <w:ind w:firstLine="420" w:firstLineChars="200"/>
        <w:rPr>
          <w:rFonts w:ascii="宋体" w:hAnsi="宋体"/>
        </w:rPr>
      </w:pPr>
      <w:r>
        <w:rPr>
          <w:rFonts w:hint="eastAsia" w:ascii="宋体" w:hAnsi="宋体"/>
        </w:rPr>
        <w:t>（</w:t>
      </w:r>
      <w:r>
        <w:rPr>
          <w:rFonts w:ascii="宋体" w:hAnsi="宋体"/>
        </w:rPr>
        <w:t>1）工程计价总说明</w:t>
      </w:r>
      <w:r>
        <w:rPr>
          <w:rFonts w:hint="eastAsia" w:ascii="宋体" w:hAnsi="宋体"/>
          <w:szCs w:val="21"/>
        </w:rPr>
        <w:t>（包括但不限于：暂列金额；暂估价；暂估价中的专业工程暂估价；总承包服务费计算方式；规费、税金（销项税额或应纳税额）、附加税额、安全文明施工费的取费率依据等）</w:t>
      </w:r>
    </w:p>
    <w:p>
      <w:pPr>
        <w:spacing w:line="300" w:lineRule="auto"/>
        <w:ind w:firstLine="420" w:firstLineChars="200"/>
        <w:rPr>
          <w:rFonts w:ascii="宋体" w:hAnsi="宋体"/>
        </w:rPr>
      </w:pPr>
      <w:r>
        <w:rPr>
          <w:rFonts w:hint="eastAsia" w:ascii="宋体" w:hAnsi="宋体"/>
        </w:rPr>
        <w:t>（</w:t>
      </w:r>
      <w:r>
        <w:rPr>
          <w:rFonts w:ascii="宋体" w:hAnsi="宋体"/>
        </w:rPr>
        <w:t>2）建设项目（单项工程）工程造价汇总</w:t>
      </w:r>
    </w:p>
    <w:p>
      <w:pPr>
        <w:spacing w:line="300" w:lineRule="auto"/>
        <w:rPr>
          <w:rFonts w:ascii="宋体" w:hAnsi="宋体"/>
        </w:rPr>
      </w:pPr>
      <w:r>
        <w:rPr>
          <w:rFonts w:hint="eastAsia" w:ascii="宋体" w:hAnsi="宋体"/>
        </w:rPr>
        <w:t>（</w:t>
      </w:r>
      <w:r>
        <w:rPr>
          <w:rFonts w:ascii="宋体" w:hAnsi="宋体"/>
        </w:rPr>
        <w:t>3）单位工程费用</w:t>
      </w:r>
    </w:p>
    <w:p>
      <w:pPr>
        <w:spacing w:line="300" w:lineRule="auto"/>
        <w:rPr>
          <w:rFonts w:ascii="宋体" w:hAnsi="宋体"/>
        </w:rPr>
      </w:pPr>
      <w:r>
        <w:rPr>
          <w:rFonts w:hint="eastAsia" w:ascii="宋体" w:hAnsi="宋体"/>
        </w:rPr>
        <w:t>（</w:t>
      </w:r>
      <w:r>
        <w:rPr>
          <w:rFonts w:ascii="宋体" w:hAnsi="宋体"/>
        </w:rPr>
        <w:t>4）单位工程工程量清单与造价</w:t>
      </w:r>
    </w:p>
    <w:p>
      <w:pPr>
        <w:spacing w:line="300" w:lineRule="auto"/>
        <w:rPr>
          <w:rFonts w:ascii="宋体" w:hAnsi="宋体"/>
        </w:rPr>
      </w:pPr>
      <w:r>
        <w:rPr>
          <w:rFonts w:hint="eastAsia" w:ascii="宋体" w:hAnsi="宋体"/>
        </w:rPr>
        <w:t>（</w:t>
      </w:r>
      <w:r>
        <w:rPr>
          <w:rFonts w:ascii="宋体" w:hAnsi="宋体"/>
        </w:rPr>
        <w:t>5）总价措施项目费</w:t>
      </w:r>
    </w:p>
    <w:p>
      <w:pPr>
        <w:spacing w:line="300" w:lineRule="auto"/>
        <w:rPr>
          <w:rFonts w:ascii="宋体" w:hAnsi="宋体"/>
        </w:rPr>
      </w:pPr>
      <w:r>
        <w:rPr>
          <w:rFonts w:hint="eastAsia" w:ascii="宋体" w:hAnsi="宋体"/>
        </w:rPr>
        <w:t>（</w:t>
      </w:r>
      <w:r>
        <w:rPr>
          <w:rFonts w:ascii="宋体" w:hAnsi="宋体"/>
        </w:rPr>
        <w:t>6）规费（其中：社会保险费）</w:t>
      </w:r>
    </w:p>
    <w:p>
      <w:pPr>
        <w:spacing w:line="300" w:lineRule="auto"/>
        <w:rPr>
          <w:rFonts w:ascii="宋体" w:hAnsi="宋体"/>
        </w:rPr>
      </w:pPr>
      <w:r>
        <w:rPr>
          <w:rFonts w:hint="eastAsia" w:ascii="宋体" w:hAnsi="宋体"/>
        </w:rPr>
        <w:t>（</w:t>
      </w:r>
      <w:r>
        <w:rPr>
          <w:rFonts w:ascii="宋体" w:hAnsi="宋体"/>
        </w:rPr>
        <w:t>7）税金（销项税额或应纳税额）</w:t>
      </w:r>
    </w:p>
    <w:p>
      <w:pPr>
        <w:spacing w:line="300" w:lineRule="auto"/>
        <w:rPr>
          <w:rFonts w:ascii="宋体" w:hAnsi="宋体"/>
        </w:rPr>
      </w:pPr>
      <w:r>
        <w:rPr>
          <w:rFonts w:hint="eastAsia" w:ascii="宋体" w:hAnsi="宋体"/>
        </w:rPr>
        <w:t>（</w:t>
      </w:r>
      <w:r>
        <w:rPr>
          <w:rFonts w:ascii="宋体" w:hAnsi="宋体"/>
        </w:rPr>
        <w:t>8）附加税额</w:t>
      </w:r>
    </w:p>
    <w:p>
      <w:pPr>
        <w:spacing w:line="300" w:lineRule="auto"/>
        <w:rPr>
          <w:rFonts w:ascii="宋体" w:hAnsi="宋体"/>
        </w:rPr>
      </w:pPr>
      <w:r>
        <w:rPr>
          <w:rFonts w:hint="eastAsia" w:ascii="宋体" w:hAnsi="宋体"/>
        </w:rPr>
        <w:t>（</w:t>
      </w:r>
      <w:r>
        <w:rPr>
          <w:rFonts w:ascii="宋体" w:hAnsi="宋体"/>
        </w:rPr>
        <w:t>9）其他项目费</w:t>
      </w:r>
    </w:p>
    <w:p>
      <w:pPr>
        <w:spacing w:line="300" w:lineRule="auto"/>
        <w:rPr>
          <w:rFonts w:ascii="宋体" w:hAnsi="宋体"/>
        </w:rPr>
      </w:pPr>
      <w:r>
        <w:rPr>
          <w:rFonts w:hint="eastAsia" w:ascii="宋体" w:hAnsi="宋体"/>
        </w:rPr>
        <w:t>（</w:t>
      </w:r>
      <w:r>
        <w:rPr>
          <w:rFonts w:ascii="宋体" w:hAnsi="宋体"/>
        </w:rPr>
        <w:t>10）</w:t>
      </w:r>
      <w:r>
        <w:rPr>
          <w:rFonts w:hint="eastAsia" w:ascii="宋体" w:hAnsi="宋体"/>
        </w:rPr>
        <w:t>人工、主要材料、机械台班单价</w:t>
      </w:r>
    </w:p>
    <w:p>
      <w:pPr>
        <w:spacing w:line="300" w:lineRule="auto"/>
        <w:rPr>
          <w:rFonts w:ascii="宋体" w:hAnsi="宋体"/>
          <w:szCs w:val="21"/>
        </w:rPr>
      </w:pPr>
      <w:r>
        <w:rPr>
          <w:rFonts w:hint="eastAsia" w:ascii="宋体" w:hAnsi="宋体"/>
        </w:rPr>
        <w:t>（</w:t>
      </w:r>
      <w:r>
        <w:rPr>
          <w:rFonts w:ascii="宋体" w:hAnsi="宋体"/>
        </w:rPr>
        <w:t>11）其他</w:t>
      </w:r>
    </w:p>
    <w:p>
      <w:pPr>
        <w:spacing w:line="360" w:lineRule="auto"/>
        <w:ind w:firstLine="420" w:firstLineChars="200"/>
        <w:jc w:val="left"/>
        <w:rPr>
          <w:rFonts w:ascii="宋体" w:hAnsi="宋体"/>
          <w:szCs w:val="21"/>
        </w:rPr>
      </w:pPr>
      <w:r>
        <w:rPr>
          <w:rFonts w:hint="eastAsia" w:ascii="宋体" w:hAnsi="宋体"/>
          <w:szCs w:val="21"/>
        </w:rPr>
        <w:t>说明：招标控制价公布的内容除第（</w:t>
      </w:r>
      <w:r>
        <w:rPr>
          <w:rFonts w:ascii="宋体" w:hAnsi="宋体"/>
          <w:szCs w:val="21"/>
        </w:rPr>
        <w:t>1）项和第（2）项和第（9）项中的暂列金额、暂估价内容必须公布外，第（3）项至第（8）项、第（10）项及第（9）项中的其它内容由招标人根据项目具体情况选择需公布的内容，第（11）项由招标人根据需要进行补充招标控制价需公布的内容。</w:t>
      </w:r>
    </w:p>
    <w:p>
      <w:pPr>
        <w:spacing w:line="360" w:lineRule="auto"/>
        <w:ind w:firstLine="420" w:firstLineChars="200"/>
        <w:jc w:val="left"/>
        <w:rPr>
          <w:rFonts w:ascii="宋体" w:hAnsi="宋体"/>
          <w:szCs w:val="21"/>
        </w:rPr>
      </w:pPr>
      <w:r>
        <w:rPr>
          <w:rFonts w:ascii="宋体" w:hAnsi="宋体"/>
          <w:szCs w:val="21"/>
        </w:rPr>
        <w:t>2.4招标控制价应按本章第2.1款的规定编制，不应上调或下浮。</w:t>
      </w:r>
    </w:p>
    <w:p>
      <w:pPr>
        <w:pStyle w:val="4"/>
        <w:jc w:val="left"/>
        <w:rPr>
          <w:rFonts w:ascii="黑体" w:hAnsi="宋体" w:eastAsia="黑体"/>
          <w:b w:val="0"/>
          <w:bCs w:val="0"/>
          <w:sz w:val="28"/>
          <w:szCs w:val="28"/>
        </w:rPr>
      </w:pPr>
      <w:bookmarkStart w:id="251" w:name="_Toc11788"/>
      <w:bookmarkStart w:id="252" w:name="_Toc486318733"/>
      <w:bookmarkStart w:id="253" w:name="_Toc484015101"/>
      <w:bookmarkStart w:id="254" w:name="_Toc2828"/>
      <w:bookmarkStart w:id="255" w:name="_Toc7014"/>
      <w:bookmarkStart w:id="256" w:name="_Toc28218"/>
      <w:r>
        <w:rPr>
          <w:rFonts w:ascii="黑体" w:hAnsi="宋体" w:eastAsia="黑体"/>
          <w:b w:val="0"/>
          <w:bCs w:val="0"/>
          <w:sz w:val="28"/>
          <w:szCs w:val="28"/>
        </w:rPr>
        <w:t>3.投标报价说明</w:t>
      </w:r>
      <w:bookmarkEnd w:id="251"/>
      <w:bookmarkEnd w:id="252"/>
      <w:bookmarkEnd w:id="253"/>
      <w:bookmarkEnd w:id="254"/>
      <w:bookmarkEnd w:id="255"/>
      <w:bookmarkEnd w:id="256"/>
    </w:p>
    <w:p>
      <w:pPr>
        <w:spacing w:line="360" w:lineRule="auto"/>
        <w:ind w:firstLine="420" w:firstLineChars="200"/>
        <w:rPr>
          <w:rFonts w:ascii="宋体" w:hAnsi="宋体"/>
          <w:szCs w:val="21"/>
        </w:rPr>
      </w:pPr>
      <w:r>
        <w:rPr>
          <w:rFonts w:ascii="宋体" w:hAnsi="宋体"/>
          <w:szCs w:val="21"/>
        </w:rPr>
        <w:t xml:space="preserve">3.1 </w:t>
      </w:r>
      <w:r>
        <w:rPr>
          <w:rFonts w:hint="eastAsia" w:ascii="宋体" w:hAnsi="宋体"/>
          <w:szCs w:val="21"/>
        </w:rPr>
        <w:t>投标报价应根据招标文件中的有关计价要求，并按照下列依据自主报价。</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1）本招标文件、招标工程量清单；</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2）《建设工程工程量清单计价规范》；</w:t>
      </w:r>
    </w:p>
    <w:p>
      <w:pPr>
        <w:spacing w:line="360" w:lineRule="auto"/>
        <w:ind w:firstLine="420" w:firstLineChars="200"/>
        <w:rPr>
          <w:rFonts w:ascii="宋体" w:hAnsi="宋体"/>
          <w:szCs w:val="21"/>
          <w:u w:val="single"/>
        </w:rPr>
      </w:pPr>
      <w:r>
        <w:rPr>
          <w:rFonts w:hint="eastAsia" w:ascii="宋体" w:hAnsi="宋体"/>
          <w:szCs w:val="21"/>
        </w:rPr>
        <w:t>（</w:t>
      </w:r>
      <w:r>
        <w:rPr>
          <w:rFonts w:ascii="宋体" w:hAnsi="宋体"/>
          <w:szCs w:val="21"/>
        </w:rPr>
        <w:t>3）</w:t>
      </w:r>
      <w:r>
        <w:rPr>
          <w:rFonts w:hint="eastAsia" w:ascii="宋体" w:hAnsi="宋体"/>
          <w:szCs w:val="21"/>
          <w:u w:val="single"/>
        </w:rPr>
        <w:t>《湖南省建设工程计价办法》（湘建价［</w:t>
      </w:r>
      <w:r>
        <w:rPr>
          <w:rFonts w:ascii="宋体" w:hAnsi="宋体"/>
          <w:szCs w:val="21"/>
          <w:u w:val="single"/>
        </w:rPr>
        <w:t>2014］113号）、</w:t>
      </w:r>
      <w:r>
        <w:rPr>
          <w:rFonts w:hint="eastAsia" w:ascii="宋体" w:hAnsi="宋体"/>
          <w:u w:val="single"/>
        </w:rPr>
        <w:t>《</w:t>
      </w:r>
      <w:r>
        <w:rPr>
          <w:rFonts w:ascii="宋体" w:hAnsi="宋体"/>
          <w:u w:val="single"/>
        </w:rPr>
        <w:t>关于执行《湖南省建设工程计价办法》的补充通知</w:t>
      </w:r>
      <w:r>
        <w:rPr>
          <w:rFonts w:hint="eastAsia" w:ascii="宋体" w:hAnsi="宋体"/>
          <w:u w:val="single"/>
        </w:rPr>
        <w:t>》（湘建价建〔</w:t>
      </w:r>
      <w:r>
        <w:rPr>
          <w:rFonts w:ascii="宋体" w:hAnsi="宋体"/>
          <w:u w:val="single"/>
        </w:rPr>
        <w:t>2014〕35号）、</w:t>
      </w:r>
      <w:r>
        <w:rPr>
          <w:rFonts w:hint="eastAsia" w:ascii="宋体" w:hAnsi="宋体"/>
          <w:szCs w:val="21"/>
          <w:u w:val="single"/>
        </w:rPr>
        <w:t>《湖南省建设工程造价管理总站关于印发〈</w:t>
      </w:r>
      <w:r>
        <w:rPr>
          <w:rFonts w:ascii="宋体" w:hAnsi="宋体"/>
          <w:szCs w:val="21"/>
          <w:u w:val="single"/>
        </w:rPr>
        <w:t>2014版〈湖南省建设工程计价办法〉及〈湖南省建设工程消耗量标准〉解释汇编（一）〉的通知》（湘建价建〔2016〕8号）；《湖南省住房和城乡建设厅关于印发〈关于增值税条件下计费程序和计费标准的规定〉及〈关于增值税条件下材料价格发布与使用的规定〉的通知》（湘建价〔2016〕72号）；《湖南省住房城乡建设厅关于取消建筑行业劳保基金与增加社会保险有关事项的通知》（湘建价〔2016〕134号）；《关于调整补充增值税条件下建设工程计价依据的通知》（湘建价〔2016〕160号）</w:t>
      </w:r>
      <w:r>
        <w:rPr>
          <w:rFonts w:hint="eastAsia" w:ascii="宋体" w:hAnsi="宋体"/>
          <w:szCs w:val="21"/>
          <w:u w:val="single"/>
        </w:rPr>
        <w:t>、</w:t>
      </w:r>
      <w:r>
        <w:rPr>
          <w:rFonts w:hint="eastAsia" w:hAnsi="宋体"/>
          <w:color w:val="auto"/>
          <w:szCs w:val="21"/>
          <w:u w:val="single"/>
        </w:rPr>
        <w:t>湘建价[201</w:t>
      </w:r>
      <w:r>
        <w:rPr>
          <w:rFonts w:hint="eastAsia" w:hAnsi="宋体"/>
          <w:color w:val="auto"/>
          <w:szCs w:val="21"/>
          <w:u w:val="single"/>
          <w:lang w:val="en-US" w:eastAsia="zh-CN"/>
        </w:rPr>
        <w:t>9</w:t>
      </w:r>
      <w:r>
        <w:rPr>
          <w:rFonts w:hint="eastAsia" w:hAnsi="宋体"/>
          <w:color w:val="auto"/>
          <w:szCs w:val="21"/>
          <w:u w:val="single"/>
        </w:rPr>
        <w:t>]</w:t>
      </w:r>
      <w:r>
        <w:rPr>
          <w:rFonts w:hint="eastAsia" w:hAnsi="宋体"/>
          <w:color w:val="auto"/>
          <w:szCs w:val="21"/>
          <w:u w:val="single"/>
          <w:lang w:val="en-US" w:eastAsia="zh-CN"/>
        </w:rPr>
        <w:t>47</w:t>
      </w:r>
      <w:r>
        <w:rPr>
          <w:rFonts w:hint="eastAsia" w:hAnsi="宋体"/>
          <w:color w:val="auto"/>
          <w:szCs w:val="21"/>
          <w:u w:val="single"/>
        </w:rPr>
        <w:t>号</w:t>
      </w:r>
      <w:r>
        <w:rPr>
          <w:rFonts w:hint="eastAsia" w:ascii="宋体" w:hAnsi="宋体"/>
          <w:szCs w:val="21"/>
          <w:u w:val="single"/>
        </w:rPr>
        <w:t>；</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4）企业定额，湖南省建设行政主管部门颁发的建设工程消耗量标准，取费标准、计费程序；</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5）招标文件（包括工程量清单）的澄清、补充和修改文件；</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6）建设工程设计文件及相关资料；</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7）施工现场情况、工程特点及拟定的投标施工组织设计或施工方案；</w:t>
      </w:r>
    </w:p>
    <w:p>
      <w:pPr>
        <w:spacing w:line="360" w:lineRule="auto"/>
        <w:ind w:firstLine="420" w:firstLineChars="200"/>
        <w:rPr>
          <w:rFonts w:ascii="宋体" w:hAnsi="宋体"/>
          <w:szCs w:val="21"/>
        </w:rPr>
      </w:pPr>
      <w:r>
        <w:rPr>
          <w:rFonts w:hint="eastAsia" w:ascii="宋体" w:hAnsi="宋体"/>
          <w:szCs w:val="21"/>
        </w:rPr>
        <w:t>（</w:t>
      </w:r>
      <w:r>
        <w:rPr>
          <w:rFonts w:ascii="宋体" w:hAnsi="宋体"/>
          <w:szCs w:val="21"/>
        </w:rPr>
        <w:t>8）</w:t>
      </w:r>
      <w:r>
        <w:rPr>
          <w:rFonts w:hint="eastAsia" w:ascii="宋体" w:hAnsi="宋体"/>
        </w:rPr>
        <w:t>与建设项目相关的标准、规范等技术资料；</w:t>
      </w:r>
    </w:p>
    <w:p>
      <w:pPr>
        <w:spacing w:line="360" w:lineRule="auto"/>
        <w:ind w:firstLine="420" w:firstLineChars="200"/>
        <w:rPr>
          <w:rFonts w:ascii="宋体" w:hAnsi="宋体"/>
        </w:rPr>
      </w:pPr>
      <w:r>
        <w:rPr>
          <w:rFonts w:hint="eastAsia" w:ascii="宋体" w:hAnsi="宋体"/>
        </w:rPr>
        <w:t>（</w:t>
      </w:r>
      <w:r>
        <w:rPr>
          <w:rFonts w:ascii="宋体" w:hAnsi="宋体"/>
        </w:rPr>
        <w:t>9）市场价格信息或工程造价管理机构发布的工程造价信息；</w:t>
      </w:r>
    </w:p>
    <w:p>
      <w:pPr>
        <w:spacing w:line="360" w:lineRule="auto"/>
        <w:ind w:firstLine="420" w:firstLineChars="200"/>
        <w:rPr>
          <w:rFonts w:ascii="宋体" w:hAnsi="宋体"/>
        </w:rPr>
      </w:pPr>
      <w:r>
        <w:rPr>
          <w:rFonts w:hint="eastAsia" w:ascii="宋体" w:hAnsi="宋体"/>
        </w:rPr>
        <w:t>（</w:t>
      </w:r>
      <w:r>
        <w:rPr>
          <w:rFonts w:ascii="宋体" w:hAnsi="宋体"/>
        </w:rPr>
        <w:t>10）其他的相关资料（招标人可根据有关规定进行细化）；</w:t>
      </w:r>
    </w:p>
    <w:p>
      <w:pPr>
        <w:spacing w:line="360" w:lineRule="auto"/>
        <w:ind w:firstLine="420" w:firstLineChars="200"/>
        <w:rPr>
          <w:rFonts w:ascii="宋体" w:hAnsi="宋体"/>
        </w:rPr>
      </w:pPr>
      <w:r>
        <w:rPr>
          <w:rFonts w:hint="eastAsia" w:ascii="宋体" w:hAnsi="宋体"/>
        </w:rPr>
        <w:t>……</w:t>
      </w:r>
    </w:p>
    <w:p>
      <w:pPr>
        <w:spacing w:line="360" w:lineRule="auto"/>
        <w:ind w:firstLine="420" w:firstLineChars="200"/>
        <w:rPr>
          <w:rFonts w:ascii="宋体" w:hAnsi="宋体"/>
        </w:rPr>
      </w:pPr>
      <w:r>
        <w:rPr>
          <w:rFonts w:ascii="宋体" w:hAnsi="宋体"/>
        </w:rPr>
        <w:t xml:space="preserve">3.2 </w:t>
      </w:r>
      <w:r>
        <w:rPr>
          <w:rFonts w:hint="eastAsia" w:ascii="宋体" w:hAnsi="宋体"/>
        </w:rPr>
        <w:t>工程量清单中的每一项目须填入综合单价或价格，且只允许有一个报价。</w:t>
      </w:r>
    </w:p>
    <w:p>
      <w:pPr>
        <w:spacing w:line="360" w:lineRule="auto"/>
        <w:ind w:firstLine="420" w:firstLineChars="200"/>
        <w:rPr>
          <w:rFonts w:ascii="宋体" w:hAnsi="宋体"/>
        </w:rPr>
      </w:pPr>
      <w:r>
        <w:rPr>
          <w:rFonts w:ascii="宋体" w:hAnsi="宋体"/>
          <w:szCs w:val="21"/>
        </w:rPr>
        <w:t>3.3</w:t>
      </w:r>
      <w:r>
        <w:rPr>
          <w:rFonts w:ascii="宋体" w:hAnsi="宋体"/>
        </w:rPr>
        <w:t xml:space="preserve"> 工程量清单中标价的综合单价或金额，应包括所需</w:t>
      </w:r>
      <w:r>
        <w:rPr>
          <w:rFonts w:hint="eastAsia" w:ascii="宋体" w:hAnsi="宋体" w:cs="宋体"/>
        </w:rPr>
        <w:t>直接费、各项费用和利润、税金（销项税额或应纳税额）和附加税额</w:t>
      </w:r>
      <w:r>
        <w:rPr>
          <w:rFonts w:hint="eastAsia" w:ascii="宋体" w:hAnsi="宋体"/>
        </w:rPr>
        <w:t>，以及一定范围内的风险费用。所谓“一定范围内的风险”是指合同约定的风险。</w:t>
      </w:r>
    </w:p>
    <w:p>
      <w:pPr>
        <w:spacing w:line="360" w:lineRule="auto"/>
        <w:ind w:left="15" w:leftChars="7" w:firstLine="420" w:firstLineChars="200"/>
        <w:rPr>
          <w:rFonts w:ascii="宋体" w:hAnsi="宋体"/>
        </w:rPr>
      </w:pPr>
      <w:r>
        <w:rPr>
          <w:rFonts w:ascii="宋体" w:hAnsi="宋体"/>
          <w:szCs w:val="21"/>
        </w:rPr>
        <w:t>3.4</w:t>
      </w:r>
      <w:r>
        <w:rPr>
          <w:rFonts w:ascii="宋体" w:hAnsi="宋体"/>
        </w:rPr>
        <w:t xml:space="preserve"> 已标价工程量清单中投标人没有填入单价或价格的项目，其价格视为已分摊在工程量清单中其他已标价的相关</w:t>
      </w:r>
      <w:r>
        <w:rPr>
          <w:rFonts w:hint="eastAsia" w:ascii="宋体" w:hAnsi="宋体"/>
          <w:sz w:val="20"/>
          <w:szCs w:val="21"/>
        </w:rPr>
        <w:t>项目</w:t>
      </w:r>
      <w:r>
        <w:rPr>
          <w:rFonts w:hint="eastAsia" w:ascii="宋体" w:hAnsi="宋体"/>
        </w:rPr>
        <w:t>的综合单价或价格之中。</w:t>
      </w:r>
    </w:p>
    <w:p>
      <w:pPr>
        <w:spacing w:line="360" w:lineRule="auto"/>
        <w:ind w:firstLine="420" w:firstLineChars="200"/>
        <w:rPr>
          <w:rFonts w:ascii="宋体" w:hAnsi="宋体"/>
        </w:rPr>
      </w:pPr>
      <w:r>
        <w:rPr>
          <w:rFonts w:ascii="宋体" w:hAnsi="宋体"/>
          <w:szCs w:val="21"/>
        </w:rPr>
        <w:t>3.5</w:t>
      </w:r>
      <w:r>
        <w:rPr>
          <w:rFonts w:hint="eastAsia" w:ascii="宋体" w:hAnsi="宋体" w:cs="宋体"/>
        </w:rPr>
        <w:t>“建设项目（单项工程）工程造价汇总表”中的建安工程造价由直接费用、费用和利润、税金（销项税额、应纳税额）附加税额及其他项目组成，</w:t>
      </w:r>
      <w:r>
        <w:rPr>
          <w:rFonts w:hint="eastAsia" w:ascii="宋体" w:hAnsi="宋体"/>
        </w:rPr>
        <w:t>并且“</w:t>
      </w:r>
      <w:r>
        <w:rPr>
          <w:rFonts w:hint="eastAsia" w:ascii="宋体" w:hAnsi="宋体" w:cs="宋体"/>
        </w:rPr>
        <w:t>建设项目（单项工程）工程造价汇总表</w:t>
      </w:r>
      <w:r>
        <w:rPr>
          <w:rFonts w:hint="eastAsia" w:ascii="宋体" w:hAnsi="宋体"/>
        </w:rPr>
        <w:t>”中的建安工程造价应当与单位工程费用计算表中的</w:t>
      </w:r>
      <w:r>
        <w:rPr>
          <w:rFonts w:hint="eastAsia" w:ascii="宋体" w:hAnsi="宋体" w:cs="宋体"/>
        </w:rPr>
        <w:t>直接费用、费用和利润、税金（销项税额、应纳税额）、附加税额及其他项目的合计</w:t>
      </w:r>
      <w:r>
        <w:rPr>
          <w:rFonts w:hint="eastAsia" w:ascii="宋体" w:hAnsi="宋体"/>
        </w:rPr>
        <w:t>金额一致。</w:t>
      </w:r>
      <w:r>
        <w:rPr>
          <w:rFonts w:hint="eastAsia" w:ascii="宋体" w:hAnsi="宋体" w:cs="宋体"/>
        </w:rPr>
        <w:t>不论是清单项目或其他项目的单价或总价均包括全部费用。</w:t>
      </w:r>
    </w:p>
    <w:p>
      <w:pPr>
        <w:spacing w:line="360" w:lineRule="auto"/>
        <w:ind w:firstLine="420" w:firstLineChars="200"/>
        <w:rPr>
          <w:rFonts w:ascii="宋体" w:hAnsi="宋体"/>
        </w:rPr>
      </w:pPr>
      <w:r>
        <w:rPr>
          <w:rFonts w:ascii="宋体" w:hAnsi="宋体"/>
          <w:szCs w:val="21"/>
        </w:rPr>
        <w:t>3.6</w:t>
      </w:r>
      <w:r>
        <w:rPr>
          <w:rFonts w:hint="eastAsia" w:ascii="宋体" w:hAnsi="宋体" w:cs="宋体"/>
        </w:rPr>
        <w:t>单位工程工程量清单与造价表</w:t>
      </w:r>
      <w:r>
        <w:rPr>
          <w:rFonts w:hint="eastAsia" w:ascii="宋体" w:hAnsi="宋体"/>
        </w:rPr>
        <w:t>按下列要求报价：</w:t>
      </w:r>
    </w:p>
    <w:p>
      <w:pPr>
        <w:spacing w:line="360" w:lineRule="auto"/>
        <w:ind w:firstLine="420" w:firstLineChars="200"/>
        <w:rPr>
          <w:rFonts w:ascii="宋体" w:hAnsi="宋体"/>
          <w:szCs w:val="21"/>
        </w:rPr>
      </w:pPr>
      <w:r>
        <w:rPr>
          <w:rFonts w:ascii="宋体" w:hAnsi="宋体"/>
          <w:szCs w:val="21"/>
        </w:rPr>
        <w:t>3.6.1</w:t>
      </w:r>
      <w:r>
        <w:rPr>
          <w:rFonts w:hint="eastAsia" w:ascii="宋体" w:hAnsi="宋体"/>
          <w:szCs w:val="21"/>
        </w:rPr>
        <w:t>单位工程工程量清单与造价表中的项目编码、项目名称、计量单位与工程量计算规则应与“国家规范”一致。</w:t>
      </w:r>
    </w:p>
    <w:p>
      <w:pPr>
        <w:spacing w:line="360" w:lineRule="auto"/>
        <w:ind w:firstLine="420" w:firstLineChars="200"/>
        <w:rPr>
          <w:rFonts w:ascii="宋体" w:hAnsi="宋体"/>
        </w:rPr>
      </w:pPr>
      <w:r>
        <w:rPr>
          <w:rFonts w:ascii="宋体" w:hAnsi="宋体"/>
          <w:szCs w:val="21"/>
        </w:rPr>
        <w:t>3.6.2项目编码、项目名称、项目特征描述、计量单位、工程量由招标人在招标文件中统一给定，投标人应按照招标人提供的招标工程量清单，根据项目描述的内容及有关要求实行合同工程计价。</w:t>
      </w:r>
    </w:p>
    <w:p>
      <w:pPr>
        <w:spacing w:line="360" w:lineRule="auto"/>
        <w:ind w:firstLine="420" w:firstLineChars="200"/>
        <w:rPr>
          <w:rFonts w:ascii="宋体" w:hAnsi="宋体"/>
        </w:rPr>
      </w:pPr>
      <w:r>
        <w:rPr>
          <w:rFonts w:ascii="宋体" w:hAnsi="宋体"/>
          <w:szCs w:val="21"/>
        </w:rPr>
        <w:t>3.6.3</w:t>
      </w:r>
      <w:r>
        <w:rPr>
          <w:rFonts w:hint="eastAsia" w:ascii="宋体" w:hAnsi="宋体"/>
        </w:rPr>
        <w:t>应依据现行计价办法中关于综合单价的组成内容确定报价。</w:t>
      </w:r>
    </w:p>
    <w:p>
      <w:pPr>
        <w:spacing w:line="360" w:lineRule="auto"/>
        <w:ind w:firstLine="420" w:firstLineChars="200"/>
        <w:rPr>
          <w:rFonts w:ascii="宋体" w:cs="宋体"/>
        </w:rPr>
      </w:pPr>
      <w:r>
        <w:rPr>
          <w:rFonts w:ascii="宋体" w:hAnsi="宋体" w:cs="宋体"/>
          <w:szCs w:val="21"/>
        </w:rPr>
        <w:t>3.6.4</w:t>
      </w:r>
      <w:r>
        <w:rPr>
          <w:rFonts w:ascii="宋体" w:hAnsi="宋体" w:cs="宋体"/>
        </w:rPr>
        <w:t xml:space="preserve"> 材料、机械台班单价采用一般计税法时执行除税单价，采用简易计税法时执行含税单价。</w:t>
      </w:r>
    </w:p>
    <w:p>
      <w:pPr>
        <w:spacing w:line="360" w:lineRule="auto"/>
        <w:ind w:firstLine="420" w:firstLineChars="200"/>
        <w:rPr>
          <w:rFonts w:ascii="宋体" w:cs="宋体"/>
        </w:rPr>
      </w:pPr>
      <w:r>
        <w:rPr>
          <w:rFonts w:ascii="宋体" w:hAnsi="宋体" w:cs="宋体"/>
          <w:szCs w:val="21"/>
        </w:rPr>
        <w:t>3.6.5</w:t>
      </w:r>
      <w:r>
        <w:rPr>
          <w:rFonts w:hint="eastAsia" w:ascii="宋体" w:hAnsi="宋体" w:cs="宋体"/>
        </w:rPr>
        <w:t>各项目的综合单价组成中，各项目的人工、材料和机械台班消耗量由投标人按照其自身情况做充分的、竞争性考虑。材料消耗量包括损耗量。</w:t>
      </w:r>
    </w:p>
    <w:p>
      <w:pPr>
        <w:spacing w:line="360" w:lineRule="auto"/>
        <w:ind w:firstLine="420" w:firstLineChars="200"/>
        <w:rPr>
          <w:rFonts w:ascii="宋体" w:hAnsi="宋体"/>
        </w:rPr>
      </w:pPr>
      <w:r>
        <w:rPr>
          <w:rFonts w:ascii="宋体" w:hAnsi="宋体" w:cs="宋体"/>
          <w:szCs w:val="21"/>
        </w:rPr>
        <w:t>3.6.6</w:t>
      </w:r>
      <w:r>
        <w:rPr>
          <w:rFonts w:hint="eastAsia" w:ascii="宋体" w:hAnsi="宋体" w:cs="宋体"/>
        </w:rPr>
        <w:t>投标人在投标文件中提交并构成合同文件的“清单项目人材机用量与单价表”中所列的材料和工程设备的价格是指此类材料和工程设备到达施工现场指定堆放地点的落地价格及发生的采购保管费，即包括采购、包装、运输、装卸、堆放等到达施工现场指定落地或堆放地点之前的全部费用及落地之后发生的仓储、保管、仓储损耗等费用，但是不包括从堆放地点运至安装地点的二次搬运费用。</w:t>
      </w:r>
    </w:p>
    <w:p>
      <w:pPr>
        <w:spacing w:line="360" w:lineRule="auto"/>
        <w:ind w:firstLine="420" w:firstLineChars="200"/>
        <w:rPr>
          <w:rFonts w:ascii="宋体" w:hAnsi="宋体"/>
        </w:rPr>
      </w:pPr>
      <w:r>
        <w:rPr>
          <w:rFonts w:ascii="宋体" w:hAnsi="宋体"/>
          <w:szCs w:val="21"/>
        </w:rPr>
        <w:t>3.7</w:t>
      </w:r>
      <w:r>
        <w:rPr>
          <w:rFonts w:ascii="宋体" w:hAnsi="宋体"/>
        </w:rPr>
        <w:t xml:space="preserve"> 措施项目按下列要求报价：</w:t>
      </w:r>
    </w:p>
    <w:p>
      <w:pPr>
        <w:spacing w:line="360" w:lineRule="auto"/>
        <w:ind w:left="13" w:leftChars="6" w:firstLine="420" w:firstLineChars="200"/>
        <w:rPr>
          <w:rFonts w:ascii="宋体"/>
        </w:rPr>
      </w:pPr>
      <w:r>
        <w:rPr>
          <w:rFonts w:ascii="宋体" w:hAnsi="宋体"/>
          <w:szCs w:val="21"/>
        </w:rPr>
        <w:t>3.7.1</w:t>
      </w:r>
      <w:r>
        <w:rPr>
          <w:rFonts w:hint="eastAsia" w:ascii="宋体" w:hAnsi="宋体"/>
        </w:rPr>
        <w:t>招标人提供的措施项目清单应包括单价项目清单</w:t>
      </w:r>
      <w:r>
        <w:rPr>
          <w:rFonts w:hint="eastAsia" w:ascii="宋体" w:hAnsi="宋体" w:cs="宋体"/>
        </w:rPr>
        <w:t>与总价项目清单</w:t>
      </w:r>
      <w:r>
        <w:rPr>
          <w:rFonts w:hint="eastAsia" w:ascii="宋体" w:hAnsi="宋体"/>
        </w:rPr>
        <w:t>。</w:t>
      </w:r>
    </w:p>
    <w:p>
      <w:pPr>
        <w:spacing w:line="360" w:lineRule="auto"/>
        <w:ind w:firstLine="420" w:firstLineChars="200"/>
        <w:rPr>
          <w:rFonts w:ascii="宋体" w:hAnsi="宋体"/>
        </w:rPr>
      </w:pPr>
      <w:r>
        <w:rPr>
          <w:rFonts w:ascii="宋体" w:hAnsi="宋体"/>
          <w:szCs w:val="21"/>
        </w:rPr>
        <w:t>3.7.2</w:t>
      </w:r>
      <w:r>
        <w:rPr>
          <w:rFonts w:ascii="宋体" w:hAnsi="宋体"/>
        </w:rPr>
        <w:t xml:space="preserve"> 措施项目清单计价应根据招标人在招标文件中统一给定的措施项目清单及投标人的施工组织设计进行报价。</w:t>
      </w:r>
      <w:r>
        <w:rPr>
          <w:rFonts w:hint="eastAsia" w:ascii="宋体" w:hAnsi="宋体"/>
        </w:rPr>
        <w:t>可以计量的措施项目，应采用综合单价计价</w:t>
      </w:r>
      <w:r>
        <w:rPr>
          <w:rFonts w:hint="eastAsia" w:ascii="宋体" w:hAnsi="宋体"/>
          <w:szCs w:val="21"/>
        </w:rPr>
        <w:t>；</w:t>
      </w:r>
      <w:r>
        <w:rPr>
          <w:rFonts w:hint="eastAsia" w:ascii="宋体" w:hAnsi="宋体"/>
        </w:rPr>
        <w:t>其余的措施项目可以“总价（或系数）”的方式计价</w:t>
      </w:r>
      <w:r>
        <w:rPr>
          <w:rFonts w:hint="eastAsia" w:ascii="宋体" w:hAnsi="宋体" w:cs="宋体"/>
        </w:rPr>
        <w:t>列入各项费用和利润部分</w:t>
      </w:r>
      <w:r>
        <w:rPr>
          <w:rFonts w:hint="eastAsia" w:ascii="宋体" w:hAnsi="宋体"/>
        </w:rPr>
        <w:t>。</w:t>
      </w:r>
    </w:p>
    <w:p>
      <w:pPr>
        <w:spacing w:line="360" w:lineRule="auto"/>
        <w:ind w:firstLine="420" w:firstLineChars="200"/>
        <w:rPr>
          <w:rFonts w:ascii="宋体" w:hAnsi="宋体"/>
        </w:rPr>
      </w:pPr>
      <w:r>
        <w:rPr>
          <w:rFonts w:ascii="宋体" w:hAnsi="宋体"/>
          <w:szCs w:val="21"/>
        </w:rPr>
        <w:t>3.7.3总价</w:t>
      </w:r>
      <w:r>
        <w:rPr>
          <w:rFonts w:hint="eastAsia" w:ascii="宋体" w:hAnsi="宋体" w:cs="宋体"/>
        </w:rPr>
        <w:t>措施项目费</w:t>
      </w:r>
      <w:r>
        <w:rPr>
          <w:rFonts w:hint="eastAsia" w:ascii="宋体" w:hAnsi="宋体"/>
        </w:rPr>
        <w:t>中的安全文明施工费应按国家、省级或行业建设主管部门规定的费率标准计价，不得作为竞争性费用。</w:t>
      </w:r>
    </w:p>
    <w:p>
      <w:pPr>
        <w:spacing w:line="360" w:lineRule="auto"/>
        <w:ind w:firstLine="420" w:firstLineChars="200"/>
        <w:rPr>
          <w:rFonts w:ascii="宋体"/>
        </w:rPr>
      </w:pPr>
      <w:r>
        <w:rPr>
          <w:rFonts w:ascii="宋体" w:hAnsi="宋体"/>
          <w:szCs w:val="21"/>
        </w:rPr>
        <w:t>3.7.4</w:t>
      </w:r>
      <w:r>
        <w:rPr>
          <w:rFonts w:hint="eastAsia" w:ascii="宋体" w:hAnsi="宋体" w:cs="宋体"/>
        </w:rPr>
        <w:t>总价措施项目费</w:t>
      </w:r>
      <w:r>
        <w:rPr>
          <w:rFonts w:hint="eastAsia" w:ascii="宋体" w:hAnsi="宋体"/>
        </w:rPr>
        <w:t>中所填写的报价金额，应全面涵盖招标文件约定的投标人中标后施工、竣工、交付本工程并维修其任何缺陷所需要履行的责任和义务的全部费用。</w:t>
      </w:r>
    </w:p>
    <w:p>
      <w:pPr>
        <w:spacing w:line="360" w:lineRule="auto"/>
        <w:ind w:left="4" w:leftChars="2" w:firstLine="420" w:firstLineChars="200"/>
        <w:rPr>
          <w:rFonts w:ascii="宋体"/>
        </w:rPr>
      </w:pPr>
      <w:r>
        <w:rPr>
          <w:rFonts w:ascii="宋体" w:hAnsi="宋体"/>
          <w:szCs w:val="21"/>
        </w:rPr>
        <w:t>3.7.5</w:t>
      </w:r>
      <w:r>
        <w:rPr>
          <w:rFonts w:hint="eastAsia" w:ascii="宋体" w:hAnsi="宋体"/>
        </w:rPr>
        <w:t>对于</w:t>
      </w:r>
      <w:r>
        <w:rPr>
          <w:rFonts w:hint="eastAsia" w:ascii="宋体" w:hAnsi="宋体" w:cs="宋体"/>
        </w:rPr>
        <w:t>可计量的措施项目费</w:t>
      </w:r>
      <w:r>
        <w:rPr>
          <w:rFonts w:hint="eastAsia" w:ascii="宋体" w:hAnsi="宋体"/>
        </w:rPr>
        <w:t>，应按照“</w:t>
      </w:r>
      <w:r>
        <w:rPr>
          <w:rFonts w:hint="eastAsia" w:ascii="宋体" w:hAnsi="宋体" w:cs="宋体"/>
        </w:rPr>
        <w:t>清单项目直接费用预算表</w:t>
      </w:r>
      <w:r>
        <w:rPr>
          <w:rFonts w:hint="eastAsia" w:ascii="宋体" w:hAnsi="宋体"/>
        </w:rPr>
        <w:t>”对措施项目报价的组成进行详细的列项和分析。</w:t>
      </w:r>
    </w:p>
    <w:p>
      <w:pPr>
        <w:spacing w:line="360" w:lineRule="auto"/>
        <w:ind w:firstLine="420" w:firstLineChars="200"/>
        <w:rPr>
          <w:rFonts w:ascii="宋体"/>
        </w:rPr>
      </w:pPr>
      <w:r>
        <w:rPr>
          <w:rFonts w:ascii="宋体" w:hAnsi="宋体"/>
          <w:szCs w:val="21"/>
        </w:rPr>
        <w:t xml:space="preserve">3.8 </w:t>
      </w:r>
      <w:r>
        <w:rPr>
          <w:rFonts w:hint="eastAsia" w:ascii="宋体" w:hAnsi="宋体"/>
        </w:rPr>
        <w:t>其他项目费应按下列规定报价：</w:t>
      </w:r>
    </w:p>
    <w:p>
      <w:pPr>
        <w:spacing w:line="360" w:lineRule="auto"/>
        <w:ind w:left="4" w:leftChars="2" w:firstLine="420" w:firstLineChars="200"/>
        <w:rPr>
          <w:rFonts w:ascii="宋体"/>
        </w:rPr>
      </w:pPr>
      <w:r>
        <w:rPr>
          <w:rFonts w:ascii="宋体" w:hAnsi="宋体"/>
          <w:szCs w:val="21"/>
        </w:rPr>
        <w:t>3.8.1</w:t>
      </w:r>
      <w:r>
        <w:rPr>
          <w:rFonts w:hint="eastAsia" w:ascii="宋体" w:hAnsi="宋体"/>
        </w:rPr>
        <w:t>暂列金额由招标人在招标文件中统一给定，投标人按招标人给定的暂列金额计入投标总价。</w:t>
      </w:r>
    </w:p>
    <w:p>
      <w:pPr>
        <w:spacing w:line="360" w:lineRule="auto"/>
        <w:ind w:left="4" w:leftChars="2" w:firstLine="420" w:firstLineChars="200"/>
        <w:rPr>
          <w:rFonts w:ascii="宋体" w:cs="宋体"/>
        </w:rPr>
      </w:pPr>
      <w:r>
        <w:rPr>
          <w:rFonts w:ascii="宋体" w:hAnsi="宋体"/>
          <w:szCs w:val="21"/>
        </w:rPr>
        <w:t>3.8.2</w:t>
      </w:r>
      <w:r>
        <w:rPr>
          <w:rFonts w:hint="eastAsia" w:ascii="宋体" w:hAnsi="宋体"/>
        </w:rPr>
        <w:t>材料（工程设备）暂估价由招标人在招标文件中统一给定，投标人计入直接费与清单项目综合单价；专业工程暂估价由投标人按招标人给定的暂估价金额计入投标总价。</w:t>
      </w:r>
    </w:p>
    <w:p>
      <w:pPr>
        <w:spacing w:line="360" w:lineRule="auto"/>
        <w:ind w:left="4" w:leftChars="2" w:firstLine="420" w:firstLineChars="200"/>
        <w:rPr>
          <w:rFonts w:ascii="宋体"/>
        </w:rPr>
      </w:pPr>
      <w:r>
        <w:rPr>
          <w:rFonts w:ascii="宋体" w:hAnsi="宋体"/>
          <w:szCs w:val="21"/>
        </w:rPr>
        <w:t>3.8.3</w:t>
      </w:r>
      <w:r>
        <w:rPr>
          <w:rFonts w:hint="eastAsia" w:ascii="宋体" w:hAnsi="宋体"/>
        </w:rPr>
        <w:t>计日工按招标人提供的“计日工表”中列出的项目和估算数量，自主确定综合单价并计算计日工金额。计日工综合单价均不包括税金和附加税额，其中：</w:t>
      </w:r>
    </w:p>
    <w:p>
      <w:pPr>
        <w:spacing w:line="360" w:lineRule="auto"/>
        <w:ind w:firstLine="420" w:firstLineChars="200"/>
        <w:rPr>
          <w:rFonts w:ascii="宋体"/>
        </w:rPr>
      </w:pPr>
      <w:r>
        <w:rPr>
          <w:rFonts w:hint="eastAsia" w:ascii="宋体" w:hAnsi="宋体"/>
        </w:rPr>
        <w:t>（</w:t>
      </w:r>
      <w:r>
        <w:rPr>
          <w:rFonts w:ascii="宋体" w:hAnsi="宋体"/>
        </w:rPr>
        <w:t>1</w:t>
      </w:r>
      <w:r>
        <w:rPr>
          <w:rFonts w:hint="eastAsia" w:ascii="宋体" w:hAnsi="宋体"/>
        </w:rPr>
        <w:t>）</w:t>
      </w:r>
      <w:r>
        <w:rPr>
          <w:rFonts w:hint="eastAsia" w:ascii="宋体" w:hAnsi="宋体" w:cs="宋体"/>
        </w:rPr>
        <w:t>人工综合</w:t>
      </w:r>
      <w:r>
        <w:rPr>
          <w:rFonts w:hint="eastAsia" w:ascii="宋体" w:hAnsi="宋体"/>
        </w:rPr>
        <w:t>单价应当包括工人工资、交通费用、各种补贴、劳动安全保护、社保费用、工具用具费、施工场地内已经搭设的脚手架、水电和低值易耗品费用、</w:t>
      </w:r>
      <w:r>
        <w:rPr>
          <w:rFonts w:hint="eastAsia" w:ascii="宋体" w:hAnsi="宋体" w:cs="宋体"/>
        </w:rPr>
        <w:t>各项费用</w:t>
      </w:r>
      <w:r>
        <w:rPr>
          <w:rFonts w:hint="eastAsia" w:ascii="宋体" w:hAnsi="宋体"/>
        </w:rPr>
        <w:t>和利润；</w:t>
      </w:r>
    </w:p>
    <w:p>
      <w:pPr>
        <w:spacing w:line="360" w:lineRule="auto"/>
        <w:ind w:firstLine="420" w:firstLineChars="200"/>
        <w:rPr>
          <w:rFonts w:ascii="宋体"/>
        </w:rPr>
      </w:pPr>
      <w:r>
        <w:rPr>
          <w:rFonts w:hint="eastAsia" w:ascii="宋体" w:hAnsi="宋体"/>
        </w:rPr>
        <w:t>（</w:t>
      </w:r>
      <w:r>
        <w:rPr>
          <w:rFonts w:ascii="宋体" w:hAnsi="宋体"/>
        </w:rPr>
        <w:t>2</w:t>
      </w:r>
      <w:r>
        <w:rPr>
          <w:rFonts w:hint="eastAsia" w:ascii="宋体" w:hAnsi="宋体"/>
        </w:rPr>
        <w:t>）材料</w:t>
      </w:r>
      <w:r>
        <w:rPr>
          <w:rFonts w:hint="eastAsia" w:ascii="宋体" w:hAnsi="宋体" w:cs="宋体"/>
        </w:rPr>
        <w:t>综合单价</w:t>
      </w:r>
      <w:r>
        <w:rPr>
          <w:rFonts w:hint="eastAsia" w:ascii="宋体" w:hAnsi="宋体"/>
        </w:rPr>
        <w:t>包括材料</w:t>
      </w:r>
      <w:r>
        <w:rPr>
          <w:rFonts w:hint="eastAsia" w:ascii="宋体" w:hAnsi="宋体" w:cs="宋体"/>
        </w:rPr>
        <w:t>预算</w:t>
      </w:r>
      <w:r>
        <w:rPr>
          <w:rFonts w:hint="eastAsia" w:ascii="宋体" w:hAnsi="宋体"/>
        </w:rPr>
        <w:t>价格以及现场搬运、仓储、二次搬运、损耗、保险</w:t>
      </w:r>
      <w:r>
        <w:rPr>
          <w:rFonts w:hint="eastAsia" w:ascii="宋体" w:hAnsi="宋体"/>
          <w:szCs w:val="21"/>
        </w:rPr>
        <w:t>；</w:t>
      </w:r>
    </w:p>
    <w:p>
      <w:pPr>
        <w:spacing w:line="360" w:lineRule="auto"/>
        <w:ind w:firstLine="420" w:firstLineChars="200"/>
        <w:rPr>
          <w:rFonts w:ascii="宋体"/>
        </w:rPr>
      </w:pPr>
      <w:r>
        <w:rPr>
          <w:rFonts w:hint="eastAsia" w:ascii="宋体" w:hAnsi="宋体"/>
        </w:rPr>
        <w:t>（</w:t>
      </w:r>
      <w:r>
        <w:rPr>
          <w:rFonts w:ascii="宋体" w:hAnsi="宋体"/>
        </w:rPr>
        <w:t>3</w:t>
      </w:r>
      <w:r>
        <w:rPr>
          <w:rFonts w:hint="eastAsia" w:ascii="宋体" w:hAnsi="宋体"/>
        </w:rPr>
        <w:t>）施工机械</w:t>
      </w:r>
      <w:r>
        <w:rPr>
          <w:rFonts w:hint="eastAsia" w:ascii="宋体" w:hAnsi="宋体" w:cs="宋体"/>
        </w:rPr>
        <w:t>综合单价</w:t>
      </w:r>
      <w:r>
        <w:rPr>
          <w:rFonts w:hint="eastAsia" w:ascii="宋体" w:hAnsi="宋体"/>
        </w:rPr>
        <w:t>限于在施工场地（现场）的机械设备，其价格包括租赁或折旧、维修、维护和燃油等消耗品以及操作人员费用，</w:t>
      </w:r>
      <w:r>
        <w:rPr>
          <w:rFonts w:hint="eastAsia" w:ascii="宋体" w:hAnsi="宋体" w:cs="宋体"/>
        </w:rPr>
        <w:t>以及各项费用和利润</w:t>
      </w:r>
      <w:r>
        <w:rPr>
          <w:rFonts w:hint="eastAsia" w:ascii="宋体" w:hAnsi="宋体"/>
        </w:rPr>
        <w:t>。</w:t>
      </w:r>
    </w:p>
    <w:p>
      <w:pPr>
        <w:spacing w:line="360" w:lineRule="auto"/>
        <w:ind w:left="4" w:leftChars="2" w:firstLine="420" w:firstLineChars="200"/>
        <w:rPr>
          <w:rFonts w:ascii="宋体"/>
        </w:rPr>
      </w:pPr>
      <w:r>
        <w:rPr>
          <w:rFonts w:ascii="宋体" w:hAnsi="宋体"/>
          <w:szCs w:val="21"/>
        </w:rPr>
        <w:t>3.8.4</w:t>
      </w:r>
      <w:r>
        <w:rPr>
          <w:rFonts w:hint="eastAsia" w:ascii="宋体" w:hAnsi="宋体"/>
        </w:rPr>
        <w:t>总承包服务费根据招标文件中列出的专业工程暂估价与材料（工程设备）暂估价，按“总承包服务费计价表”所列格式自主报价。</w:t>
      </w:r>
    </w:p>
    <w:p>
      <w:pPr>
        <w:spacing w:line="360" w:lineRule="auto"/>
        <w:ind w:left="4" w:leftChars="2" w:firstLine="420" w:firstLineChars="200"/>
        <w:rPr>
          <w:rFonts w:ascii="宋体"/>
        </w:rPr>
      </w:pPr>
      <w:r>
        <w:rPr>
          <w:rFonts w:ascii="宋体" w:hAnsi="宋体"/>
          <w:szCs w:val="21"/>
        </w:rPr>
        <w:t>3.9</w:t>
      </w:r>
      <w:r>
        <w:rPr>
          <w:rFonts w:hint="eastAsia" w:ascii="宋体" w:hAnsi="宋体"/>
        </w:rPr>
        <w:t>规费、税金和附加税额应按“单位工程费用计算表”及“清单项目费用计算表（综合单价表）”所列项目并根据国家、省级或行业建设主管部门的有关规定列项和计算，不得作为竞争性费用。</w:t>
      </w:r>
    </w:p>
    <w:p>
      <w:pPr>
        <w:spacing w:line="360" w:lineRule="auto"/>
        <w:ind w:left="4" w:leftChars="2" w:firstLine="420" w:firstLineChars="200"/>
        <w:rPr>
          <w:rFonts w:ascii="宋体"/>
        </w:rPr>
      </w:pPr>
      <w:r>
        <w:rPr>
          <w:rFonts w:ascii="宋体" w:hAnsi="宋体"/>
          <w:szCs w:val="21"/>
        </w:rPr>
        <w:t xml:space="preserve">3.10 </w:t>
      </w:r>
      <w:r>
        <w:rPr>
          <w:rFonts w:hint="eastAsia" w:ascii="宋体" w:hAnsi="宋体"/>
          <w:szCs w:val="21"/>
        </w:rPr>
        <w:t>除招标文件有强制性规定以及不可竞争部分以外，投标报价由投标人自主确定，但不</w:t>
      </w:r>
      <w:r>
        <w:rPr>
          <w:rFonts w:hint="eastAsia" w:ascii="宋体" w:hAnsi="宋体"/>
        </w:rPr>
        <w:t>得低于其成本。</w:t>
      </w:r>
    </w:p>
    <w:p>
      <w:pPr>
        <w:spacing w:line="360" w:lineRule="auto"/>
        <w:ind w:left="2" w:leftChars="1" w:firstLine="420" w:firstLineChars="200"/>
        <w:rPr>
          <w:rFonts w:ascii="宋体"/>
        </w:rPr>
      </w:pPr>
      <w:r>
        <w:rPr>
          <w:rFonts w:ascii="宋体" w:hAnsi="宋体"/>
        </w:rPr>
        <w:t xml:space="preserve">3.11 </w:t>
      </w:r>
      <w:r>
        <w:rPr>
          <w:rFonts w:hint="eastAsia" w:ascii="宋体" w:hAnsi="宋体"/>
        </w:rPr>
        <w:t>工程量清单计价所涉及的生产资源（包括各类人工、材料、工程设备、施工设备、临时设施、临时用水、临时用电等）的投标价格，应根据自身的信息渠道和采购渠道，分析其市场价格水平并判断其整个施工周期内的变化趋势，体现投标人自身的管理水平、技术水平和综合实力。</w:t>
      </w:r>
    </w:p>
    <w:p>
      <w:pPr>
        <w:spacing w:line="360" w:lineRule="auto"/>
        <w:ind w:left="4" w:leftChars="2" w:firstLine="420" w:firstLineChars="200"/>
        <w:rPr>
          <w:rFonts w:ascii="宋体"/>
        </w:rPr>
      </w:pPr>
      <w:r>
        <w:rPr>
          <w:rFonts w:ascii="宋体" w:hAnsi="宋体"/>
        </w:rPr>
        <w:t xml:space="preserve">3.12 </w:t>
      </w:r>
      <w:r>
        <w:rPr>
          <w:rFonts w:hint="eastAsia" w:ascii="宋体" w:hAnsi="宋体"/>
        </w:rPr>
        <w:t>管理费应由投标人在保证不低于其成本的基础上做竞争性考虑；利润由投标人根据自身情况和综合实力做竞争性考虑。</w:t>
      </w:r>
    </w:p>
    <w:p>
      <w:pPr>
        <w:spacing w:line="360" w:lineRule="auto"/>
        <w:ind w:firstLine="420" w:firstLineChars="200"/>
        <w:rPr>
          <w:rFonts w:ascii="宋体"/>
        </w:rPr>
      </w:pPr>
      <w:r>
        <w:rPr>
          <w:rFonts w:ascii="宋体" w:hAnsi="宋体"/>
        </w:rPr>
        <w:t xml:space="preserve">3.13 </w:t>
      </w:r>
      <w:r>
        <w:rPr>
          <w:rFonts w:hint="eastAsia" w:ascii="宋体" w:hAnsi="宋体"/>
        </w:rPr>
        <w:t>投标报价中应考虑招标文件中要求投标人承担的风险范围以及相关的费用。</w:t>
      </w:r>
    </w:p>
    <w:p>
      <w:pPr>
        <w:spacing w:line="360" w:lineRule="auto"/>
        <w:ind w:left="4" w:leftChars="2" w:firstLine="420" w:firstLineChars="200"/>
        <w:rPr>
          <w:rFonts w:ascii="宋体"/>
        </w:rPr>
      </w:pPr>
      <w:r>
        <w:rPr>
          <w:rFonts w:ascii="宋体" w:hAnsi="宋体"/>
        </w:rPr>
        <w:t xml:space="preserve">3.14 </w:t>
      </w:r>
      <w:r>
        <w:rPr>
          <w:rFonts w:hint="eastAsia" w:ascii="宋体" w:hAnsi="宋体"/>
        </w:rPr>
        <w:t>投标总价为投标人在投标文件中提出的各项支付金额的总和，为实施、完成招标工程并修补缺陷以及履行招标文件中约定的风险范围内的所有责任和义务所发生的全部费用。</w:t>
      </w:r>
    </w:p>
    <w:p>
      <w:pPr>
        <w:widowControl/>
        <w:spacing w:line="360" w:lineRule="auto"/>
        <w:ind w:firstLine="420" w:firstLineChars="200"/>
        <w:jc w:val="left"/>
        <w:rPr>
          <w:rFonts w:ascii="宋体" w:cs="宋体"/>
          <w:kern w:val="0"/>
          <w:szCs w:val="21"/>
        </w:rPr>
      </w:pPr>
      <w:r>
        <w:rPr>
          <w:rFonts w:ascii="宋体" w:hAnsi="宋体"/>
        </w:rPr>
        <w:t xml:space="preserve">3.15 </w:t>
      </w:r>
      <w:r>
        <w:rPr>
          <w:rFonts w:hint="eastAsia" w:ascii="宋体" w:hAnsi="宋体"/>
        </w:rPr>
        <w:t>有关投标报价的其他说明：</w:t>
      </w:r>
    </w:p>
    <w:p>
      <w:pPr>
        <w:spacing w:line="360" w:lineRule="auto"/>
        <w:ind w:firstLine="420" w:firstLineChars="200"/>
        <w:rPr>
          <w:rFonts w:ascii="宋体" w:cs="宋体"/>
          <w:kern w:val="0"/>
          <w:szCs w:val="21"/>
        </w:rPr>
      </w:pPr>
      <w:r>
        <w:rPr>
          <w:rFonts w:ascii="宋体" w:hAnsi="宋体"/>
        </w:rPr>
        <w:t xml:space="preserve">3.15.1 </w:t>
      </w:r>
      <w:r>
        <w:rPr>
          <w:rFonts w:hint="eastAsia" w:ascii="宋体" w:hAnsi="宋体" w:cs="宋体"/>
          <w:kern w:val="0"/>
          <w:szCs w:val="21"/>
        </w:rPr>
        <w:t>人工工资单价按工程造价管理机构发布的工程造价信息确定，且不得低于最低工资标准。</w:t>
      </w:r>
    </w:p>
    <w:p>
      <w:pPr>
        <w:spacing w:line="360" w:lineRule="auto"/>
        <w:ind w:left="4" w:leftChars="2" w:firstLine="420" w:firstLineChars="200"/>
        <w:rPr>
          <w:rFonts w:ascii="宋体"/>
        </w:rPr>
      </w:pPr>
      <w:r>
        <w:rPr>
          <w:rFonts w:ascii="宋体" w:hAnsi="宋体" w:cs="宋体"/>
        </w:rPr>
        <w:t>3.15.2</w:t>
      </w:r>
      <w:r>
        <w:rPr>
          <w:rFonts w:hint="eastAsia"/>
          <w:kern w:val="0"/>
          <w:szCs w:val="21"/>
        </w:rPr>
        <w:t>投标报价文件制作时所用的计价软件采用通过省住建厅测评合格的软件。</w:t>
      </w:r>
    </w:p>
    <w:p>
      <w:pPr>
        <w:adjustRightInd w:val="0"/>
        <w:spacing w:line="360" w:lineRule="auto"/>
        <w:rPr>
          <w:u w:val="single"/>
        </w:rPr>
      </w:pPr>
    </w:p>
    <w:p>
      <w:pPr>
        <w:adjustRightInd w:val="0"/>
        <w:spacing w:line="360" w:lineRule="auto"/>
        <w:jc w:val="left"/>
        <w:rPr>
          <w:rFonts w:ascii="黑体" w:hAnsi="宋体" w:eastAsia="黑体"/>
          <w:sz w:val="28"/>
          <w:szCs w:val="28"/>
        </w:rPr>
      </w:pPr>
      <w:r>
        <w:rPr>
          <w:rFonts w:ascii="黑体" w:hAnsi="宋体" w:eastAsia="黑体"/>
          <w:b/>
          <w:bCs/>
          <w:sz w:val="28"/>
          <w:szCs w:val="28"/>
        </w:rPr>
        <w:t>4.</w:t>
      </w:r>
      <w:r>
        <w:rPr>
          <w:rFonts w:hint="eastAsia" w:ascii="黑体" w:hAnsi="宋体" w:eastAsia="黑体"/>
          <w:b/>
          <w:bCs/>
          <w:sz w:val="28"/>
          <w:szCs w:val="28"/>
        </w:rPr>
        <w:t>其他说明</w:t>
      </w:r>
    </w:p>
    <w:p>
      <w:pPr>
        <w:pStyle w:val="6"/>
        <w:rPr>
          <w:rFonts w:ascii="黑体" w:hAnsi="黑体" w:eastAsia="黑体"/>
          <w:b w:val="0"/>
          <w:bCs w:val="0"/>
          <w:sz w:val="24"/>
        </w:rPr>
      </w:pPr>
      <w:r>
        <w:rPr>
          <w:rFonts w:ascii="黑体" w:hAnsi="黑体" w:eastAsia="黑体"/>
          <w:b w:val="0"/>
          <w:bCs w:val="0"/>
          <w:sz w:val="24"/>
        </w:rPr>
        <w:t xml:space="preserve">4.1 </w:t>
      </w:r>
      <w:r>
        <w:rPr>
          <w:rFonts w:hint="eastAsia" w:ascii="黑体" w:hAnsi="黑体" w:eastAsia="黑体"/>
          <w:b w:val="0"/>
          <w:bCs w:val="0"/>
          <w:sz w:val="24"/>
        </w:rPr>
        <w:t>词语和定义</w:t>
      </w:r>
    </w:p>
    <w:p>
      <w:pPr>
        <w:spacing w:line="360" w:lineRule="auto"/>
        <w:ind w:firstLine="420" w:firstLineChars="200"/>
        <w:rPr>
          <w:rFonts w:ascii="宋体"/>
          <w:b/>
        </w:rPr>
      </w:pPr>
      <w:r>
        <w:rPr>
          <w:rFonts w:ascii="宋体" w:hAnsi="宋体"/>
        </w:rPr>
        <w:t xml:space="preserve">4.1.1 </w:t>
      </w:r>
      <w:r>
        <w:rPr>
          <w:rFonts w:hint="eastAsia" w:ascii="宋体" w:hAnsi="宋体"/>
          <w:bCs/>
        </w:rPr>
        <w:t>一般计税法</w:t>
      </w:r>
    </w:p>
    <w:p>
      <w:pPr>
        <w:spacing w:line="360" w:lineRule="auto"/>
        <w:ind w:firstLine="420" w:firstLineChars="200"/>
        <w:rPr>
          <w:rFonts w:ascii="宋体"/>
        </w:rPr>
      </w:pPr>
      <w:r>
        <w:rPr>
          <w:rFonts w:hint="eastAsia" w:ascii="宋体" w:hAnsi="宋体"/>
        </w:rPr>
        <w:t>一般计税方法的应纳税额，是指当期销项税额抵扣当期进项税额后的余额。应纳税额计算公式：应纳税额＝当期销项税额－当期进项税额。当期销项税额小于当期进项税额不足抵扣时，其不足部分可以结转下期继续抵扣。</w:t>
      </w:r>
    </w:p>
    <w:p>
      <w:pPr>
        <w:spacing w:line="360" w:lineRule="auto"/>
        <w:ind w:firstLine="420" w:firstLineChars="200"/>
        <w:rPr>
          <w:rFonts w:ascii="宋体"/>
          <w:bCs/>
        </w:rPr>
      </w:pPr>
      <w:r>
        <w:rPr>
          <w:rFonts w:ascii="宋体" w:hAnsi="宋体"/>
        </w:rPr>
        <w:t xml:space="preserve">4.1.2 </w:t>
      </w:r>
      <w:r>
        <w:rPr>
          <w:rFonts w:hint="eastAsia" w:ascii="宋体" w:hAnsi="宋体"/>
          <w:bCs/>
        </w:rPr>
        <w:t>招标工程量清单</w:t>
      </w:r>
    </w:p>
    <w:p>
      <w:pPr>
        <w:spacing w:line="360" w:lineRule="auto"/>
        <w:ind w:firstLine="420" w:firstLineChars="200"/>
        <w:rPr>
          <w:rFonts w:ascii="宋体"/>
        </w:rPr>
      </w:pPr>
      <w:r>
        <w:rPr>
          <w:rFonts w:hint="eastAsia" w:ascii="宋体" w:hAnsi="宋体"/>
        </w:rPr>
        <w:t>招标人依据“”“国家计算规范”、招标文件、设计文件以及施工现场实际情况编制的，随招标文件发布供投标报价的工程量清单，包括其说明和表格。</w:t>
      </w:r>
    </w:p>
    <w:p>
      <w:pPr>
        <w:spacing w:line="360" w:lineRule="auto"/>
        <w:ind w:firstLine="420" w:firstLineChars="200"/>
        <w:rPr>
          <w:rFonts w:ascii="宋体"/>
          <w:b/>
        </w:rPr>
      </w:pPr>
      <w:r>
        <w:rPr>
          <w:rFonts w:ascii="宋体" w:hAnsi="宋体"/>
        </w:rPr>
        <w:t xml:space="preserve">4.1.3 </w:t>
      </w:r>
      <w:r>
        <w:rPr>
          <w:rFonts w:hint="eastAsia" w:ascii="宋体" w:hAnsi="宋体"/>
          <w:bCs/>
        </w:rPr>
        <w:t>已标价的工程量清单</w:t>
      </w:r>
    </w:p>
    <w:p>
      <w:pPr>
        <w:spacing w:line="360" w:lineRule="auto"/>
        <w:ind w:firstLine="420" w:firstLineChars="200"/>
        <w:rPr>
          <w:rFonts w:ascii="宋体"/>
        </w:rPr>
      </w:pPr>
      <w:r>
        <w:rPr>
          <w:rFonts w:hint="eastAsia" w:ascii="宋体" w:hAnsi="宋体"/>
        </w:rPr>
        <w:t>随同合同文件组成的投标文件中已标明价格，经算术性错误修正（如有）且承包人已确认的工程量清单，包括其说明和表格。</w:t>
      </w:r>
    </w:p>
    <w:p>
      <w:pPr>
        <w:spacing w:line="360" w:lineRule="auto"/>
        <w:ind w:firstLine="420" w:firstLineChars="200"/>
        <w:rPr>
          <w:rFonts w:ascii="宋体"/>
        </w:rPr>
      </w:pPr>
      <w:r>
        <w:rPr>
          <w:rFonts w:ascii="宋体" w:hAnsi="宋体"/>
        </w:rPr>
        <w:t xml:space="preserve">4.1.4  </w:t>
      </w:r>
      <w:r>
        <w:rPr>
          <w:rFonts w:hint="eastAsia" w:ascii="宋体" w:hAnsi="宋体"/>
        </w:rPr>
        <w:t>销项税额</w:t>
      </w:r>
    </w:p>
    <w:p>
      <w:pPr>
        <w:spacing w:line="360" w:lineRule="auto"/>
        <w:ind w:firstLine="420" w:firstLineChars="200"/>
        <w:rPr>
          <w:rFonts w:ascii="宋体"/>
        </w:rPr>
      </w:pPr>
      <w:r>
        <w:rPr>
          <w:rFonts w:hint="eastAsia" w:ascii="宋体" w:hAnsi="宋体"/>
        </w:rPr>
        <w:t>销项税额，是指纳税人发生应税行为按照销售额和增值税税率计算并收取的增值税额。销项乘客计算公式：销项税额＝销售额</w:t>
      </w:r>
      <w:r>
        <w:rPr>
          <w:rFonts w:ascii="Arial" w:hAnsi="Arial" w:cs="Arial"/>
        </w:rPr>
        <w:t>×</w:t>
      </w:r>
      <w:r>
        <w:rPr>
          <w:rFonts w:hint="eastAsia" w:ascii="Arial" w:hAnsi="Arial" w:cs="Arial"/>
        </w:rPr>
        <w:t>税率。</w:t>
      </w:r>
    </w:p>
    <w:p>
      <w:pPr>
        <w:spacing w:line="360" w:lineRule="auto"/>
        <w:ind w:firstLine="420" w:firstLineChars="200"/>
        <w:rPr>
          <w:rFonts w:ascii="宋体"/>
        </w:rPr>
      </w:pPr>
      <w:r>
        <w:rPr>
          <w:rFonts w:ascii="宋体" w:hAnsi="宋体"/>
        </w:rPr>
        <w:t xml:space="preserve">4.1.5  </w:t>
      </w:r>
      <w:r>
        <w:rPr>
          <w:rFonts w:hint="eastAsia" w:ascii="宋体" w:hAnsi="宋体"/>
        </w:rPr>
        <w:t>进项税额</w:t>
      </w:r>
    </w:p>
    <w:p>
      <w:pPr>
        <w:spacing w:line="360" w:lineRule="auto"/>
        <w:ind w:firstLine="420" w:firstLineChars="200"/>
        <w:rPr>
          <w:rFonts w:ascii="宋体"/>
        </w:rPr>
      </w:pPr>
      <w:r>
        <w:rPr>
          <w:rFonts w:hint="eastAsia" w:ascii="宋体" w:hAnsi="宋体"/>
        </w:rPr>
        <w:t>进项税额，是指纳税人发生购进货物、加工修理修配劳务、服务、无形资产或者不动产，支付或者负担的增值税额。</w:t>
      </w:r>
    </w:p>
    <w:p>
      <w:pPr>
        <w:spacing w:line="360" w:lineRule="auto"/>
        <w:ind w:firstLine="420" w:firstLineChars="200"/>
        <w:rPr>
          <w:rFonts w:ascii="宋体"/>
        </w:rPr>
      </w:pPr>
      <w:r>
        <w:rPr>
          <w:rFonts w:ascii="宋体" w:hAnsi="宋体"/>
        </w:rPr>
        <w:t xml:space="preserve">4.1.6 </w:t>
      </w:r>
      <w:r>
        <w:rPr>
          <w:rFonts w:hint="eastAsia" w:ascii="宋体" w:hAnsi="宋体"/>
        </w:rPr>
        <w:t>附加税额</w:t>
      </w:r>
    </w:p>
    <w:p>
      <w:pPr>
        <w:spacing w:line="360" w:lineRule="auto"/>
        <w:ind w:firstLine="420" w:firstLineChars="200"/>
        <w:rPr>
          <w:rFonts w:ascii="宋体"/>
        </w:rPr>
      </w:pPr>
      <w:r>
        <w:rPr>
          <w:rFonts w:hint="eastAsia" w:ascii="宋体" w:hAnsi="宋体"/>
        </w:rPr>
        <w:t>附加征收税费包括城市维护建设税、教育费附加和地方教育附加。</w:t>
      </w:r>
    </w:p>
    <w:p>
      <w:pPr>
        <w:spacing w:line="360" w:lineRule="auto"/>
        <w:ind w:firstLine="420" w:firstLineChars="200"/>
        <w:rPr>
          <w:rFonts w:ascii="宋体"/>
          <w:b/>
        </w:rPr>
      </w:pPr>
      <w:r>
        <w:rPr>
          <w:rFonts w:ascii="宋体" w:hAnsi="宋体"/>
        </w:rPr>
        <w:t xml:space="preserve">4.1.7 </w:t>
      </w:r>
      <w:r>
        <w:rPr>
          <w:rFonts w:hint="eastAsia" w:ascii="宋体" w:hAnsi="宋体"/>
          <w:bCs/>
        </w:rPr>
        <w:t>措施项目</w:t>
      </w:r>
    </w:p>
    <w:p>
      <w:pPr>
        <w:spacing w:line="360" w:lineRule="auto"/>
        <w:ind w:firstLine="420" w:firstLineChars="200"/>
        <w:rPr>
          <w:rFonts w:ascii="宋体"/>
        </w:rPr>
      </w:pPr>
      <w:r>
        <w:rPr>
          <w:rFonts w:hint="eastAsia" w:ascii="宋体" w:hAnsi="宋体"/>
        </w:rPr>
        <w:t>为完成工程项目施工，发生于该工程施工准备和施工过程中的技术、生活、安全、环境保护等方面的项目。</w:t>
      </w:r>
    </w:p>
    <w:p>
      <w:pPr>
        <w:spacing w:line="360" w:lineRule="auto"/>
        <w:ind w:firstLine="420" w:firstLineChars="200"/>
        <w:rPr>
          <w:rFonts w:ascii="宋体"/>
        </w:rPr>
      </w:pPr>
      <w:r>
        <w:rPr>
          <w:rFonts w:ascii="宋体" w:hAnsi="宋体"/>
        </w:rPr>
        <w:t xml:space="preserve">4.1.8 </w:t>
      </w:r>
      <w:r>
        <w:rPr>
          <w:rFonts w:hint="eastAsia" w:ascii="宋体" w:hAnsi="宋体"/>
        </w:rPr>
        <w:t>风险费用</w:t>
      </w:r>
    </w:p>
    <w:p>
      <w:pPr>
        <w:spacing w:line="360" w:lineRule="auto"/>
        <w:ind w:firstLine="420" w:firstLineChars="200"/>
        <w:rPr>
          <w:rFonts w:ascii="宋体"/>
        </w:rPr>
      </w:pPr>
      <w:r>
        <w:rPr>
          <w:rFonts w:hint="eastAsia" w:ascii="宋体" w:hAnsi="宋体"/>
        </w:rPr>
        <w:t>隐含于已标价工程量清单综合单价中，用于化解发承包双方在工程合同中约定内容和范围内的市场价格波动风险的费用。</w:t>
      </w:r>
    </w:p>
    <w:p>
      <w:pPr>
        <w:spacing w:line="360" w:lineRule="auto"/>
        <w:ind w:firstLine="420" w:firstLineChars="200"/>
        <w:rPr>
          <w:rFonts w:ascii="宋体"/>
          <w:bCs/>
        </w:rPr>
      </w:pPr>
      <w:r>
        <w:rPr>
          <w:rFonts w:ascii="宋体" w:hAnsi="宋体"/>
          <w:bCs/>
        </w:rPr>
        <w:t xml:space="preserve">4.1.9 </w:t>
      </w:r>
      <w:r>
        <w:rPr>
          <w:rFonts w:hint="eastAsia" w:ascii="宋体" w:hAnsi="宋体"/>
          <w:bCs/>
        </w:rPr>
        <w:t>暂列金额</w:t>
      </w:r>
    </w:p>
    <w:p>
      <w:pPr>
        <w:spacing w:line="360" w:lineRule="auto"/>
        <w:ind w:firstLine="420" w:firstLineChars="200"/>
        <w:rPr>
          <w:rFonts w:ascii="宋体"/>
          <w:bCs/>
        </w:rPr>
      </w:pPr>
      <w:r>
        <w:rPr>
          <w:rFonts w:hint="eastAsia" w:ascii="宋体" w:hAnsi="宋体"/>
          <w:bCs/>
        </w:rPr>
        <w:t>招标人在工程量清单中暂定并包括在合同价款中的一笔款项。用于工程合同签订时尚未确定或者不可预见的所需材料、工程设备、服务的采购，施工中可能发生的工程变更、合同约定调整因素出现时的合同价款调整以及发生的索赔、现场签证确定等的费用。</w:t>
      </w:r>
    </w:p>
    <w:p>
      <w:pPr>
        <w:spacing w:line="360" w:lineRule="auto"/>
        <w:ind w:firstLine="420" w:firstLineChars="200"/>
        <w:rPr>
          <w:rFonts w:ascii="宋体"/>
          <w:bCs/>
        </w:rPr>
      </w:pPr>
      <w:r>
        <w:rPr>
          <w:rFonts w:ascii="宋体" w:hAnsi="宋体"/>
          <w:bCs/>
        </w:rPr>
        <w:t>4.1.10</w:t>
      </w:r>
      <w:r>
        <w:rPr>
          <w:rFonts w:hint="eastAsia" w:ascii="宋体" w:hAnsi="宋体"/>
          <w:bCs/>
        </w:rPr>
        <w:t>暂估价</w:t>
      </w:r>
    </w:p>
    <w:p>
      <w:pPr>
        <w:spacing w:line="360" w:lineRule="auto"/>
        <w:ind w:firstLine="420" w:firstLineChars="200"/>
        <w:rPr>
          <w:rFonts w:ascii="宋体"/>
          <w:bCs/>
        </w:rPr>
      </w:pPr>
      <w:r>
        <w:rPr>
          <w:rFonts w:hint="eastAsia" w:ascii="宋体" w:hAnsi="宋体"/>
          <w:bCs/>
        </w:rPr>
        <w:t>招标人在工程量清单中提供的用于支付必然发生但暂时不能确定价格的材料、工程设备的单价以及专业工程的金额。</w:t>
      </w:r>
    </w:p>
    <w:p>
      <w:pPr>
        <w:spacing w:line="360" w:lineRule="auto"/>
        <w:ind w:firstLine="420" w:firstLineChars="200"/>
        <w:rPr>
          <w:rFonts w:ascii="宋体"/>
          <w:b/>
        </w:rPr>
      </w:pPr>
      <w:r>
        <w:rPr>
          <w:rFonts w:ascii="宋体" w:hAnsi="宋体"/>
          <w:bCs/>
        </w:rPr>
        <w:t>4.1.11</w:t>
      </w:r>
      <w:r>
        <w:rPr>
          <w:rFonts w:hint="eastAsia" w:ascii="宋体" w:hAnsi="宋体"/>
          <w:bCs/>
        </w:rPr>
        <w:t>规费</w:t>
      </w:r>
    </w:p>
    <w:p>
      <w:pPr>
        <w:spacing w:line="360" w:lineRule="auto"/>
        <w:ind w:firstLine="420" w:firstLineChars="200"/>
        <w:rPr>
          <w:rFonts w:ascii="宋体"/>
        </w:rPr>
      </w:pPr>
      <w:r>
        <w:rPr>
          <w:rFonts w:hint="eastAsia" w:ascii="宋体" w:hAnsi="宋体"/>
        </w:rPr>
        <w:t>根据国家法律、法规规定，由省级政府或省级有关权力部门规定施工企业必须缴纳的，应计入建筑安装工程造价的费用。规费项目包括工程排污费、职工教育和工会经费、住房公积金、安全生产责任险及社会保险费。</w:t>
      </w:r>
    </w:p>
    <w:p>
      <w:pPr>
        <w:spacing w:line="360" w:lineRule="auto"/>
        <w:ind w:firstLine="420" w:firstLineChars="200"/>
        <w:rPr>
          <w:rFonts w:ascii="宋体"/>
          <w:b/>
        </w:rPr>
      </w:pPr>
      <w:r>
        <w:rPr>
          <w:rFonts w:ascii="宋体" w:hAnsi="宋体"/>
        </w:rPr>
        <w:t>4.1.12</w:t>
      </w:r>
      <w:r>
        <w:rPr>
          <w:rFonts w:hint="eastAsia" w:ascii="宋体" w:hAnsi="宋体"/>
          <w:bCs/>
        </w:rPr>
        <w:t>签约合同价（合同价款）</w:t>
      </w:r>
    </w:p>
    <w:p>
      <w:pPr>
        <w:spacing w:line="360" w:lineRule="auto"/>
        <w:ind w:firstLine="420" w:firstLineChars="200"/>
        <w:rPr>
          <w:rFonts w:ascii="宋体"/>
        </w:rPr>
      </w:pPr>
      <w:r>
        <w:rPr>
          <w:rFonts w:hint="eastAsia" w:ascii="宋体" w:hAnsi="宋体"/>
        </w:rPr>
        <w:t>发承包双方在工程合同中约定的工程造价，即包括直接费、</w:t>
      </w:r>
      <w:r>
        <w:rPr>
          <w:rFonts w:hint="eastAsia" w:ascii="宋体" w:hAnsi="宋体" w:cs="宋体"/>
        </w:rPr>
        <w:t>各项费用和利润、税金（销项税额、应纳税额）和附加税额、其他项目费组成</w:t>
      </w:r>
      <w:r>
        <w:rPr>
          <w:rFonts w:hint="eastAsia" w:ascii="宋体" w:hAnsi="宋体"/>
        </w:rPr>
        <w:t>。</w:t>
      </w:r>
    </w:p>
    <w:p>
      <w:pPr>
        <w:spacing w:beforeLines="10" w:afterLines="20" w:line="360" w:lineRule="auto"/>
        <w:ind w:firstLine="420" w:firstLineChars="200"/>
        <w:rPr>
          <w:rFonts w:ascii="宋体"/>
          <w:bCs/>
        </w:rPr>
      </w:pPr>
      <w:r>
        <w:rPr>
          <w:rFonts w:ascii="宋体" w:hAnsi="宋体"/>
        </w:rPr>
        <w:t xml:space="preserve">4.1.13 </w:t>
      </w:r>
      <w:r>
        <w:rPr>
          <w:rFonts w:hint="eastAsia" w:ascii="宋体" w:hAnsi="宋体"/>
          <w:bCs/>
        </w:rPr>
        <w:t>总价</w:t>
      </w:r>
      <w:r>
        <w:rPr>
          <w:rFonts w:hint="eastAsia" w:ascii="宋体" w:hAnsi="宋体"/>
        </w:rPr>
        <w:t>项目</w:t>
      </w:r>
    </w:p>
    <w:p>
      <w:pPr>
        <w:spacing w:line="360" w:lineRule="auto"/>
        <w:ind w:firstLine="420" w:firstLineChars="200"/>
        <w:rPr>
          <w:rFonts w:ascii="宋体"/>
        </w:rPr>
      </w:pPr>
      <w:r>
        <w:rPr>
          <w:rFonts w:hint="eastAsia" w:ascii="宋体" w:hAnsi="宋体"/>
        </w:rPr>
        <w:t>工程量清单中以总价计价，以“项”为计量单位，工程量为整数</w:t>
      </w:r>
      <w:r>
        <w:rPr>
          <w:rFonts w:ascii="宋体" w:hAnsi="宋体"/>
        </w:rPr>
        <w:t>1</w:t>
      </w:r>
      <w:r>
        <w:rPr>
          <w:rFonts w:hint="eastAsia" w:ascii="宋体" w:hAnsi="宋体"/>
        </w:rPr>
        <w:t>的</w:t>
      </w:r>
      <w:r>
        <w:rPr>
          <w:rFonts w:hint="eastAsia" w:ascii="宋体" w:hAnsi="宋体"/>
          <w:sz w:val="20"/>
          <w:szCs w:val="21"/>
        </w:rPr>
        <w:t>项目</w:t>
      </w:r>
      <w:r>
        <w:rPr>
          <w:rFonts w:hint="eastAsia" w:ascii="宋体" w:hAnsi="宋体"/>
        </w:rPr>
        <w:t>，除专用合同条款另有约定外，总价固定包干。采用总价合同形式时，合同订立后，已标价工程量清单中的工程量均没有合同约束力，所有项目均是总价项目，视同按项计量（合同条款第</w:t>
      </w:r>
      <w:r>
        <w:rPr>
          <w:rFonts w:ascii="宋体" w:hAnsi="宋体"/>
        </w:rPr>
        <w:t>10</w:t>
      </w:r>
      <w:r>
        <w:rPr>
          <w:rFonts w:hint="eastAsia" w:ascii="宋体" w:hAnsi="宋体"/>
        </w:rPr>
        <w:t>条约定的变更除外）。</w:t>
      </w:r>
    </w:p>
    <w:p>
      <w:pPr>
        <w:spacing w:beforeLines="10" w:afterLines="20" w:line="360" w:lineRule="auto"/>
        <w:ind w:firstLine="420" w:firstLineChars="200"/>
        <w:rPr>
          <w:rFonts w:ascii="宋体"/>
          <w:b/>
        </w:rPr>
      </w:pPr>
      <w:r>
        <w:rPr>
          <w:rFonts w:ascii="宋体" w:hAnsi="宋体"/>
        </w:rPr>
        <w:t xml:space="preserve">4.1.14 </w:t>
      </w:r>
      <w:r>
        <w:rPr>
          <w:rFonts w:hint="eastAsia" w:ascii="宋体" w:hAnsi="宋体"/>
          <w:bCs/>
        </w:rPr>
        <w:t>单价</w:t>
      </w:r>
      <w:r>
        <w:rPr>
          <w:rFonts w:hint="eastAsia" w:ascii="宋体" w:hAnsi="宋体"/>
        </w:rPr>
        <w:t>项目</w:t>
      </w:r>
    </w:p>
    <w:p>
      <w:pPr>
        <w:spacing w:line="360" w:lineRule="auto"/>
        <w:ind w:firstLine="420" w:firstLineChars="200"/>
        <w:rPr>
          <w:rFonts w:ascii="宋体"/>
        </w:rPr>
      </w:pPr>
      <w:r>
        <w:rPr>
          <w:rFonts w:hint="eastAsia" w:ascii="宋体" w:hAnsi="宋体"/>
        </w:rPr>
        <w:t>工程量清单中以单价计价，根据有合同约束力的图纸和工程量计算规则进行计量，以实际完成数量乘以相应单价进行结算的</w:t>
      </w:r>
      <w:r>
        <w:rPr>
          <w:rFonts w:hint="eastAsia" w:ascii="宋体" w:hAnsi="宋体"/>
          <w:szCs w:val="21"/>
        </w:rPr>
        <w:t>项目</w:t>
      </w:r>
      <w:r>
        <w:rPr>
          <w:rFonts w:hint="eastAsia" w:ascii="宋体" w:hAnsi="宋体"/>
        </w:rPr>
        <w:t>。</w:t>
      </w:r>
    </w:p>
    <w:p>
      <w:pPr>
        <w:spacing w:beforeLines="10" w:afterLines="20" w:line="360" w:lineRule="auto"/>
        <w:ind w:firstLine="420" w:firstLineChars="200"/>
        <w:rPr>
          <w:rFonts w:ascii="宋体"/>
          <w:b/>
        </w:rPr>
      </w:pPr>
      <w:r>
        <w:rPr>
          <w:rFonts w:ascii="宋体" w:hAnsi="宋体"/>
        </w:rPr>
        <w:t xml:space="preserve">4.1.15 </w:t>
      </w:r>
      <w:r>
        <w:rPr>
          <w:rFonts w:hint="eastAsia" w:ascii="宋体" w:hAnsi="宋体"/>
        </w:rPr>
        <w:t>项目</w:t>
      </w:r>
      <w:r>
        <w:rPr>
          <w:rFonts w:hint="eastAsia" w:ascii="宋体" w:hAnsi="宋体"/>
          <w:bCs/>
        </w:rPr>
        <w:t>编码</w:t>
      </w:r>
    </w:p>
    <w:p>
      <w:pPr>
        <w:spacing w:line="360" w:lineRule="auto"/>
        <w:ind w:firstLine="420" w:firstLineChars="200"/>
        <w:rPr>
          <w:rFonts w:ascii="宋体"/>
        </w:rPr>
      </w:pPr>
      <w:r>
        <w:rPr>
          <w:rFonts w:hint="eastAsia" w:ascii="宋体" w:hAnsi="宋体"/>
        </w:rPr>
        <w:t>分部分项工程项目清单中所列的项目名称的数字标识和代码，项目编码与项目编码同义。</w:t>
      </w:r>
    </w:p>
    <w:p>
      <w:pPr>
        <w:spacing w:beforeLines="20" w:afterLines="20" w:line="360" w:lineRule="auto"/>
        <w:ind w:firstLine="420" w:firstLineChars="200"/>
        <w:rPr>
          <w:rFonts w:ascii="宋体"/>
          <w:b/>
        </w:rPr>
      </w:pPr>
      <w:r>
        <w:rPr>
          <w:rFonts w:ascii="宋体" w:hAnsi="宋体"/>
        </w:rPr>
        <w:t xml:space="preserve">4.1.16 </w:t>
      </w:r>
      <w:r>
        <w:rPr>
          <w:rFonts w:hint="eastAsia" w:ascii="宋体" w:hAnsi="宋体"/>
        </w:rPr>
        <w:t>项目</w:t>
      </w:r>
      <w:r>
        <w:rPr>
          <w:rFonts w:hint="eastAsia" w:ascii="宋体" w:hAnsi="宋体"/>
          <w:bCs/>
        </w:rPr>
        <w:t>特征</w:t>
      </w:r>
    </w:p>
    <w:p>
      <w:pPr>
        <w:spacing w:line="360" w:lineRule="auto"/>
        <w:ind w:firstLine="420" w:firstLineChars="200"/>
        <w:rPr>
          <w:rFonts w:ascii="宋体"/>
        </w:rPr>
      </w:pPr>
      <w:r>
        <w:rPr>
          <w:rFonts w:hint="eastAsia" w:ascii="宋体" w:hAnsi="宋体"/>
        </w:rPr>
        <w:t>构成分部分项工程项目清单项目、措施项目的实质内容、决定其自身价值的本质特征。</w:t>
      </w:r>
    </w:p>
    <w:p>
      <w:pPr>
        <w:spacing w:beforeLines="20" w:afterLines="20" w:line="360" w:lineRule="auto"/>
        <w:ind w:firstLine="420" w:firstLineChars="200"/>
        <w:rPr>
          <w:rFonts w:ascii="宋体"/>
          <w:bCs/>
        </w:rPr>
      </w:pPr>
      <w:r>
        <w:rPr>
          <w:rFonts w:ascii="宋体" w:hAnsi="宋体"/>
        </w:rPr>
        <w:t xml:space="preserve">4.1.17 </w:t>
      </w:r>
      <w:r>
        <w:rPr>
          <w:rFonts w:hint="eastAsia" w:ascii="宋体" w:hAnsi="宋体"/>
          <w:bCs/>
        </w:rPr>
        <w:t>总承包服务费</w:t>
      </w:r>
    </w:p>
    <w:p>
      <w:pPr>
        <w:spacing w:line="360" w:lineRule="auto"/>
        <w:ind w:firstLine="420" w:firstLineChars="200"/>
        <w:rPr>
          <w:rFonts w:ascii="宋体"/>
        </w:rPr>
      </w:pPr>
      <w:r>
        <w:rPr>
          <w:rFonts w:hint="eastAsia" w:ascii="宋体" w:hAnsi="宋体"/>
        </w:rPr>
        <w:t>总承包人为配合协调发包人进行的施工图纸会审交底，相关单位及周边环境的协调管理，相关施工项目的衔接协调、隐蔽工程及疑难问题的研究处理，分部分项工程质量的相关竣工验收，技术经济资料的归口管理等一系列由施工到竣工验收过程中招标人与分包人的工作都必须有总包单位参入协调管理的支出费用。已包含在分包专业工程造价中。</w:t>
      </w:r>
    </w:p>
    <w:p>
      <w:pPr>
        <w:spacing w:line="360" w:lineRule="auto"/>
        <w:ind w:firstLine="420" w:firstLineChars="200"/>
        <w:rPr>
          <w:rFonts w:ascii="宋体"/>
        </w:rPr>
      </w:pPr>
      <w:r>
        <w:rPr>
          <w:rFonts w:ascii="宋体" w:hAnsi="宋体"/>
        </w:rPr>
        <w:t>4.1.18</w:t>
      </w:r>
      <w:r>
        <w:rPr>
          <w:rFonts w:hint="eastAsia" w:ascii="宋体" w:hAnsi="宋体"/>
        </w:rPr>
        <w:t>工程配套费</w:t>
      </w:r>
    </w:p>
    <w:p>
      <w:pPr>
        <w:spacing w:line="360" w:lineRule="auto"/>
        <w:ind w:firstLine="420" w:firstLineChars="200"/>
        <w:rPr>
          <w:rFonts w:ascii="宋体"/>
          <w:b/>
        </w:rPr>
      </w:pPr>
      <w:r>
        <w:rPr>
          <w:rFonts w:hint="eastAsia" w:ascii="宋体" w:hAnsi="宋体"/>
        </w:rPr>
        <w:t>专业工程分包人利用总承包人的脚手架、施工及生活用水用电、垂直运输机械；分包人施工引起的结构表面修补；临时设施的使用；建筑垃圾的清理外运等所需的费用。已包含在分包专业工程造价中。</w:t>
      </w:r>
    </w:p>
    <w:p>
      <w:pPr>
        <w:spacing w:beforeLines="20" w:afterLines="20" w:line="360" w:lineRule="auto"/>
        <w:ind w:firstLine="420" w:firstLineChars="200"/>
        <w:rPr>
          <w:rFonts w:ascii="宋体"/>
          <w:b/>
        </w:rPr>
      </w:pPr>
      <w:r>
        <w:rPr>
          <w:rFonts w:ascii="宋体" w:hAnsi="宋体"/>
        </w:rPr>
        <w:t>4.1.19</w:t>
      </w:r>
      <w:r>
        <w:rPr>
          <w:rFonts w:hint="eastAsia" w:ascii="宋体" w:hAnsi="宋体"/>
          <w:bCs/>
        </w:rPr>
        <w:t>同义词语</w:t>
      </w:r>
    </w:p>
    <w:p>
      <w:pPr>
        <w:spacing w:line="360" w:lineRule="auto"/>
        <w:ind w:firstLine="420" w:firstLineChars="200"/>
        <w:rPr>
          <w:rFonts w:ascii="宋体"/>
        </w:rPr>
      </w:pPr>
      <w:r>
        <w:rPr>
          <w:rFonts w:hint="eastAsia" w:ascii="宋体" w:hAnsi="宋体"/>
        </w:rPr>
        <w:t>本章中使用的词语“招标人”和“投标人”分别与合同条款中定义的“发包人”和“承包人”同义。</w:t>
      </w:r>
    </w:p>
    <w:p>
      <w:pPr>
        <w:pStyle w:val="6"/>
        <w:rPr>
          <w:rFonts w:ascii="黑体" w:hAnsi="黑体" w:eastAsia="黑体"/>
          <w:b w:val="0"/>
          <w:bCs w:val="0"/>
          <w:sz w:val="24"/>
        </w:rPr>
      </w:pPr>
      <w:r>
        <w:rPr>
          <w:rFonts w:ascii="黑体" w:hAnsi="黑体" w:eastAsia="黑体"/>
          <w:b w:val="0"/>
          <w:bCs w:val="0"/>
          <w:sz w:val="24"/>
        </w:rPr>
        <w:t xml:space="preserve">4.2 </w:t>
      </w:r>
      <w:r>
        <w:rPr>
          <w:rFonts w:hint="eastAsia" w:ascii="黑体" w:hAnsi="黑体" w:eastAsia="黑体"/>
          <w:b w:val="0"/>
          <w:bCs w:val="0"/>
          <w:sz w:val="24"/>
        </w:rPr>
        <w:t>工程量差异调整</w:t>
      </w:r>
    </w:p>
    <w:p>
      <w:pPr>
        <w:spacing w:line="360" w:lineRule="auto"/>
        <w:ind w:firstLine="420" w:firstLineChars="200"/>
        <w:rPr>
          <w:rFonts w:ascii="宋体"/>
        </w:rPr>
      </w:pPr>
      <w:r>
        <w:rPr>
          <w:rFonts w:ascii="宋体" w:hAnsi="宋体"/>
        </w:rPr>
        <w:t xml:space="preserve">4.2.1 </w:t>
      </w:r>
      <w:r>
        <w:rPr>
          <w:rFonts w:hint="eastAsia" w:ascii="宋体" w:hAnsi="宋体"/>
        </w:rPr>
        <w:t>工程量清单中的工作内容分类、</w:t>
      </w:r>
      <w:r>
        <w:rPr>
          <w:rFonts w:hint="eastAsia" w:ascii="宋体" w:hAnsi="宋体"/>
          <w:szCs w:val="21"/>
        </w:rPr>
        <w:t>项目</w:t>
      </w:r>
      <w:r>
        <w:rPr>
          <w:rFonts w:hint="eastAsia" w:ascii="宋体" w:hAnsi="宋体"/>
        </w:rPr>
        <w:t>列项、特征描述以及“</w:t>
      </w:r>
      <w:r>
        <w:rPr>
          <w:rFonts w:hint="eastAsia" w:ascii="宋体" w:hAnsi="宋体" w:cs="宋体"/>
        </w:rPr>
        <w:t>单位工程工程量清单与造价表</w:t>
      </w:r>
      <w:r>
        <w:rPr>
          <w:rFonts w:hint="eastAsia" w:ascii="宋体" w:hAnsi="宋体"/>
        </w:rPr>
        <w:t>”中附带的工程量都不应理解为是对承包（招标）范围以及合同工作内容的唯一的、最终的或全部的定义。</w:t>
      </w:r>
    </w:p>
    <w:p>
      <w:pPr>
        <w:spacing w:line="360" w:lineRule="auto"/>
        <w:ind w:firstLine="420" w:firstLineChars="200"/>
        <w:rPr>
          <w:rFonts w:ascii="宋体"/>
        </w:rPr>
      </w:pPr>
      <w:r>
        <w:rPr>
          <w:rFonts w:ascii="宋体" w:hAnsi="宋体"/>
        </w:rPr>
        <w:t>4.2.2</w:t>
      </w:r>
      <w:r>
        <w:rPr>
          <w:rFonts w:hint="eastAsia" w:ascii="宋体" w:hAnsi="宋体"/>
          <w:spacing w:val="-2"/>
          <w:szCs w:val="21"/>
        </w:rPr>
        <w:t>投标人可对招标人提供的工程量清单进行认真细致的复核。这种复核包括对招标人提供的工程量清单中的项目编码、项目名称、项目特征描述、计量单位、工程量的准确性以及可能存在的任何书写、打印错误进行检查和复核，特别是对“</w:t>
      </w:r>
      <w:r>
        <w:rPr>
          <w:rFonts w:hint="eastAsia" w:ascii="宋体" w:hAnsi="宋体" w:cs="宋体"/>
        </w:rPr>
        <w:t>单位工程工程量清单与造价表</w:t>
      </w:r>
      <w:r>
        <w:rPr>
          <w:rFonts w:hint="eastAsia" w:ascii="宋体" w:hAnsi="宋体"/>
          <w:spacing w:val="-2"/>
          <w:szCs w:val="21"/>
        </w:rPr>
        <w:t>”中每个项目的工程量进行重新计算和校核。如果投标人经过检查和复核以后认为招标人提供的工程量清单及项目特征描述存在差异，则投标人应将此类差异的详细情况连同按投标人须知规定提交的要求招标人澄清的其他问题一起提交给招标人，招标人将根据实际情况决定是否颁发工程量清单的补充和（或）修改文件。</w:t>
      </w:r>
    </w:p>
    <w:p>
      <w:pPr>
        <w:spacing w:line="360" w:lineRule="auto"/>
        <w:ind w:firstLine="420" w:firstLineChars="200"/>
        <w:rPr>
          <w:rFonts w:ascii="宋体"/>
        </w:rPr>
      </w:pPr>
      <w:r>
        <w:rPr>
          <w:rFonts w:ascii="宋体" w:hAnsi="宋体"/>
        </w:rPr>
        <w:t xml:space="preserve">4.2.3 </w:t>
      </w:r>
      <w:r>
        <w:rPr>
          <w:rFonts w:hint="eastAsia" w:ascii="宋体" w:hAnsi="宋体"/>
        </w:rPr>
        <w:t>如果招标人在检查投标人根据上文第</w:t>
      </w:r>
      <w:r>
        <w:rPr>
          <w:rFonts w:ascii="宋体" w:hAnsi="宋体"/>
        </w:rPr>
        <w:t>4.2.2</w:t>
      </w:r>
      <w:r>
        <w:rPr>
          <w:rFonts w:hint="eastAsia" w:ascii="宋体" w:hAnsi="宋体"/>
        </w:rPr>
        <w:t>项提交的工程量差异问题后认为没有必要对工程量清单进行补充和（或）修改，或者招标人根据上文第</w:t>
      </w:r>
      <w:r>
        <w:rPr>
          <w:rFonts w:ascii="宋体" w:hAnsi="宋体"/>
        </w:rPr>
        <w:t>4.2.2</w:t>
      </w:r>
      <w:r>
        <w:rPr>
          <w:rFonts w:hint="eastAsia" w:ascii="宋体" w:hAnsi="宋体"/>
        </w:rPr>
        <w:t>项对工程量清单进行了补充和（或）修改，但投标人认为工程量清单中的工程量依然存在差异，则此类差异不再提交招标人答疑和修正，而是直接按招标人提供的工程量清单（包括招标人可能的补充和（或）修改）进行投标报价。投标人在按照工程量清单进行报价时，除按照本节</w:t>
      </w:r>
      <w:r>
        <w:rPr>
          <w:rFonts w:ascii="宋体" w:hAnsi="宋体"/>
        </w:rPr>
        <w:t>4.2.2</w:t>
      </w:r>
      <w:r>
        <w:rPr>
          <w:rFonts w:hint="eastAsia" w:ascii="宋体" w:hAnsi="宋体"/>
        </w:rPr>
        <w:t>项要求对招标人提供的工程量清单的内容进行细化或增减外，不得改变（包括对工程量清单的项目名称、项目特征描述、计量单位以及工程量的任何修改、增加或减少）招标人提供的</w:t>
      </w:r>
      <w:r>
        <w:rPr>
          <w:rFonts w:hint="eastAsia" w:ascii="宋体" w:hAnsi="宋体" w:cs="宋体"/>
        </w:rPr>
        <w:t>单位工程工程量清单与造价表</w:t>
      </w:r>
      <w:r>
        <w:rPr>
          <w:rFonts w:hint="eastAsia" w:ascii="宋体" w:hAnsi="宋体"/>
        </w:rPr>
        <w:t>。即使按照图纸和招标范围的约定并不存在的清单项目，只要在招标人提供的工程量清单中已经列明，投标人都需要对其报价，并纳入投标总价的计算。</w:t>
      </w:r>
    </w:p>
    <w:p>
      <w:pPr>
        <w:pStyle w:val="6"/>
        <w:rPr>
          <w:rFonts w:ascii="黑体" w:hAnsi="黑体" w:eastAsia="黑体"/>
          <w:b w:val="0"/>
          <w:bCs w:val="0"/>
          <w:sz w:val="24"/>
        </w:rPr>
      </w:pPr>
      <w:r>
        <w:rPr>
          <w:rFonts w:ascii="黑体" w:hAnsi="黑体" w:eastAsia="黑体"/>
          <w:b w:val="0"/>
          <w:bCs w:val="0"/>
          <w:sz w:val="24"/>
        </w:rPr>
        <w:t xml:space="preserve">4.3 </w:t>
      </w:r>
      <w:r>
        <w:rPr>
          <w:rFonts w:hint="eastAsia" w:ascii="黑体" w:hAnsi="黑体" w:eastAsia="黑体"/>
          <w:b w:val="0"/>
          <w:bCs w:val="0"/>
          <w:sz w:val="24"/>
        </w:rPr>
        <w:t>暂列金额和暂估价</w:t>
      </w:r>
    </w:p>
    <w:p>
      <w:pPr>
        <w:spacing w:line="360" w:lineRule="auto"/>
        <w:ind w:firstLine="420" w:firstLineChars="200"/>
        <w:rPr>
          <w:rFonts w:ascii="宋体"/>
        </w:rPr>
      </w:pPr>
      <w:r>
        <w:rPr>
          <w:rFonts w:ascii="宋体" w:hAnsi="宋体"/>
        </w:rPr>
        <w:t xml:space="preserve">4.3.1 </w:t>
      </w:r>
      <w:r>
        <w:rPr>
          <w:rFonts w:hint="eastAsia" w:ascii="宋体" w:hAnsi="宋体"/>
        </w:rPr>
        <w:t>“暂列金额明细表”中所列暂列金额已经包含与其对应的各项费用（含管理费、规费）和利润。投标人应按本招标文件规定将此类暂列金额计入投标总价。</w:t>
      </w:r>
    </w:p>
    <w:p>
      <w:pPr>
        <w:spacing w:line="360" w:lineRule="auto"/>
        <w:ind w:firstLine="420" w:firstLineChars="200"/>
        <w:rPr>
          <w:rFonts w:ascii="宋体"/>
        </w:rPr>
      </w:pPr>
      <w:r>
        <w:rPr>
          <w:rFonts w:ascii="宋体" w:hAnsi="宋体"/>
        </w:rPr>
        <w:t xml:space="preserve">4.3.2 </w:t>
      </w:r>
      <w:r>
        <w:rPr>
          <w:rFonts w:hint="eastAsia" w:ascii="宋体" w:hAnsi="宋体"/>
        </w:rPr>
        <w:t>“材料（工程设备）暂估单价及调整表”中所列的材料和工程设备暂估价是</w:t>
      </w:r>
      <w:r>
        <w:rPr>
          <w:rFonts w:hint="eastAsia" w:ascii="宋体" w:hAnsi="宋体" w:cs="宋体"/>
        </w:rPr>
        <w:t>指此类材料和工程设备到达施工现场指定堆放地点的落地价格及发生的采购保管费，即包括采购、包装、运输、装卸、堆放等到达施工现场指定落地或堆放地点之前的全部费用及落地之后发生的仓储、保管、仓储损耗等费用，但是</w:t>
      </w:r>
      <w:r>
        <w:rPr>
          <w:rFonts w:hint="eastAsia" w:ascii="宋体" w:hAnsi="宋体"/>
        </w:rPr>
        <w:t>不包括其本身所对应的</w:t>
      </w:r>
      <w:r>
        <w:rPr>
          <w:rFonts w:hint="eastAsia" w:ascii="宋体" w:hAnsi="宋体" w:cs="宋体"/>
        </w:rPr>
        <w:t>各项费用</w:t>
      </w:r>
      <w:r>
        <w:rPr>
          <w:rFonts w:hint="eastAsia" w:ascii="宋体" w:hAnsi="宋体"/>
        </w:rPr>
        <w:t>（含管理费、规费）</w:t>
      </w:r>
      <w:r>
        <w:rPr>
          <w:rFonts w:hint="eastAsia" w:ascii="宋体" w:hAnsi="宋体" w:cs="宋体"/>
        </w:rPr>
        <w:t>和利润、税金（销项税额、应纳税额）和附加税额</w:t>
      </w:r>
      <w:r>
        <w:rPr>
          <w:rFonts w:hint="eastAsia" w:ascii="宋体" w:hAnsi="宋体"/>
        </w:rPr>
        <w:t>以及这些材料和工程设备的安装、安装所需要的辅助材料、安装损耗、驻厂监造、二次倒运、从存放地点运至安装地点以及其他任何必要的辅助工作（以下简称“暂估价材料和工程设备的安装及辅助工作”）所发生的费用及其对应的</w:t>
      </w:r>
      <w:r>
        <w:rPr>
          <w:rFonts w:hint="eastAsia" w:ascii="宋体" w:hAnsi="宋体" w:cs="宋体"/>
        </w:rPr>
        <w:t>各项费用</w:t>
      </w:r>
      <w:r>
        <w:rPr>
          <w:rFonts w:hint="eastAsia" w:ascii="宋体" w:hAnsi="宋体"/>
        </w:rPr>
        <w:t>（含管理费、规费）</w:t>
      </w:r>
      <w:r>
        <w:rPr>
          <w:rFonts w:hint="eastAsia" w:ascii="宋体" w:hAnsi="宋体" w:cs="宋体"/>
        </w:rPr>
        <w:t>和利润、税金（销项税额、应纳税额）和附加税额</w:t>
      </w:r>
      <w:r>
        <w:rPr>
          <w:rFonts w:hint="eastAsia" w:ascii="宋体" w:hAnsi="宋体"/>
        </w:rPr>
        <w:t>。除应按本招标文件规定将此类暂估价本身纳入工程量清单相应</w:t>
      </w:r>
      <w:r>
        <w:rPr>
          <w:rFonts w:hint="eastAsia" w:ascii="宋体" w:hAnsi="宋体"/>
          <w:szCs w:val="21"/>
        </w:rPr>
        <w:t>项目</w:t>
      </w:r>
      <w:r>
        <w:rPr>
          <w:rFonts w:hint="eastAsia" w:ascii="宋体" w:hAnsi="宋体"/>
        </w:rPr>
        <w:t>的综合单价以外，投标人还应将上述材料和工程设备的安装及辅助工作所发生的费用以及与此类费用有关的各项费用（含管理费、规费）和利润包含在工程量清单相应</w:t>
      </w:r>
      <w:r>
        <w:rPr>
          <w:rFonts w:hint="eastAsia" w:ascii="宋体" w:hAnsi="宋体"/>
          <w:szCs w:val="21"/>
        </w:rPr>
        <w:t>项目</w:t>
      </w:r>
      <w:r>
        <w:rPr>
          <w:rFonts w:hint="eastAsia" w:ascii="宋体" w:hAnsi="宋体"/>
        </w:rPr>
        <w:t>的综合单价中，并计取相应的税金</w:t>
      </w:r>
      <w:r>
        <w:rPr>
          <w:rFonts w:hint="eastAsia" w:ascii="宋体" w:hAnsi="宋体" w:cs="宋体"/>
        </w:rPr>
        <w:t>（销项税额、应纳税额）</w:t>
      </w:r>
      <w:r>
        <w:rPr>
          <w:rFonts w:hint="eastAsia" w:ascii="宋体" w:hAnsi="宋体"/>
        </w:rPr>
        <w:t>和附加税额。</w:t>
      </w:r>
    </w:p>
    <w:p>
      <w:pPr>
        <w:spacing w:line="360" w:lineRule="auto"/>
        <w:ind w:firstLine="420" w:firstLineChars="200"/>
        <w:rPr>
          <w:rFonts w:ascii="宋体"/>
        </w:rPr>
      </w:pPr>
      <w:r>
        <w:rPr>
          <w:rFonts w:ascii="宋体" w:hAnsi="宋体"/>
        </w:rPr>
        <w:t>4.3.3</w:t>
      </w:r>
      <w:r>
        <w:rPr>
          <w:rFonts w:hint="eastAsia" w:ascii="宋体" w:hAnsi="宋体"/>
        </w:rPr>
        <w:t>“专业工程暂估价及结算表”中所列专业工程已经包含与其对应的各项费用（含管理费、规费）和利润。</w:t>
      </w:r>
    </w:p>
    <w:p>
      <w:pPr>
        <w:spacing w:line="360" w:lineRule="auto"/>
        <w:ind w:firstLine="420" w:firstLineChars="200"/>
        <w:rPr>
          <w:rFonts w:ascii="宋体"/>
        </w:rPr>
      </w:pPr>
      <w:r>
        <w:rPr>
          <w:rFonts w:ascii="宋体" w:hAnsi="宋体"/>
        </w:rPr>
        <w:t xml:space="preserve">4.3.4 </w:t>
      </w:r>
      <w:r>
        <w:rPr>
          <w:rFonts w:hint="eastAsia" w:ascii="宋体" w:hAnsi="宋体"/>
        </w:rPr>
        <w:t>本工程专业工程暂估价详见《专业工程暂估价及结算表》。</w:t>
      </w:r>
    </w:p>
    <w:p>
      <w:pPr>
        <w:pStyle w:val="6"/>
        <w:rPr>
          <w:rFonts w:ascii="黑体" w:hAnsi="黑体" w:eastAsia="黑体"/>
          <w:b w:val="0"/>
          <w:bCs w:val="0"/>
          <w:sz w:val="24"/>
        </w:rPr>
      </w:pPr>
      <w:r>
        <w:rPr>
          <w:rFonts w:ascii="黑体" w:hAnsi="黑体" w:eastAsia="黑体"/>
          <w:b w:val="0"/>
          <w:bCs w:val="0"/>
          <w:sz w:val="24"/>
        </w:rPr>
        <w:t xml:space="preserve">4.4 </w:t>
      </w:r>
      <w:r>
        <w:rPr>
          <w:rFonts w:hint="eastAsia" w:ascii="黑体" w:hAnsi="黑体" w:eastAsia="黑体"/>
          <w:b w:val="0"/>
          <w:bCs w:val="0"/>
          <w:sz w:val="24"/>
        </w:rPr>
        <w:t>其他补充说明</w:t>
      </w:r>
    </w:p>
    <w:p>
      <w:pPr>
        <w:spacing w:line="360" w:lineRule="auto"/>
        <w:ind w:firstLine="480" w:firstLineChars="200"/>
        <w:rPr>
          <w:rFonts w:ascii="宋体" w:hAnsi="宋体" w:cs="宋体"/>
          <w:szCs w:val="21"/>
        </w:rPr>
      </w:pPr>
      <w:r>
        <w:rPr>
          <w:rFonts w:hint="eastAsia" w:ascii="黑体" w:hAnsi="黑体" w:eastAsia="黑体"/>
          <w:sz w:val="24"/>
        </w:rPr>
        <w:t>若本章说明与工程量清单编制说明不一致，以工程量清单编制说明为准。</w:t>
      </w:r>
    </w:p>
    <w:p>
      <w:pPr>
        <w:rPr>
          <w:rFonts w:ascii="黑体" w:eastAsia="黑体"/>
          <w:szCs w:val="21"/>
          <w:u w:val="single"/>
        </w:rPr>
      </w:pPr>
    </w:p>
    <w:p>
      <w:pPr>
        <w:pStyle w:val="34"/>
        <w:jc w:val="left"/>
        <w:rPr>
          <w:rFonts w:ascii="黑体" w:hAnsi="黑体" w:eastAsia="黑体"/>
          <w:b w:val="0"/>
        </w:rPr>
      </w:pPr>
      <w:bookmarkStart w:id="257" w:name="_Toc10784"/>
      <w:bookmarkStart w:id="258" w:name="_Toc3564"/>
      <w:bookmarkStart w:id="259" w:name="_Toc13894"/>
      <w:bookmarkStart w:id="260" w:name="_Toc14684"/>
      <w:bookmarkStart w:id="261" w:name="_Toc486318734"/>
      <w:bookmarkStart w:id="262" w:name="_Toc484015102"/>
      <w:r>
        <w:rPr>
          <w:rFonts w:hint="eastAsia" w:ascii="黑体" w:hAnsi="黑体" w:eastAsia="黑体"/>
          <w:b w:val="0"/>
        </w:rPr>
        <w:t>5.工程量清单（另册）</w:t>
      </w:r>
      <w:bookmarkEnd w:id="257"/>
      <w:bookmarkEnd w:id="258"/>
      <w:bookmarkEnd w:id="259"/>
      <w:bookmarkEnd w:id="260"/>
      <w:bookmarkEnd w:id="261"/>
      <w:bookmarkEnd w:id="262"/>
    </w:p>
    <w:p>
      <w:pPr>
        <w:ind w:firstLine="480"/>
        <w:jc w:val="left"/>
        <w:rPr>
          <w:rFonts w:ascii="黑体" w:eastAsia="黑体"/>
          <w:sz w:val="24"/>
        </w:rPr>
        <w:sectPr>
          <w:headerReference r:id="rId11" w:type="default"/>
          <w:footerReference r:id="rId12" w:type="default"/>
          <w:pgSz w:w="11907" w:h="16840"/>
          <w:pgMar w:top="1304" w:right="1304" w:bottom="1304" w:left="1701" w:header="851" w:footer="992" w:gutter="0"/>
          <w:cols w:space="720" w:num="1"/>
          <w:docGrid w:linePitch="326" w:charSpace="0"/>
        </w:sectPr>
      </w:pPr>
    </w:p>
    <w:p>
      <w:pPr/>
    </w:p>
    <w:p>
      <w:pPr/>
    </w:p>
    <w:p>
      <w:pPr/>
    </w:p>
    <w:p>
      <w:pPr/>
    </w:p>
    <w:p>
      <w:pPr/>
    </w:p>
    <w:p>
      <w:pPr/>
    </w:p>
    <w:p>
      <w:pPr/>
    </w:p>
    <w:p>
      <w:pPr/>
    </w:p>
    <w:p>
      <w:pPr/>
    </w:p>
    <w:p>
      <w:pPr/>
    </w:p>
    <w:p>
      <w:pPr/>
    </w:p>
    <w:p>
      <w:pPr/>
    </w:p>
    <w:p>
      <w:pPr/>
    </w:p>
    <w:p>
      <w:pPr/>
    </w:p>
    <w:p>
      <w:pPr/>
    </w:p>
    <w:p>
      <w:pPr/>
    </w:p>
    <w:p>
      <w:pPr/>
    </w:p>
    <w:p>
      <w:pPr>
        <w:pStyle w:val="2"/>
        <w:jc w:val="center"/>
        <w:rPr>
          <w:rFonts w:ascii="黑体" w:hAnsi="黑体" w:eastAsia="黑体"/>
          <w:b w:val="0"/>
          <w:bCs w:val="0"/>
          <w:sz w:val="44"/>
          <w:szCs w:val="44"/>
        </w:rPr>
      </w:pPr>
      <w:bookmarkStart w:id="263" w:name="_Toc22521"/>
      <w:bookmarkStart w:id="264" w:name="_Toc27435"/>
      <w:bookmarkStart w:id="265" w:name="_Toc484015103"/>
      <w:bookmarkStart w:id="266" w:name="_Toc5761"/>
      <w:bookmarkStart w:id="267" w:name="_Toc300678501"/>
      <w:bookmarkStart w:id="268" w:name="_Toc486318735"/>
      <w:bookmarkStart w:id="269" w:name="_Toc12894"/>
      <w:r>
        <w:rPr>
          <w:rFonts w:hint="eastAsia" w:ascii="黑体" w:hAnsi="黑体" w:eastAsia="黑体"/>
          <w:b w:val="0"/>
          <w:bCs w:val="0"/>
          <w:sz w:val="44"/>
          <w:szCs w:val="44"/>
        </w:rPr>
        <w:t>第  二  卷</w:t>
      </w:r>
      <w:bookmarkEnd w:id="263"/>
      <w:bookmarkEnd w:id="264"/>
      <w:bookmarkEnd w:id="265"/>
      <w:bookmarkEnd w:id="266"/>
      <w:bookmarkEnd w:id="267"/>
      <w:bookmarkEnd w:id="268"/>
      <w:bookmarkEnd w:id="269"/>
    </w:p>
    <w:p>
      <w:pPr/>
      <w:r>
        <w:br w:type="page"/>
      </w:r>
    </w:p>
    <w:p>
      <w:pPr>
        <w:pStyle w:val="2"/>
        <w:spacing w:before="0" w:after="0"/>
        <w:jc w:val="center"/>
        <w:rPr>
          <w:rFonts w:ascii="黑体" w:hAnsi="黑体" w:eastAsia="黑体"/>
          <w:b w:val="0"/>
          <w:bCs w:val="0"/>
        </w:rPr>
      </w:pPr>
      <w:bookmarkStart w:id="270" w:name="_Toc2192"/>
      <w:bookmarkStart w:id="271" w:name="_Toc484015104"/>
      <w:bookmarkStart w:id="272" w:name="_Toc486318736"/>
      <w:bookmarkStart w:id="273" w:name="_Toc12637"/>
      <w:bookmarkStart w:id="274" w:name="_Toc15613"/>
      <w:bookmarkStart w:id="275" w:name="_Toc15730"/>
      <w:bookmarkStart w:id="276" w:name="_Toc300678502"/>
      <w:r>
        <w:rPr>
          <w:rFonts w:hint="eastAsia" w:ascii="黑体" w:hAnsi="黑体" w:eastAsia="黑体"/>
          <w:b w:val="0"/>
          <w:bCs w:val="0"/>
        </w:rPr>
        <w:t>第六章  图  纸</w:t>
      </w:r>
      <w:bookmarkEnd w:id="270"/>
      <w:bookmarkEnd w:id="271"/>
      <w:bookmarkEnd w:id="272"/>
      <w:bookmarkEnd w:id="273"/>
      <w:bookmarkEnd w:id="274"/>
      <w:bookmarkEnd w:id="275"/>
      <w:bookmarkEnd w:id="276"/>
    </w:p>
    <w:p>
      <w:pPr>
        <w:pStyle w:val="4"/>
        <w:keepNext/>
        <w:keepLines/>
        <w:widowControl w:val="0"/>
        <w:jc w:val="left"/>
        <w:rPr>
          <w:rFonts w:ascii="黑体" w:hAnsi="宋体" w:eastAsia="黑体"/>
          <w:b w:val="0"/>
          <w:bCs w:val="0"/>
          <w:sz w:val="28"/>
          <w:szCs w:val="28"/>
        </w:rPr>
      </w:pPr>
      <w:bookmarkStart w:id="277" w:name="_Toc300678503"/>
      <w:bookmarkStart w:id="278" w:name="_Toc18615"/>
      <w:bookmarkStart w:id="279" w:name="_Toc4055"/>
      <w:bookmarkStart w:id="280" w:name="_Toc29712"/>
      <w:bookmarkStart w:id="281" w:name="_Toc16814"/>
      <w:bookmarkStart w:id="282" w:name="_Toc484015105"/>
      <w:bookmarkStart w:id="283" w:name="_Toc486318737"/>
      <w:r>
        <w:rPr>
          <w:rFonts w:hint="eastAsia" w:ascii="黑体" w:hAnsi="宋体" w:eastAsia="黑体"/>
          <w:b w:val="0"/>
          <w:bCs w:val="0"/>
          <w:sz w:val="28"/>
          <w:szCs w:val="28"/>
        </w:rPr>
        <w:t>1.图纸目录</w:t>
      </w:r>
      <w:bookmarkEnd w:id="277"/>
      <w:bookmarkEnd w:id="278"/>
      <w:bookmarkEnd w:id="279"/>
      <w:bookmarkEnd w:id="280"/>
      <w:bookmarkEnd w:id="281"/>
      <w:bookmarkEnd w:id="282"/>
      <w:bookmarkEnd w:id="283"/>
    </w:p>
    <w:tbl>
      <w:tblPr>
        <w:tblStyle w:val="42"/>
        <w:tblW w:w="826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7"/>
        <w:gridCol w:w="1453"/>
        <w:gridCol w:w="1453"/>
        <w:gridCol w:w="1453"/>
        <w:gridCol w:w="1454"/>
        <w:gridCol w:w="14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 w:val="18"/>
                <w:szCs w:val="21"/>
              </w:rPr>
            </w:pPr>
            <w:r>
              <w:rPr>
                <w:rFonts w:hint="eastAsia" w:ascii="宋体" w:hAnsi="宋体"/>
                <w:sz w:val="18"/>
                <w:szCs w:val="21"/>
              </w:rPr>
              <w:t>序号</w:t>
            </w:r>
          </w:p>
        </w:tc>
        <w:tc>
          <w:tcPr>
            <w:tcW w:w="1453" w:type="dxa"/>
            <w:vAlign w:val="center"/>
          </w:tcPr>
          <w:p>
            <w:pPr>
              <w:jc w:val="center"/>
              <w:rPr>
                <w:rFonts w:ascii="宋体" w:hAnsi="宋体"/>
                <w:sz w:val="18"/>
                <w:szCs w:val="21"/>
              </w:rPr>
            </w:pPr>
            <w:r>
              <w:rPr>
                <w:rFonts w:hint="eastAsia" w:ascii="宋体" w:hAnsi="宋体"/>
                <w:sz w:val="18"/>
                <w:szCs w:val="21"/>
              </w:rPr>
              <w:t>图名</w:t>
            </w:r>
          </w:p>
        </w:tc>
        <w:tc>
          <w:tcPr>
            <w:tcW w:w="1453" w:type="dxa"/>
            <w:vAlign w:val="center"/>
          </w:tcPr>
          <w:p>
            <w:pPr>
              <w:jc w:val="center"/>
              <w:rPr>
                <w:rFonts w:ascii="宋体" w:hAnsi="宋体"/>
                <w:sz w:val="18"/>
                <w:szCs w:val="21"/>
              </w:rPr>
            </w:pPr>
            <w:r>
              <w:rPr>
                <w:rFonts w:hint="eastAsia" w:ascii="宋体" w:hAnsi="宋体"/>
                <w:sz w:val="18"/>
                <w:szCs w:val="21"/>
              </w:rPr>
              <w:t>图号</w:t>
            </w:r>
          </w:p>
        </w:tc>
        <w:tc>
          <w:tcPr>
            <w:tcW w:w="1453" w:type="dxa"/>
            <w:vAlign w:val="center"/>
          </w:tcPr>
          <w:p>
            <w:pPr>
              <w:jc w:val="center"/>
              <w:rPr>
                <w:rFonts w:ascii="宋体" w:hAnsi="宋体"/>
                <w:sz w:val="18"/>
                <w:szCs w:val="21"/>
              </w:rPr>
            </w:pPr>
            <w:r>
              <w:rPr>
                <w:rFonts w:hint="eastAsia" w:ascii="宋体" w:hAnsi="宋体"/>
                <w:sz w:val="18"/>
                <w:szCs w:val="21"/>
              </w:rPr>
              <w:t>版本</w:t>
            </w:r>
          </w:p>
        </w:tc>
        <w:tc>
          <w:tcPr>
            <w:tcW w:w="1454" w:type="dxa"/>
            <w:vAlign w:val="center"/>
          </w:tcPr>
          <w:p>
            <w:pPr>
              <w:jc w:val="center"/>
              <w:rPr>
                <w:rFonts w:ascii="宋体" w:hAnsi="宋体"/>
                <w:sz w:val="18"/>
                <w:szCs w:val="21"/>
              </w:rPr>
            </w:pPr>
            <w:r>
              <w:rPr>
                <w:rFonts w:hint="eastAsia" w:ascii="宋体" w:hAnsi="宋体"/>
                <w:sz w:val="18"/>
                <w:szCs w:val="21"/>
              </w:rPr>
              <w:t>出图日期</w:t>
            </w:r>
          </w:p>
        </w:tc>
        <w:tc>
          <w:tcPr>
            <w:tcW w:w="1484" w:type="dxa"/>
            <w:vAlign w:val="center"/>
          </w:tcPr>
          <w:p>
            <w:pPr>
              <w:jc w:val="center"/>
              <w:rPr>
                <w:rFonts w:ascii="宋体" w:hAnsi="宋体"/>
                <w:sz w:val="18"/>
                <w:szCs w:val="21"/>
              </w:rPr>
            </w:pPr>
            <w:r>
              <w:rPr>
                <w:rFonts w:hint="eastAsia" w:ascii="宋体" w:hAnsi="宋体"/>
                <w:sz w:val="18"/>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67"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3" w:type="dxa"/>
            <w:vAlign w:val="center"/>
          </w:tcPr>
          <w:p>
            <w:pPr>
              <w:jc w:val="center"/>
              <w:rPr>
                <w:rFonts w:ascii="宋体" w:hAnsi="宋体"/>
                <w:szCs w:val="21"/>
              </w:rPr>
            </w:pPr>
          </w:p>
        </w:tc>
        <w:tc>
          <w:tcPr>
            <w:tcW w:w="1454" w:type="dxa"/>
            <w:vAlign w:val="center"/>
          </w:tcPr>
          <w:p>
            <w:pPr>
              <w:jc w:val="center"/>
              <w:rPr>
                <w:rFonts w:ascii="宋体" w:hAnsi="宋体"/>
                <w:szCs w:val="21"/>
              </w:rPr>
            </w:pPr>
          </w:p>
        </w:tc>
        <w:tc>
          <w:tcPr>
            <w:tcW w:w="1484" w:type="dxa"/>
            <w:vAlign w:val="center"/>
          </w:tcPr>
          <w:p>
            <w:pPr>
              <w:jc w:val="center"/>
              <w:rPr>
                <w:rFonts w:ascii="宋体" w:hAnsi="宋体"/>
                <w:szCs w:val="21"/>
              </w:rPr>
            </w:pPr>
          </w:p>
        </w:tc>
      </w:tr>
    </w:tbl>
    <w:p>
      <w:pPr/>
    </w:p>
    <w:p>
      <w:pPr>
        <w:pStyle w:val="4"/>
        <w:keepNext/>
        <w:keepLines/>
        <w:widowControl w:val="0"/>
        <w:jc w:val="left"/>
        <w:rPr>
          <w:rFonts w:ascii="黑体" w:hAnsi="宋体" w:eastAsia="黑体"/>
          <w:b w:val="0"/>
          <w:bCs w:val="0"/>
          <w:sz w:val="28"/>
          <w:szCs w:val="28"/>
        </w:rPr>
      </w:pPr>
      <w:bookmarkStart w:id="284" w:name="_Toc486318738"/>
      <w:bookmarkStart w:id="285" w:name="_Toc300678504"/>
      <w:bookmarkStart w:id="286" w:name="_Toc1751"/>
      <w:bookmarkStart w:id="287" w:name="_Toc484015106"/>
      <w:bookmarkStart w:id="288" w:name="_Toc4200"/>
      <w:bookmarkStart w:id="289" w:name="_Toc21865"/>
      <w:bookmarkStart w:id="290" w:name="_Toc8686"/>
      <w:r>
        <w:rPr>
          <w:rFonts w:hint="eastAsia" w:ascii="黑体" w:hAnsi="宋体" w:eastAsia="黑体"/>
          <w:b w:val="0"/>
          <w:bCs w:val="0"/>
          <w:sz w:val="28"/>
          <w:szCs w:val="28"/>
        </w:rPr>
        <w:t>2.图  纸</w:t>
      </w:r>
      <w:bookmarkEnd w:id="284"/>
      <w:bookmarkEnd w:id="285"/>
      <w:bookmarkEnd w:id="286"/>
      <w:bookmarkEnd w:id="287"/>
      <w:bookmarkEnd w:id="288"/>
      <w:bookmarkEnd w:id="289"/>
      <w:bookmarkEnd w:id="290"/>
    </w:p>
    <w:p>
      <w:pPr>
        <w:spacing w:line="420" w:lineRule="exact"/>
        <w:rPr>
          <w:rFonts w:ascii="楷体_GB2312" w:eastAsia="楷体_GB2312"/>
        </w:rPr>
      </w:pPr>
      <w:r>
        <w:rPr>
          <w:rFonts w:ascii="黑体" w:eastAsia="黑体"/>
          <w:sz w:val="24"/>
        </w:rPr>
        <w:br w:type="page"/>
      </w: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spacing w:line="420" w:lineRule="exact"/>
        <w:jc w:val="center"/>
        <w:rPr>
          <w:rFonts w:ascii="楷体_GB2312" w:eastAsia="楷体_GB2312"/>
        </w:rPr>
      </w:pPr>
    </w:p>
    <w:p>
      <w:pPr>
        <w:pStyle w:val="2"/>
        <w:jc w:val="center"/>
        <w:rPr>
          <w:rFonts w:ascii="黑体" w:hAnsi="黑体" w:eastAsia="黑体"/>
          <w:b w:val="0"/>
          <w:bCs w:val="0"/>
          <w:sz w:val="44"/>
          <w:szCs w:val="44"/>
        </w:rPr>
      </w:pPr>
      <w:bookmarkStart w:id="291" w:name="_Toc17693"/>
      <w:bookmarkStart w:id="292" w:name="_Toc32300"/>
      <w:bookmarkStart w:id="293" w:name="_Toc300678505"/>
      <w:bookmarkStart w:id="294" w:name="_Toc23302"/>
      <w:bookmarkStart w:id="295" w:name="_Toc484015107"/>
      <w:bookmarkStart w:id="296" w:name="_Toc12299"/>
      <w:bookmarkStart w:id="297" w:name="_Toc486318739"/>
      <w:r>
        <w:rPr>
          <w:rFonts w:hint="eastAsia" w:ascii="黑体" w:hAnsi="黑体" w:eastAsia="黑体"/>
          <w:b w:val="0"/>
          <w:bCs w:val="0"/>
          <w:sz w:val="44"/>
          <w:szCs w:val="44"/>
        </w:rPr>
        <w:t>第  三  卷</w:t>
      </w:r>
      <w:bookmarkEnd w:id="291"/>
      <w:bookmarkEnd w:id="292"/>
      <w:bookmarkEnd w:id="293"/>
      <w:bookmarkEnd w:id="294"/>
      <w:bookmarkEnd w:id="295"/>
      <w:bookmarkEnd w:id="296"/>
      <w:bookmarkEnd w:id="297"/>
    </w:p>
    <w:p>
      <w:pPr>
        <w:spacing w:line="420" w:lineRule="exact"/>
        <w:rPr>
          <w:rFonts w:ascii="楷体_GB2312" w:eastAsia="楷体_GB2312"/>
        </w:rPr>
      </w:pPr>
      <w:r>
        <w:rPr>
          <w:rFonts w:ascii="楷体_GB2312" w:eastAsia="楷体_GB2312"/>
        </w:rPr>
        <w:br w:type="page"/>
      </w:r>
    </w:p>
    <w:p>
      <w:pPr>
        <w:pStyle w:val="2"/>
        <w:spacing w:before="0" w:after="0"/>
        <w:jc w:val="center"/>
        <w:rPr>
          <w:rFonts w:ascii="黑体" w:hAnsi="黑体" w:eastAsia="黑体"/>
          <w:b w:val="0"/>
          <w:bCs w:val="0"/>
        </w:rPr>
      </w:pPr>
      <w:bookmarkStart w:id="298" w:name="_Toc486318740"/>
      <w:bookmarkStart w:id="299" w:name="_Toc19060"/>
      <w:bookmarkStart w:id="300" w:name="_Toc3702"/>
      <w:bookmarkStart w:id="301" w:name="_Toc16261"/>
      <w:bookmarkStart w:id="302" w:name="_Toc300678506"/>
      <w:bookmarkStart w:id="303" w:name="_Toc29618"/>
      <w:bookmarkStart w:id="304" w:name="_Toc484015108"/>
      <w:r>
        <w:rPr>
          <w:rFonts w:hint="eastAsia" w:ascii="黑体" w:hAnsi="黑体" w:eastAsia="黑体"/>
          <w:b w:val="0"/>
          <w:bCs w:val="0"/>
        </w:rPr>
        <w:t>第七章  技术标准和要求</w:t>
      </w:r>
      <w:bookmarkEnd w:id="298"/>
      <w:bookmarkEnd w:id="299"/>
      <w:bookmarkEnd w:id="300"/>
      <w:bookmarkEnd w:id="301"/>
      <w:bookmarkEnd w:id="302"/>
      <w:bookmarkEnd w:id="303"/>
      <w:bookmarkEnd w:id="304"/>
    </w:p>
    <w:p>
      <w:pPr>
        <w:pStyle w:val="3"/>
        <w:jc w:val="center"/>
        <w:rPr>
          <w:rFonts w:ascii="黑体" w:hAnsi="黑体" w:eastAsia="黑体"/>
          <w:b w:val="0"/>
          <w:bCs w:val="0"/>
          <w:sz w:val="30"/>
        </w:rPr>
      </w:pPr>
      <w:bookmarkStart w:id="305" w:name="_Toc8385"/>
      <w:bookmarkStart w:id="306" w:name="_Toc486318741"/>
      <w:bookmarkStart w:id="307" w:name="_Toc15367"/>
      <w:bookmarkStart w:id="308" w:name="_Toc484015109"/>
      <w:bookmarkStart w:id="309" w:name="_Toc300678507"/>
      <w:bookmarkStart w:id="310" w:name="_Toc23172"/>
      <w:bookmarkStart w:id="311" w:name="_Toc26435"/>
      <w:r>
        <w:rPr>
          <w:rFonts w:hint="eastAsia" w:ascii="黑体" w:hAnsi="黑体" w:eastAsia="黑体"/>
          <w:b w:val="0"/>
          <w:bCs w:val="0"/>
          <w:sz w:val="30"/>
        </w:rPr>
        <w:t>第一节 一般要求</w:t>
      </w:r>
      <w:bookmarkEnd w:id="305"/>
      <w:bookmarkEnd w:id="306"/>
      <w:bookmarkEnd w:id="307"/>
      <w:bookmarkEnd w:id="308"/>
      <w:bookmarkEnd w:id="309"/>
      <w:bookmarkEnd w:id="310"/>
      <w:bookmarkEnd w:id="311"/>
    </w:p>
    <w:p>
      <w:pPr>
        <w:pStyle w:val="4"/>
        <w:keepNext/>
        <w:keepLines/>
        <w:widowControl w:val="0"/>
        <w:jc w:val="left"/>
        <w:rPr>
          <w:rFonts w:ascii="黑体" w:hAnsi="宋体" w:eastAsia="黑体"/>
          <w:b w:val="0"/>
          <w:bCs w:val="0"/>
          <w:sz w:val="28"/>
          <w:szCs w:val="28"/>
        </w:rPr>
      </w:pPr>
      <w:bookmarkStart w:id="312" w:name="_Toc484015110"/>
      <w:bookmarkStart w:id="313" w:name="_Toc9656"/>
      <w:bookmarkStart w:id="314" w:name="_Toc300678508"/>
      <w:bookmarkStart w:id="315" w:name="_Toc486318742"/>
      <w:bookmarkStart w:id="316" w:name="_Toc30593"/>
      <w:bookmarkStart w:id="317" w:name="_Toc31553"/>
      <w:bookmarkStart w:id="318" w:name="_Toc8838"/>
      <w:r>
        <w:rPr>
          <w:rFonts w:hint="eastAsia" w:ascii="黑体" w:hAnsi="宋体" w:eastAsia="黑体"/>
          <w:b w:val="0"/>
          <w:bCs w:val="0"/>
          <w:sz w:val="28"/>
          <w:szCs w:val="28"/>
        </w:rPr>
        <w:t>1.工程说明</w:t>
      </w:r>
      <w:bookmarkEnd w:id="312"/>
      <w:bookmarkEnd w:id="313"/>
      <w:bookmarkEnd w:id="314"/>
      <w:bookmarkEnd w:id="315"/>
      <w:bookmarkEnd w:id="316"/>
      <w:bookmarkEnd w:id="317"/>
      <w:bookmarkEnd w:id="318"/>
    </w:p>
    <w:p>
      <w:pPr>
        <w:pStyle w:val="6"/>
        <w:rPr>
          <w:rFonts w:ascii="黑体" w:hAnsi="黑体" w:eastAsia="黑体"/>
          <w:b w:val="0"/>
          <w:bCs w:val="0"/>
          <w:sz w:val="24"/>
        </w:rPr>
      </w:pPr>
      <w:bookmarkStart w:id="319" w:name="_Toc300678509"/>
      <w:r>
        <w:rPr>
          <w:rFonts w:hint="eastAsia" w:ascii="黑体" w:hAnsi="黑体" w:eastAsia="黑体"/>
          <w:b w:val="0"/>
          <w:bCs w:val="0"/>
          <w:sz w:val="24"/>
        </w:rPr>
        <w:t>1.1 工程概况</w:t>
      </w:r>
      <w:bookmarkEnd w:id="319"/>
    </w:p>
    <w:p>
      <w:pPr>
        <w:spacing w:line="360" w:lineRule="auto"/>
        <w:ind w:firstLine="420" w:firstLineChars="200"/>
        <w:rPr>
          <w:rFonts w:ascii="宋体" w:hAnsi="宋体"/>
          <w:szCs w:val="21"/>
        </w:rPr>
      </w:pPr>
      <w:r>
        <w:rPr>
          <w:rFonts w:hint="eastAsia" w:ascii="宋体" w:hAnsi="宋体"/>
          <w:szCs w:val="21"/>
        </w:rPr>
        <w:t>l.1.1 本工程基本情况如下：</w:t>
      </w:r>
    </w:p>
    <w:p>
      <w:pPr>
        <w:spacing w:line="360" w:lineRule="auto"/>
        <w:rPr>
          <w:rFonts w:ascii="宋体" w:hAnsi="宋体"/>
          <w:szCs w:val="21"/>
          <w:u w:val="single"/>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1.1.2 本工程施工场地（现场）具体地理位置如下：</w:t>
      </w:r>
    </w:p>
    <w:p>
      <w:pPr>
        <w:spacing w:line="360" w:lineRule="auto"/>
        <w:rPr>
          <w:rFonts w:ascii="宋体" w:hAnsi="宋体"/>
          <w:szCs w:val="21"/>
          <w:u w:val="single"/>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20" w:name="_Toc300678510"/>
      <w:r>
        <w:rPr>
          <w:rFonts w:hint="eastAsia" w:ascii="黑体" w:hAnsi="黑体" w:eastAsia="黑体"/>
          <w:b w:val="0"/>
          <w:bCs w:val="0"/>
          <w:sz w:val="24"/>
        </w:rPr>
        <w:t>1.2 现场条件和周围环境</w:t>
      </w:r>
      <w:bookmarkEnd w:id="320"/>
    </w:p>
    <w:p>
      <w:pPr>
        <w:spacing w:line="360" w:lineRule="auto"/>
        <w:ind w:firstLine="420" w:firstLineChars="200"/>
        <w:rPr>
          <w:rFonts w:ascii="宋体" w:hAnsi="宋体"/>
          <w:szCs w:val="21"/>
        </w:rPr>
      </w:pPr>
      <w:r>
        <w:rPr>
          <w:rFonts w:hint="eastAsia" w:ascii="宋体" w:hAnsi="宋体"/>
          <w:szCs w:val="21"/>
        </w:rPr>
        <w:t>1.2.1 本工程施工场地（现场）已经具备施工条件。施工场地（现场）临时水源接口位置、临时电源接口位置、临时排污口位置、建筑红线位置、道路交通和出入口、以及施工场地（现场）和周围环境等情况见本章附件A：施工场地（现场）现状平面图。</w:t>
      </w:r>
    </w:p>
    <w:p>
      <w:pPr>
        <w:spacing w:line="360" w:lineRule="auto"/>
        <w:ind w:firstLine="420" w:firstLineChars="200"/>
        <w:rPr>
          <w:rFonts w:ascii="宋体" w:hAnsi="宋体"/>
          <w:szCs w:val="21"/>
        </w:rPr>
      </w:pPr>
      <w:r>
        <w:rPr>
          <w:rFonts w:hint="eastAsia" w:ascii="宋体" w:hAnsi="宋体"/>
          <w:szCs w:val="21"/>
        </w:rPr>
        <w:t>1.2.2 施工场地（现场）临时供水管径。</w:t>
      </w:r>
    </w:p>
    <w:p>
      <w:pPr>
        <w:spacing w:line="360" w:lineRule="auto"/>
        <w:ind w:firstLine="420" w:firstLineChars="200"/>
        <w:rPr>
          <w:rFonts w:ascii="宋体" w:hAnsi="宋体"/>
          <w:szCs w:val="21"/>
        </w:rPr>
      </w:pPr>
      <w:r>
        <w:rPr>
          <w:rFonts w:hint="eastAsia" w:ascii="宋体" w:hAnsi="宋体"/>
          <w:szCs w:val="21"/>
        </w:rPr>
        <w:t>施工场地（现场）临时排污管径。</w:t>
      </w:r>
    </w:p>
    <w:p>
      <w:pPr>
        <w:spacing w:line="360" w:lineRule="auto"/>
        <w:ind w:firstLine="420" w:firstLineChars="200"/>
        <w:rPr>
          <w:rFonts w:ascii="宋体" w:hAnsi="宋体"/>
          <w:szCs w:val="21"/>
        </w:rPr>
      </w:pPr>
      <w:r>
        <w:rPr>
          <w:rFonts w:hint="eastAsia" w:ascii="宋体" w:hAnsi="宋体"/>
          <w:szCs w:val="21"/>
        </w:rPr>
        <w:t>施工场地（现场）临时雨水管径。</w:t>
      </w:r>
    </w:p>
    <w:p>
      <w:pPr>
        <w:spacing w:line="360" w:lineRule="auto"/>
        <w:ind w:firstLine="420" w:firstLineChars="200"/>
        <w:rPr>
          <w:rFonts w:ascii="宋体" w:hAnsi="宋体"/>
          <w:szCs w:val="21"/>
        </w:rPr>
      </w:pPr>
      <w:r>
        <w:rPr>
          <w:rFonts w:hint="eastAsia" w:ascii="宋体" w:hAnsi="宋体"/>
          <w:szCs w:val="21"/>
        </w:rPr>
        <w:t>施工现场临时供电容量（变压器输出功率）。</w:t>
      </w:r>
    </w:p>
    <w:p>
      <w:pPr>
        <w:spacing w:line="360" w:lineRule="auto"/>
        <w:ind w:firstLine="420" w:firstLineChars="200"/>
        <w:rPr>
          <w:rFonts w:ascii="宋体" w:hAnsi="宋体"/>
          <w:szCs w:val="21"/>
        </w:rPr>
      </w:pPr>
      <w:r>
        <w:rPr>
          <w:rFonts w:hint="eastAsia" w:ascii="宋体" w:hAnsi="宋体"/>
          <w:szCs w:val="21"/>
        </w:rPr>
        <w:t>1.2.3 现场条件和周围环境的其他资料和信息数据如下：</w:t>
      </w: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 xml:space="preserve">1.2.4 承包人被认为已在本工程投标阶段踏勘现场时充分了解本工程现场条件和周围环境，并已在其投标时就此给予了充分的考虑。 </w:t>
      </w:r>
    </w:p>
    <w:p>
      <w:pPr>
        <w:pStyle w:val="6"/>
        <w:rPr>
          <w:rFonts w:ascii="黑体" w:hAnsi="黑体" w:eastAsia="黑体"/>
          <w:b w:val="0"/>
          <w:bCs w:val="0"/>
          <w:sz w:val="24"/>
        </w:rPr>
      </w:pPr>
      <w:bookmarkStart w:id="321" w:name="_Toc300678511"/>
      <w:r>
        <w:rPr>
          <w:rFonts w:hint="eastAsia" w:ascii="黑体" w:hAnsi="黑体" w:eastAsia="黑体"/>
          <w:b w:val="0"/>
          <w:bCs w:val="0"/>
          <w:sz w:val="24"/>
        </w:rPr>
        <w:t>1.3 地质及水文资料</w:t>
      </w:r>
      <w:bookmarkEnd w:id="321"/>
    </w:p>
    <w:p>
      <w:pPr>
        <w:spacing w:line="360" w:lineRule="auto"/>
        <w:ind w:firstLine="420" w:firstLineChars="200"/>
        <w:rPr>
          <w:rFonts w:ascii="宋体" w:hAnsi="宋体"/>
          <w:szCs w:val="21"/>
        </w:rPr>
      </w:pPr>
      <w:r>
        <w:rPr>
          <w:rFonts w:hint="eastAsia" w:ascii="宋体" w:hAnsi="宋体"/>
          <w:szCs w:val="21"/>
        </w:rPr>
        <w:t>1.3.1 现场地质及水文资料和信息数据如下：</w:t>
      </w: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22" w:name="_Toc300678512"/>
      <w:r>
        <w:rPr>
          <w:rFonts w:hint="eastAsia" w:ascii="黑体" w:hAnsi="黑体" w:eastAsia="黑体"/>
          <w:b w:val="0"/>
          <w:bCs w:val="0"/>
          <w:sz w:val="24"/>
        </w:rPr>
        <w:t>1.4 资料和信息的使用</w:t>
      </w:r>
      <w:bookmarkEnd w:id="322"/>
    </w:p>
    <w:p>
      <w:pPr>
        <w:spacing w:line="360" w:lineRule="auto"/>
        <w:ind w:firstLine="420" w:firstLineChars="200"/>
        <w:rPr>
          <w:rFonts w:ascii="宋体" w:hAnsi="宋体"/>
          <w:szCs w:val="21"/>
        </w:rPr>
      </w:pPr>
      <w:r>
        <w:rPr>
          <w:rFonts w:hint="eastAsia" w:ascii="宋体" w:hAnsi="宋体"/>
          <w:szCs w:val="21"/>
        </w:rPr>
        <w:t>1.4.1 合同文件中载明的涉及本工程现场条件、周围环境、地质及水文等情况的资料和信息数据，是发包人现有的和客观的，发包人保证有关资料和信息数据的真实、准确。但承包人据此作出的推论、判断和决策，由承包人自行负责。</w:t>
      </w:r>
    </w:p>
    <w:p>
      <w:pPr>
        <w:pStyle w:val="4"/>
        <w:keepNext/>
        <w:keepLines/>
        <w:widowControl w:val="0"/>
        <w:jc w:val="left"/>
        <w:rPr>
          <w:rFonts w:ascii="黑体" w:hAnsi="宋体" w:eastAsia="黑体"/>
          <w:b w:val="0"/>
          <w:bCs w:val="0"/>
          <w:sz w:val="28"/>
          <w:szCs w:val="28"/>
        </w:rPr>
      </w:pPr>
      <w:bookmarkStart w:id="323" w:name="_Toc9174"/>
      <w:bookmarkStart w:id="324" w:name="_Toc486318743"/>
      <w:bookmarkStart w:id="325" w:name="_Toc7469"/>
      <w:bookmarkStart w:id="326" w:name="_Toc10648"/>
      <w:bookmarkStart w:id="327" w:name="_Toc484015111"/>
      <w:bookmarkStart w:id="328" w:name="_Toc23268"/>
      <w:bookmarkStart w:id="329" w:name="_Toc300678513"/>
      <w:r>
        <w:rPr>
          <w:rFonts w:hint="eastAsia" w:ascii="黑体" w:hAnsi="宋体" w:eastAsia="黑体"/>
          <w:b w:val="0"/>
          <w:bCs w:val="0"/>
          <w:sz w:val="28"/>
          <w:szCs w:val="28"/>
        </w:rPr>
        <w:t>2.承包范围</w:t>
      </w:r>
      <w:bookmarkEnd w:id="323"/>
      <w:bookmarkEnd w:id="324"/>
      <w:bookmarkEnd w:id="325"/>
      <w:bookmarkEnd w:id="326"/>
      <w:bookmarkEnd w:id="327"/>
      <w:bookmarkEnd w:id="328"/>
      <w:bookmarkEnd w:id="329"/>
    </w:p>
    <w:p>
      <w:pPr>
        <w:pStyle w:val="6"/>
        <w:rPr>
          <w:rFonts w:ascii="黑体" w:hAnsi="黑体" w:eastAsia="黑体"/>
          <w:b w:val="0"/>
          <w:bCs w:val="0"/>
          <w:sz w:val="24"/>
        </w:rPr>
      </w:pPr>
      <w:bookmarkStart w:id="330" w:name="_Toc300678514"/>
      <w:r>
        <w:rPr>
          <w:rFonts w:hint="eastAsia" w:ascii="黑体" w:hAnsi="黑体" w:eastAsia="黑体"/>
          <w:b w:val="0"/>
          <w:bCs w:val="0"/>
          <w:sz w:val="24"/>
        </w:rPr>
        <w:t>2.1 承包范围</w:t>
      </w:r>
      <w:bookmarkEnd w:id="330"/>
    </w:p>
    <w:p>
      <w:pPr>
        <w:spacing w:line="360" w:lineRule="auto"/>
        <w:ind w:firstLine="420" w:firstLineChars="200"/>
        <w:rPr>
          <w:rFonts w:ascii="宋体" w:hAnsi="宋体"/>
          <w:szCs w:val="21"/>
        </w:rPr>
      </w:pPr>
      <w:r>
        <w:rPr>
          <w:rFonts w:hint="eastAsia" w:ascii="宋体" w:hAnsi="宋体"/>
          <w:szCs w:val="21"/>
        </w:rPr>
        <w:t>2.1.1 承包人自行施工范围</w:t>
      </w:r>
    </w:p>
    <w:p>
      <w:pPr>
        <w:spacing w:line="360" w:lineRule="auto"/>
        <w:ind w:firstLine="420" w:firstLineChars="200"/>
        <w:rPr>
          <w:rFonts w:ascii="宋体" w:hAnsi="宋体"/>
          <w:szCs w:val="21"/>
        </w:rPr>
      </w:pPr>
      <w:r>
        <w:rPr>
          <w:rFonts w:hint="eastAsia" w:ascii="宋体" w:hAnsi="宋体"/>
          <w:szCs w:val="21"/>
        </w:rPr>
        <w:t>本工程承包人自行施工的工程范围如下：</w:t>
      </w:r>
    </w:p>
    <w:p>
      <w:pPr>
        <w:spacing w:line="360" w:lineRule="auto"/>
        <w:rPr>
          <w:rFonts w:ascii="宋体" w:hAnsi="宋体"/>
          <w:szCs w:val="21"/>
          <w:u w:val="single"/>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2.1.2 承包范围内的暂估价项目</w:t>
      </w:r>
    </w:p>
    <w:p>
      <w:pPr>
        <w:spacing w:line="360" w:lineRule="auto"/>
        <w:ind w:firstLine="420" w:firstLineChars="200"/>
        <w:rPr>
          <w:rFonts w:ascii="宋体" w:hAnsi="宋体"/>
          <w:szCs w:val="21"/>
        </w:rPr>
      </w:pPr>
      <w:r>
        <w:rPr>
          <w:rFonts w:hint="eastAsia" w:ascii="宋体" w:hAnsi="宋体"/>
          <w:szCs w:val="21"/>
        </w:rPr>
        <w:t>2.1.2.1 承包范围内以暂估价形式实施的专业工程见第五章“工程量清单”中“其他项目措施费表”。</w:t>
      </w:r>
    </w:p>
    <w:p>
      <w:pPr>
        <w:tabs>
          <w:tab w:val="left" w:pos="1260"/>
        </w:tabs>
        <w:spacing w:line="360" w:lineRule="auto"/>
        <w:ind w:firstLine="420" w:firstLineChars="200"/>
        <w:rPr>
          <w:rFonts w:ascii="宋体" w:hAnsi="宋体"/>
          <w:szCs w:val="21"/>
        </w:rPr>
      </w:pPr>
      <w:r>
        <w:rPr>
          <w:rFonts w:hint="eastAsia" w:ascii="宋体" w:hAnsi="宋体"/>
          <w:szCs w:val="21"/>
        </w:rPr>
        <w:t>2.1.2.2 承包范围内以暂估价形式实施的材料和工程设备见第五章“工程量清单”中的“材料(工程设备)暂估单价表”。</w:t>
      </w:r>
    </w:p>
    <w:p>
      <w:pPr>
        <w:spacing w:line="360" w:lineRule="auto"/>
        <w:ind w:firstLine="420" w:firstLineChars="200"/>
        <w:rPr>
          <w:rFonts w:ascii="宋体" w:hAnsi="宋体"/>
          <w:szCs w:val="21"/>
        </w:rPr>
      </w:pPr>
      <w:r>
        <w:rPr>
          <w:rFonts w:hint="eastAsia" w:ascii="宋体" w:hAnsi="宋体"/>
          <w:szCs w:val="21"/>
        </w:rPr>
        <w:t>2.1.2.3 上述暂估价项目与本节第2.1.1项承包人自行施工范围的工作界面划分如下：</w:t>
      </w:r>
    </w:p>
    <w:p>
      <w:pPr>
        <w:spacing w:line="360" w:lineRule="auto"/>
        <w:rPr>
          <w:rFonts w:ascii="宋体" w:hAnsi="宋体"/>
          <w:szCs w:val="21"/>
          <w:u w:val="single"/>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2.1.3 承包范围内的暂列金额项目</w:t>
      </w:r>
    </w:p>
    <w:p>
      <w:pPr>
        <w:spacing w:line="360" w:lineRule="auto"/>
        <w:ind w:firstLine="420" w:firstLineChars="200"/>
        <w:rPr>
          <w:rFonts w:ascii="宋体" w:hAnsi="宋体"/>
          <w:szCs w:val="21"/>
        </w:rPr>
      </w:pPr>
      <w:r>
        <w:rPr>
          <w:rFonts w:hint="eastAsia" w:ascii="宋体" w:hAnsi="宋体"/>
          <w:szCs w:val="21"/>
        </w:rPr>
        <w:t>2.1.3.1 承包范围内以暂列金额（包括计日工）方式实施的项目见第五章“工程量清单”中“暂列金额明细表”（不包括计日工）和 “计日工表”，其中计日工金额为承包人在其投标报价中按 “计日工表”所列计日工项目、数量和相应规定填报的金额。</w:t>
      </w:r>
    </w:p>
    <w:p>
      <w:pPr>
        <w:spacing w:line="360" w:lineRule="auto"/>
        <w:ind w:firstLine="420" w:firstLineChars="200"/>
        <w:rPr>
          <w:rFonts w:ascii="宋体" w:hAnsi="宋体"/>
          <w:szCs w:val="21"/>
        </w:rPr>
      </w:pPr>
      <w:r>
        <w:rPr>
          <w:rFonts w:hint="eastAsia" w:ascii="宋体" w:hAnsi="宋体"/>
          <w:szCs w:val="21"/>
        </w:rPr>
        <w:t>2.1.3.2 暂列金额明细表中每笔暂列金额所对应的项目，包括计日工，均只是可能发生的项目。承包人应当充分认识到，合同履行过程中所列暂列金额可能不发生，也可能部分发生。即便发生，监理人按照合同约定发出的使用暂列金额的指示也不限于只能用于表中所列项目。</w:t>
      </w:r>
    </w:p>
    <w:p>
      <w:pPr>
        <w:spacing w:line="360" w:lineRule="auto"/>
        <w:ind w:firstLine="420" w:firstLineChars="200"/>
        <w:rPr>
          <w:rFonts w:ascii="宋体" w:hAnsi="宋体"/>
          <w:szCs w:val="21"/>
        </w:rPr>
      </w:pPr>
      <w:r>
        <w:rPr>
          <w:rFonts w:hint="eastAsia" w:ascii="宋体" w:hAnsi="宋体"/>
          <w:szCs w:val="21"/>
        </w:rPr>
        <w:t>2.1.3.3 暂列金额是否实际发生、其再分和合并等均不应成为承包人要求任何追加费用和（或）延长工期的理由。</w:t>
      </w:r>
    </w:p>
    <w:p>
      <w:pPr>
        <w:spacing w:line="360" w:lineRule="auto"/>
        <w:ind w:firstLine="420" w:firstLineChars="200"/>
        <w:rPr>
          <w:rFonts w:ascii="宋体" w:hAnsi="宋体"/>
          <w:szCs w:val="21"/>
        </w:rPr>
      </w:pPr>
      <w:r>
        <w:rPr>
          <w:rFonts w:hint="eastAsia" w:ascii="宋体" w:hAnsi="宋体"/>
          <w:szCs w:val="21"/>
        </w:rPr>
        <w:t>2.1.3.4 关于暂列金额的其他说明：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31" w:name="_Toc300678515"/>
      <w:r>
        <w:rPr>
          <w:rFonts w:hint="eastAsia" w:ascii="黑体" w:hAnsi="黑体" w:eastAsia="黑体"/>
          <w:b w:val="0"/>
          <w:bCs w:val="0"/>
          <w:sz w:val="24"/>
        </w:rPr>
        <w:t>2.2 发包人发包专业工程和发包人供应的材料和工程设备</w:t>
      </w:r>
      <w:bookmarkEnd w:id="331"/>
    </w:p>
    <w:p>
      <w:pPr>
        <w:spacing w:line="360" w:lineRule="auto"/>
        <w:ind w:firstLine="420" w:firstLineChars="200"/>
        <w:rPr>
          <w:rFonts w:ascii="宋体" w:hAnsi="宋体"/>
          <w:szCs w:val="21"/>
        </w:rPr>
      </w:pPr>
      <w:r>
        <w:rPr>
          <w:rFonts w:hint="eastAsia" w:ascii="宋体" w:hAnsi="宋体"/>
          <w:szCs w:val="21"/>
        </w:rPr>
        <w:t>2.2.1 由发包人发包的专业工程属于与本工程有关的其他工程，不属于承包人的承包范围。发包人发包的专业工程如下：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2.2.2 由发包人供应的材料和工程设备不属于承包人的承包范围。发包人供应的材料和工程设备见合同附件二“发包人供应的材料和工程设备一览表”。</w:t>
      </w:r>
    </w:p>
    <w:p>
      <w:pPr>
        <w:pStyle w:val="6"/>
        <w:rPr>
          <w:rFonts w:ascii="黑体" w:hAnsi="黑体" w:eastAsia="黑体"/>
          <w:b w:val="0"/>
          <w:bCs w:val="0"/>
          <w:sz w:val="24"/>
        </w:rPr>
      </w:pPr>
      <w:bookmarkStart w:id="332" w:name="_Toc300678516"/>
      <w:r>
        <w:rPr>
          <w:rFonts w:hint="eastAsia" w:ascii="黑体" w:hAnsi="黑体" w:eastAsia="黑体"/>
          <w:b w:val="0"/>
          <w:bCs w:val="0"/>
          <w:sz w:val="24"/>
        </w:rPr>
        <w:t>2.3 承包人与发包人发包专业工程承包人的工作界面</w:t>
      </w:r>
      <w:bookmarkEnd w:id="332"/>
    </w:p>
    <w:p>
      <w:pPr>
        <w:spacing w:line="360" w:lineRule="auto"/>
        <w:ind w:firstLine="420" w:firstLineChars="200"/>
        <w:rPr>
          <w:rFonts w:ascii="宋体" w:hAnsi="宋体"/>
          <w:szCs w:val="21"/>
        </w:rPr>
      </w:pPr>
      <w:r>
        <w:rPr>
          <w:rFonts w:hint="eastAsia" w:ascii="宋体" w:hAnsi="宋体"/>
          <w:szCs w:val="21"/>
        </w:rPr>
        <w:t>2.3.1 承包人与发包人发包专业工程承包人以及与发包人供应的材料和设备的供应商之间的工作界面划分如下：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33" w:name="_Toc300678517"/>
      <w:r>
        <w:rPr>
          <w:rFonts w:hint="eastAsia" w:ascii="黑体" w:hAnsi="黑体" w:eastAsia="黑体"/>
          <w:b w:val="0"/>
          <w:bCs w:val="0"/>
          <w:sz w:val="24"/>
        </w:rPr>
        <w:t>2.4 承包人需要为发包人和监理人提供的现场办公条件和设施</w:t>
      </w:r>
      <w:bookmarkEnd w:id="333"/>
    </w:p>
    <w:p>
      <w:pPr>
        <w:spacing w:line="360" w:lineRule="auto"/>
        <w:ind w:firstLine="420" w:firstLineChars="200"/>
        <w:rPr>
          <w:rFonts w:ascii="宋体" w:hAnsi="宋体"/>
          <w:szCs w:val="21"/>
        </w:rPr>
      </w:pPr>
      <w:r>
        <w:rPr>
          <w:rFonts w:hint="eastAsia" w:ascii="宋体" w:hAnsi="宋体"/>
          <w:szCs w:val="21"/>
        </w:rPr>
        <w:t>2.4.1 承包人需要为发包人和监理人提供的现场办公条件和设施及其详细要求如下：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334" w:name="_Toc28580"/>
      <w:bookmarkStart w:id="335" w:name="_Toc21660"/>
      <w:bookmarkStart w:id="336" w:name="_Toc13712"/>
      <w:bookmarkStart w:id="337" w:name="_Toc486318744"/>
      <w:bookmarkStart w:id="338" w:name="_Toc31682"/>
      <w:bookmarkStart w:id="339" w:name="_Toc484015112"/>
      <w:bookmarkStart w:id="340" w:name="_Toc300678518"/>
      <w:r>
        <w:rPr>
          <w:rFonts w:hint="eastAsia" w:ascii="黑体" w:hAnsi="宋体" w:eastAsia="黑体"/>
          <w:b w:val="0"/>
          <w:bCs w:val="0"/>
          <w:sz w:val="28"/>
          <w:szCs w:val="28"/>
        </w:rPr>
        <w:t>3.工期要求</w:t>
      </w:r>
      <w:bookmarkEnd w:id="334"/>
      <w:bookmarkEnd w:id="335"/>
      <w:bookmarkEnd w:id="336"/>
      <w:bookmarkEnd w:id="337"/>
      <w:bookmarkEnd w:id="338"/>
      <w:bookmarkEnd w:id="339"/>
      <w:bookmarkEnd w:id="340"/>
    </w:p>
    <w:p>
      <w:pPr>
        <w:pStyle w:val="6"/>
        <w:rPr>
          <w:rFonts w:ascii="黑体" w:hAnsi="黑体" w:eastAsia="黑体"/>
          <w:b w:val="0"/>
          <w:bCs w:val="0"/>
          <w:sz w:val="24"/>
        </w:rPr>
      </w:pPr>
      <w:bookmarkStart w:id="341" w:name="_Toc300678519"/>
      <w:r>
        <w:rPr>
          <w:rFonts w:hint="eastAsia" w:ascii="黑体" w:hAnsi="黑体" w:eastAsia="黑体"/>
          <w:b w:val="0"/>
          <w:bCs w:val="0"/>
          <w:sz w:val="24"/>
        </w:rPr>
        <w:t>3.1 合同工期</w:t>
      </w:r>
      <w:bookmarkEnd w:id="341"/>
    </w:p>
    <w:p>
      <w:pPr>
        <w:spacing w:line="360" w:lineRule="auto"/>
        <w:ind w:firstLine="420" w:firstLineChars="200"/>
        <w:rPr>
          <w:rFonts w:ascii="宋体" w:hAnsi="宋体"/>
          <w:szCs w:val="21"/>
        </w:rPr>
      </w:pPr>
      <w:r>
        <w:rPr>
          <w:rFonts w:hint="eastAsia" w:ascii="宋体" w:hAnsi="宋体"/>
          <w:szCs w:val="21"/>
        </w:rPr>
        <w:t>本工程合同工期和计划开、竣工日期为承包人在投标函附录中承诺的工期和计划开、竣工日期，并在合同协议书中载明。</w:t>
      </w:r>
    </w:p>
    <w:p>
      <w:pPr>
        <w:pStyle w:val="6"/>
        <w:rPr>
          <w:rFonts w:ascii="黑体" w:hAnsi="黑体" w:eastAsia="黑体"/>
          <w:b w:val="0"/>
          <w:bCs w:val="0"/>
          <w:sz w:val="24"/>
        </w:rPr>
      </w:pPr>
      <w:bookmarkStart w:id="342" w:name="_Toc300678520"/>
      <w:r>
        <w:rPr>
          <w:rFonts w:hint="eastAsia" w:ascii="黑体" w:hAnsi="黑体" w:eastAsia="黑体"/>
          <w:b w:val="0"/>
          <w:bCs w:val="0"/>
          <w:sz w:val="24"/>
        </w:rPr>
        <w:t>3.2 关于工期的一般规定</w:t>
      </w:r>
      <w:bookmarkEnd w:id="342"/>
    </w:p>
    <w:p>
      <w:pPr>
        <w:spacing w:line="360" w:lineRule="auto"/>
        <w:ind w:firstLine="420" w:firstLineChars="200"/>
        <w:rPr>
          <w:rFonts w:ascii="宋体" w:hAnsi="宋体"/>
          <w:szCs w:val="21"/>
        </w:rPr>
      </w:pPr>
      <w:r>
        <w:rPr>
          <w:rFonts w:hint="eastAsia" w:ascii="宋体" w:hAnsi="宋体"/>
          <w:szCs w:val="21"/>
        </w:rPr>
        <w:t>3.2.1 承包人在投标函中承诺的工期和计划开、竣工日期之间发生矛盾或者不一致时，以承包人承诺的工期为准。实际开工日期以通用合同条款第11.1款约定的监理人发出的开工通知中载明的开工日期为准。</w:t>
      </w:r>
    </w:p>
    <w:p>
      <w:pPr>
        <w:spacing w:line="360" w:lineRule="auto"/>
        <w:ind w:firstLine="420" w:firstLineChars="200"/>
        <w:rPr>
          <w:rFonts w:ascii="宋体" w:hAnsi="宋体"/>
          <w:szCs w:val="21"/>
        </w:rPr>
      </w:pPr>
      <w:r>
        <w:rPr>
          <w:rFonts w:hint="eastAsia" w:ascii="宋体" w:hAnsi="宋体"/>
          <w:szCs w:val="21"/>
        </w:rPr>
        <w:t>3.2.2 如果承包人在投标函附录中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pPr>
        <w:spacing w:line="360" w:lineRule="auto"/>
        <w:ind w:firstLine="420" w:firstLineChars="200"/>
        <w:rPr>
          <w:rFonts w:ascii="宋体" w:hAnsi="宋体"/>
          <w:szCs w:val="21"/>
        </w:rPr>
      </w:pPr>
      <w:r>
        <w:rPr>
          <w:rFonts w:hint="eastAsia" w:ascii="宋体" w:hAnsi="宋体"/>
          <w:szCs w:val="21"/>
        </w:rPr>
        <w:t>3.2.3 承包人在投标函附录中所承诺的工期应当包括实施并完成本节上述2.1.2项规定的暂估价项目和上述2.1.3项规定的实际可能发生的暂列金额在内的所有工作的工期。</w:t>
      </w:r>
    </w:p>
    <w:p>
      <w:pPr>
        <w:pStyle w:val="4"/>
        <w:keepNext/>
        <w:keepLines/>
        <w:widowControl w:val="0"/>
        <w:jc w:val="left"/>
        <w:rPr>
          <w:rFonts w:ascii="黑体" w:hAnsi="宋体" w:eastAsia="黑体"/>
          <w:b w:val="0"/>
          <w:bCs w:val="0"/>
          <w:sz w:val="28"/>
          <w:szCs w:val="28"/>
        </w:rPr>
      </w:pPr>
      <w:bookmarkStart w:id="343" w:name="_Toc486318745"/>
      <w:bookmarkStart w:id="344" w:name="_Toc484015113"/>
      <w:bookmarkStart w:id="345" w:name="_Toc16809"/>
      <w:bookmarkStart w:id="346" w:name="_Toc300678521"/>
      <w:bookmarkStart w:id="347" w:name="_Toc27048"/>
      <w:bookmarkStart w:id="348" w:name="_Toc4993"/>
      <w:bookmarkStart w:id="349" w:name="_Toc27349"/>
      <w:r>
        <w:rPr>
          <w:rFonts w:hint="eastAsia" w:ascii="黑体" w:hAnsi="宋体" w:eastAsia="黑体"/>
          <w:b w:val="0"/>
          <w:bCs w:val="0"/>
          <w:sz w:val="28"/>
          <w:szCs w:val="28"/>
        </w:rPr>
        <w:t>4.质量要求</w:t>
      </w:r>
      <w:bookmarkEnd w:id="343"/>
      <w:bookmarkEnd w:id="344"/>
      <w:bookmarkEnd w:id="345"/>
      <w:bookmarkEnd w:id="346"/>
      <w:bookmarkEnd w:id="347"/>
      <w:bookmarkEnd w:id="348"/>
      <w:bookmarkEnd w:id="349"/>
    </w:p>
    <w:p>
      <w:pPr>
        <w:pStyle w:val="6"/>
        <w:rPr>
          <w:rFonts w:ascii="黑体" w:hAnsi="黑体" w:eastAsia="黑体"/>
          <w:b w:val="0"/>
          <w:bCs w:val="0"/>
          <w:sz w:val="24"/>
        </w:rPr>
      </w:pPr>
      <w:bookmarkStart w:id="350" w:name="_Toc300678522"/>
      <w:r>
        <w:rPr>
          <w:rFonts w:hint="eastAsia" w:ascii="黑体" w:hAnsi="黑体" w:eastAsia="黑体"/>
          <w:b w:val="0"/>
          <w:bCs w:val="0"/>
          <w:sz w:val="24"/>
        </w:rPr>
        <w:t>4.1 质量标准</w:t>
      </w:r>
      <w:bookmarkEnd w:id="350"/>
    </w:p>
    <w:p>
      <w:pPr>
        <w:spacing w:line="360" w:lineRule="auto"/>
        <w:ind w:firstLine="420" w:firstLineChars="200"/>
        <w:rPr>
          <w:rFonts w:ascii="宋体" w:hAnsi="宋体"/>
          <w:szCs w:val="21"/>
        </w:rPr>
      </w:pPr>
      <w:r>
        <w:rPr>
          <w:rFonts w:hint="eastAsia" w:ascii="宋体" w:hAnsi="宋体"/>
          <w:szCs w:val="21"/>
        </w:rPr>
        <w:t>4.1.1 本工程要求的质量标准为</w:t>
      </w:r>
      <w:r>
        <w:rPr>
          <w:rFonts w:hint="eastAsia" w:ascii="宋体" w:hAnsi="宋体"/>
          <w:szCs w:val="21"/>
          <w:u w:val="single"/>
        </w:rPr>
        <w:t>符合现行国家有关工程施工验收规范和标准的要求合格</w:t>
      </w:r>
      <w:r>
        <w:rPr>
          <w:rFonts w:hint="eastAsia" w:ascii="宋体" w:hAnsi="宋体"/>
          <w:szCs w:val="21"/>
        </w:rPr>
        <w:t>。</w:t>
      </w:r>
    </w:p>
    <w:p>
      <w:pPr>
        <w:pStyle w:val="6"/>
        <w:rPr>
          <w:rFonts w:ascii="黑体" w:hAnsi="黑体" w:eastAsia="黑体"/>
          <w:b w:val="0"/>
          <w:bCs w:val="0"/>
          <w:sz w:val="24"/>
        </w:rPr>
      </w:pPr>
      <w:bookmarkStart w:id="351" w:name="_Toc300678523"/>
      <w:r>
        <w:rPr>
          <w:rFonts w:hint="eastAsia" w:ascii="黑体" w:hAnsi="黑体" w:eastAsia="黑体"/>
          <w:b w:val="0"/>
          <w:bCs w:val="0"/>
          <w:sz w:val="24"/>
        </w:rPr>
        <w:t>4.2 特殊质量要求</w:t>
      </w:r>
      <w:bookmarkEnd w:id="351"/>
    </w:p>
    <w:p>
      <w:pPr>
        <w:spacing w:line="360" w:lineRule="auto"/>
        <w:ind w:firstLine="420" w:firstLineChars="200"/>
        <w:rPr>
          <w:rFonts w:ascii="宋体" w:hAnsi="宋体"/>
          <w:szCs w:val="21"/>
        </w:rPr>
      </w:pPr>
      <w:r>
        <w:rPr>
          <w:rFonts w:hint="eastAsia" w:ascii="宋体" w:hAnsi="宋体"/>
          <w:szCs w:val="21"/>
        </w:rPr>
        <w:t>4.2.1 有关本工程质量方面的特殊要求如下：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352" w:name="_Toc16118"/>
      <w:bookmarkStart w:id="353" w:name="_Toc484015114"/>
      <w:bookmarkStart w:id="354" w:name="_Toc486318746"/>
      <w:bookmarkStart w:id="355" w:name="_Toc32076"/>
      <w:bookmarkStart w:id="356" w:name="_Toc300678524"/>
      <w:bookmarkStart w:id="357" w:name="_Toc28859"/>
      <w:bookmarkStart w:id="358" w:name="_Toc31364"/>
      <w:r>
        <w:rPr>
          <w:rFonts w:hint="eastAsia" w:ascii="黑体" w:hAnsi="宋体" w:eastAsia="黑体"/>
          <w:b w:val="0"/>
          <w:bCs w:val="0"/>
          <w:sz w:val="28"/>
          <w:szCs w:val="28"/>
        </w:rPr>
        <w:t>5.适用规范和标准</w:t>
      </w:r>
      <w:bookmarkEnd w:id="352"/>
      <w:bookmarkEnd w:id="353"/>
      <w:bookmarkEnd w:id="354"/>
      <w:bookmarkEnd w:id="355"/>
      <w:bookmarkEnd w:id="356"/>
      <w:bookmarkEnd w:id="357"/>
      <w:bookmarkEnd w:id="358"/>
    </w:p>
    <w:p>
      <w:pPr>
        <w:pStyle w:val="6"/>
        <w:rPr>
          <w:rFonts w:ascii="黑体" w:hAnsi="黑体" w:eastAsia="黑体"/>
          <w:b w:val="0"/>
          <w:bCs w:val="0"/>
          <w:sz w:val="24"/>
        </w:rPr>
      </w:pPr>
      <w:bookmarkStart w:id="359" w:name="_Toc300678525"/>
      <w:r>
        <w:rPr>
          <w:rFonts w:hint="eastAsia" w:ascii="黑体" w:hAnsi="黑体" w:eastAsia="黑体"/>
          <w:b w:val="0"/>
          <w:bCs w:val="0"/>
          <w:sz w:val="24"/>
        </w:rPr>
        <w:t>5.1 适用的规范、标准和规程</w:t>
      </w:r>
      <w:bookmarkEnd w:id="359"/>
    </w:p>
    <w:p>
      <w:pPr>
        <w:spacing w:line="360" w:lineRule="auto"/>
        <w:ind w:firstLine="420" w:firstLineChars="200"/>
        <w:rPr>
          <w:rFonts w:ascii="宋体" w:hAnsi="宋体"/>
          <w:szCs w:val="21"/>
        </w:rPr>
      </w:pPr>
      <w:r>
        <w:rPr>
          <w:rFonts w:hint="eastAsia" w:ascii="宋体" w:hAnsi="宋体"/>
          <w:szCs w:val="21"/>
        </w:rPr>
        <w:t>5.1.1 除合同另有约定外，本工程适用现行国家、行业和地方规范、标准和规程。适用于本工程的国家、行业和地方的规范、标准和规范等的名录见本章第三节。</w:t>
      </w:r>
    </w:p>
    <w:p>
      <w:pPr>
        <w:spacing w:line="360" w:lineRule="auto"/>
        <w:ind w:firstLine="420" w:firstLineChars="200"/>
        <w:rPr>
          <w:rFonts w:ascii="宋体" w:hAnsi="宋体"/>
          <w:szCs w:val="21"/>
        </w:rPr>
      </w:pPr>
      <w:r>
        <w:rPr>
          <w:rFonts w:hint="eastAsia" w:ascii="宋体" w:hAnsi="宋体"/>
          <w:szCs w:val="21"/>
        </w:rPr>
        <w:t>构成合同文件的任何内容与适用的规范、标准和规程之间出现矛盾，承包人应书面要求监理人予以澄清，除监理人有特别指示外，承包人应按照其中要求最严格的标准执行。</w:t>
      </w:r>
    </w:p>
    <w:p>
      <w:pPr>
        <w:spacing w:line="360" w:lineRule="auto"/>
        <w:ind w:firstLine="420" w:firstLineChars="200"/>
        <w:rPr>
          <w:rFonts w:ascii="宋体" w:hAnsi="宋体"/>
          <w:szCs w:val="21"/>
        </w:rPr>
      </w:pPr>
      <w:r>
        <w:rPr>
          <w:rFonts w:hint="eastAsia" w:ascii="宋体" w:hAnsi="宋体"/>
          <w:szCs w:val="21"/>
        </w:rPr>
        <w:t>5.1.3 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则应按合同条款第15条的约定办理。</w:t>
      </w:r>
    </w:p>
    <w:p>
      <w:pPr>
        <w:pStyle w:val="6"/>
        <w:ind w:firstLine="480" w:firstLineChars="200"/>
        <w:rPr>
          <w:rFonts w:ascii="黑体" w:hAnsi="黑体" w:eastAsia="黑体"/>
          <w:b w:val="0"/>
          <w:bCs w:val="0"/>
          <w:sz w:val="24"/>
        </w:rPr>
      </w:pPr>
      <w:bookmarkStart w:id="360" w:name="_Toc300678526"/>
      <w:r>
        <w:rPr>
          <w:rFonts w:hint="eastAsia" w:ascii="黑体" w:hAnsi="黑体" w:eastAsia="黑体"/>
          <w:b w:val="0"/>
          <w:bCs w:val="0"/>
          <w:sz w:val="24"/>
        </w:rPr>
        <w:t>5.2 特殊技术标准和要求</w:t>
      </w:r>
      <w:bookmarkEnd w:id="360"/>
    </w:p>
    <w:p>
      <w:pPr>
        <w:spacing w:line="360" w:lineRule="auto"/>
        <w:ind w:firstLine="420" w:firstLineChars="200"/>
        <w:rPr>
          <w:rFonts w:ascii="宋体" w:hAnsi="宋体"/>
          <w:szCs w:val="21"/>
        </w:rPr>
      </w:pPr>
      <w:r>
        <w:rPr>
          <w:rFonts w:hint="eastAsia" w:ascii="宋体" w:hAnsi="宋体"/>
          <w:szCs w:val="21"/>
        </w:rPr>
        <w:t>5.2.1 适用本工程的特殊技术标准和要求见本章第二节。</w:t>
      </w:r>
    </w:p>
    <w:p>
      <w:pPr>
        <w:spacing w:line="360" w:lineRule="auto"/>
        <w:ind w:firstLine="420" w:firstLineChars="200"/>
        <w:rPr>
          <w:rFonts w:ascii="宋体" w:hAnsi="宋体"/>
          <w:szCs w:val="21"/>
        </w:rPr>
      </w:pPr>
      <w:r>
        <w:rPr>
          <w:rFonts w:hint="eastAsia" w:ascii="宋体" w:hAnsi="宋体"/>
          <w:szCs w:val="21"/>
        </w:rPr>
        <w:t>5.2.2 有合同约束力的图纸和其他设计文件中的有关文字说明是本节的组成内容。</w:t>
      </w:r>
    </w:p>
    <w:p>
      <w:pPr>
        <w:pStyle w:val="4"/>
        <w:keepNext/>
        <w:keepLines/>
        <w:widowControl w:val="0"/>
        <w:jc w:val="left"/>
        <w:rPr>
          <w:rFonts w:ascii="黑体" w:hAnsi="宋体" w:eastAsia="黑体"/>
          <w:b w:val="0"/>
          <w:bCs w:val="0"/>
          <w:sz w:val="28"/>
          <w:szCs w:val="28"/>
        </w:rPr>
      </w:pPr>
      <w:bookmarkStart w:id="361" w:name="_Toc8934"/>
      <w:bookmarkStart w:id="362" w:name="_Toc484015115"/>
      <w:bookmarkStart w:id="363" w:name="_Toc32456"/>
      <w:bookmarkStart w:id="364" w:name="_Toc19331"/>
      <w:bookmarkStart w:id="365" w:name="_Toc15740"/>
      <w:bookmarkStart w:id="366" w:name="_Toc300678527"/>
      <w:bookmarkStart w:id="367" w:name="_Toc486318747"/>
      <w:r>
        <w:rPr>
          <w:rFonts w:hint="eastAsia" w:ascii="黑体" w:hAnsi="宋体" w:eastAsia="黑体"/>
          <w:b w:val="0"/>
          <w:bCs w:val="0"/>
          <w:sz w:val="28"/>
          <w:szCs w:val="28"/>
        </w:rPr>
        <w:t>6.安全文明施工</w:t>
      </w:r>
      <w:bookmarkEnd w:id="361"/>
      <w:bookmarkEnd w:id="362"/>
      <w:bookmarkEnd w:id="363"/>
      <w:bookmarkEnd w:id="364"/>
      <w:bookmarkEnd w:id="365"/>
      <w:bookmarkEnd w:id="366"/>
      <w:bookmarkEnd w:id="367"/>
    </w:p>
    <w:p>
      <w:pPr>
        <w:pStyle w:val="6"/>
        <w:rPr>
          <w:rFonts w:ascii="黑体" w:hAnsi="黑体" w:eastAsia="黑体"/>
          <w:b w:val="0"/>
          <w:bCs w:val="0"/>
          <w:sz w:val="24"/>
        </w:rPr>
      </w:pPr>
      <w:bookmarkStart w:id="368" w:name="_Toc300678528"/>
      <w:r>
        <w:rPr>
          <w:rFonts w:hint="eastAsia" w:ascii="黑体" w:hAnsi="黑体" w:eastAsia="黑体"/>
          <w:b w:val="0"/>
          <w:bCs w:val="0"/>
          <w:sz w:val="24"/>
        </w:rPr>
        <w:t>6.1 安全防护</w:t>
      </w:r>
      <w:bookmarkEnd w:id="368"/>
    </w:p>
    <w:p>
      <w:pPr>
        <w:spacing w:line="360" w:lineRule="auto"/>
        <w:ind w:firstLine="420" w:firstLineChars="200"/>
        <w:rPr>
          <w:rFonts w:ascii="宋体" w:hAnsi="宋体"/>
          <w:szCs w:val="21"/>
        </w:rPr>
      </w:pPr>
      <w:r>
        <w:rPr>
          <w:rFonts w:hint="eastAsia" w:ascii="宋体" w:hAnsi="宋体"/>
          <w:szCs w:val="21"/>
        </w:rPr>
        <w:t>6.1.1 在工程施工、竣工、交付及修补任何缺陷的过程中，承包人应当始终遵守国家和地方有关安全生产的法律、法规、规范、标准和规程等，按照通用合同条款第6.1.9.2目的约定履行其安全施工职责。</w:t>
      </w:r>
    </w:p>
    <w:p>
      <w:pPr>
        <w:spacing w:line="360" w:lineRule="auto"/>
        <w:ind w:firstLine="420" w:firstLineChars="200"/>
        <w:rPr>
          <w:rFonts w:ascii="宋体" w:hAnsi="宋体"/>
          <w:szCs w:val="21"/>
        </w:rPr>
      </w:pPr>
      <w:r>
        <w:rPr>
          <w:rFonts w:hint="eastAsia" w:ascii="宋体" w:hAnsi="宋体"/>
          <w:szCs w:val="21"/>
        </w:rPr>
        <w:t>6.1.2 承包人应坚持“安全第一，预防为主”的方针，建立、健全安全生产责任制度和安全生产教育培训制度。在整个工程施工期间，承包人应在施工场地（现场）设立、提供和维护并在有关工作完成或竣工后撤除：</w:t>
      </w:r>
    </w:p>
    <w:p>
      <w:pPr>
        <w:spacing w:line="360" w:lineRule="auto"/>
        <w:ind w:firstLine="420" w:firstLineChars="200"/>
        <w:rPr>
          <w:rFonts w:ascii="宋体" w:hAnsi="宋体"/>
          <w:szCs w:val="21"/>
        </w:rPr>
      </w:pPr>
      <w:r>
        <w:rPr>
          <w:rFonts w:hint="eastAsia" w:ascii="宋体" w:hAnsi="宋体"/>
          <w:szCs w:val="21"/>
        </w:rPr>
        <w:t>（1）设立在现场入口显著位置的现场施工总平面图、总平面管理、安全生产、文明施工、环境保护、质量控制、材料管理等的规章制度和主要参建单位名称和工程概况等说明的图板；</w:t>
      </w:r>
    </w:p>
    <w:p>
      <w:pPr>
        <w:spacing w:line="360" w:lineRule="auto"/>
        <w:ind w:firstLine="420" w:firstLineChars="200"/>
        <w:rPr>
          <w:rFonts w:ascii="宋体" w:hAnsi="宋体"/>
          <w:szCs w:val="21"/>
        </w:rPr>
      </w:pPr>
      <w:r>
        <w:rPr>
          <w:rFonts w:hint="eastAsia" w:ascii="宋体" w:hAnsi="宋体"/>
          <w:szCs w:val="21"/>
        </w:rPr>
        <w:t>（2）为确保工程安全施工须设立的足够的标志、宣传画、标语、指示牌、警告牌、火警、匪警和急救电话提示牌等等；</w:t>
      </w:r>
    </w:p>
    <w:p>
      <w:pPr>
        <w:spacing w:line="360" w:lineRule="auto"/>
        <w:ind w:firstLine="420" w:firstLineChars="200"/>
        <w:rPr>
          <w:rFonts w:ascii="宋体" w:hAnsi="宋体"/>
          <w:szCs w:val="21"/>
        </w:rPr>
      </w:pPr>
      <w:r>
        <w:rPr>
          <w:rFonts w:hint="eastAsia" w:ascii="宋体" w:hAnsi="宋体"/>
          <w:szCs w:val="21"/>
        </w:rPr>
        <w:t>（3）洞口和临边位置的安全防护设施，包括护身栏杆、脚手架、洞口盖板和加筋、竖井防护栏杆、防护棚、防护网、坡道等等；</w:t>
      </w:r>
    </w:p>
    <w:p>
      <w:pPr>
        <w:spacing w:line="360" w:lineRule="auto"/>
        <w:ind w:firstLine="420" w:firstLineChars="200"/>
        <w:rPr>
          <w:rFonts w:ascii="宋体" w:hAnsi="宋体"/>
          <w:szCs w:val="21"/>
        </w:rPr>
      </w:pPr>
      <w:r>
        <w:rPr>
          <w:rFonts w:hint="eastAsia" w:ascii="宋体" w:hAnsi="宋体"/>
          <w:szCs w:val="21"/>
        </w:rPr>
        <w:t>（4）安全带、安全绳、安全帽、安全网、绝缘鞋、绝缘手套、防护口罩和防护衣等安全生产用品；</w:t>
      </w:r>
    </w:p>
    <w:p>
      <w:pPr>
        <w:spacing w:line="360" w:lineRule="auto"/>
        <w:ind w:firstLine="420" w:firstLineChars="200"/>
        <w:rPr>
          <w:rFonts w:ascii="宋体" w:hAnsi="宋体"/>
          <w:szCs w:val="21"/>
        </w:rPr>
      </w:pPr>
      <w:r>
        <w:rPr>
          <w:rFonts w:hint="eastAsia" w:ascii="宋体" w:hAnsi="宋体"/>
          <w:szCs w:val="21"/>
        </w:rPr>
        <w:t>（5）所有机械设备包括各类电动工具的安全保护和接地装置和操作说明；</w:t>
      </w:r>
    </w:p>
    <w:p>
      <w:pPr>
        <w:spacing w:line="360" w:lineRule="auto"/>
        <w:ind w:firstLine="420" w:firstLineChars="200"/>
        <w:rPr>
          <w:rFonts w:ascii="宋体" w:hAnsi="宋体"/>
          <w:szCs w:val="21"/>
        </w:rPr>
      </w:pPr>
      <w:r>
        <w:rPr>
          <w:rFonts w:hint="eastAsia" w:ascii="宋体" w:hAnsi="宋体"/>
          <w:szCs w:val="21"/>
        </w:rPr>
        <w:t>（6）装备良好的临时急救站和配备称职的医护人员；</w:t>
      </w:r>
    </w:p>
    <w:p>
      <w:pPr>
        <w:spacing w:line="360" w:lineRule="auto"/>
        <w:ind w:firstLine="420" w:firstLineChars="200"/>
        <w:rPr>
          <w:rFonts w:ascii="宋体" w:hAnsi="宋体"/>
          <w:szCs w:val="21"/>
        </w:rPr>
      </w:pPr>
      <w:r>
        <w:rPr>
          <w:rFonts w:hint="eastAsia" w:ascii="宋体" w:hAnsi="宋体"/>
          <w:szCs w:val="21"/>
        </w:rPr>
        <w:t>（7）主要作业场所和临时安全疏散通道24小时36伏安全照明和必要的警示等以防止各种可能的事故；</w:t>
      </w:r>
    </w:p>
    <w:p>
      <w:pPr>
        <w:spacing w:line="360" w:lineRule="auto"/>
        <w:ind w:firstLine="420" w:firstLineChars="200"/>
        <w:rPr>
          <w:rFonts w:ascii="宋体" w:hAnsi="宋体"/>
          <w:szCs w:val="21"/>
        </w:rPr>
      </w:pPr>
      <w:r>
        <w:rPr>
          <w:rFonts w:hint="eastAsia" w:ascii="宋体" w:hAnsi="宋体"/>
          <w:szCs w:val="21"/>
        </w:rPr>
        <w:t>（8）足够数量的和合格的手提灭火器；</w:t>
      </w:r>
    </w:p>
    <w:p>
      <w:pPr>
        <w:spacing w:line="360" w:lineRule="auto"/>
        <w:ind w:firstLine="420" w:firstLineChars="200"/>
        <w:rPr>
          <w:rFonts w:ascii="宋体" w:hAnsi="宋体"/>
          <w:szCs w:val="21"/>
        </w:rPr>
      </w:pPr>
      <w:r>
        <w:rPr>
          <w:rFonts w:hint="eastAsia" w:ascii="宋体" w:hAnsi="宋体"/>
          <w:szCs w:val="21"/>
        </w:rPr>
        <w:t>（9）装备良好的易燃易爆物品仓库和相应的使用管理制度；</w:t>
      </w:r>
    </w:p>
    <w:p>
      <w:pPr>
        <w:spacing w:line="360" w:lineRule="auto"/>
        <w:ind w:firstLine="420" w:firstLineChars="200"/>
        <w:rPr>
          <w:rFonts w:ascii="宋体" w:hAnsi="宋体"/>
          <w:szCs w:val="21"/>
        </w:rPr>
      </w:pPr>
      <w:r>
        <w:rPr>
          <w:rFonts w:hint="eastAsia" w:ascii="宋体" w:hAnsi="宋体"/>
          <w:szCs w:val="21"/>
        </w:rPr>
        <w:t>（10）对涉及明火施工的工作制定诸如用火证等的管理制度；</w:t>
      </w:r>
    </w:p>
    <w:p>
      <w:pPr>
        <w:spacing w:line="360" w:lineRule="auto"/>
        <w:ind w:firstLine="420" w:firstLineChars="200"/>
        <w:rPr>
          <w:rFonts w:ascii="宋体" w:hAnsi="宋体"/>
          <w:szCs w:val="21"/>
        </w:rPr>
      </w:pPr>
      <w:r>
        <w:rPr>
          <w:rFonts w:hint="eastAsia" w:ascii="宋体" w:hAnsi="宋体"/>
          <w:szCs w:val="21"/>
        </w:rPr>
        <w:t>（11）其他：                               。</w:t>
      </w:r>
    </w:p>
    <w:p>
      <w:pPr>
        <w:spacing w:line="360" w:lineRule="auto"/>
        <w:ind w:firstLine="420" w:firstLineChars="200"/>
        <w:rPr>
          <w:rFonts w:ascii="宋体" w:hAnsi="宋体"/>
          <w:szCs w:val="21"/>
        </w:rPr>
      </w:pPr>
      <w:r>
        <w:rPr>
          <w:rFonts w:hint="eastAsia" w:ascii="宋体" w:hAnsi="宋体"/>
          <w:szCs w:val="21"/>
        </w:rPr>
        <w:t>6.1.3 安全文明施工费用必须专款专用，承包人应对其由于安全文明施工费用和施工安全措施不到位而发生的安全事故承担全部责任。</w:t>
      </w:r>
    </w:p>
    <w:p>
      <w:pPr>
        <w:spacing w:line="360" w:lineRule="auto"/>
        <w:ind w:firstLine="420" w:firstLineChars="200"/>
        <w:rPr>
          <w:rFonts w:ascii="宋体" w:hAnsi="宋体"/>
          <w:szCs w:val="21"/>
        </w:rPr>
      </w:pPr>
      <w:r>
        <w:rPr>
          <w:rFonts w:hint="eastAsia" w:ascii="宋体" w:hAnsi="宋体"/>
          <w:szCs w:val="21"/>
        </w:rPr>
        <w:t>6.1.4 承包人应建立专门的施工场地（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pPr>
        <w:spacing w:line="360" w:lineRule="auto"/>
        <w:ind w:firstLine="420" w:firstLineChars="200"/>
        <w:rPr>
          <w:rFonts w:ascii="宋体" w:hAnsi="宋体"/>
          <w:szCs w:val="21"/>
        </w:rPr>
      </w:pPr>
      <w:r>
        <w:rPr>
          <w:rFonts w:hint="eastAsia" w:ascii="宋体" w:hAnsi="宋体"/>
          <w:szCs w:val="21"/>
        </w:rPr>
        <w:t>6.1.5 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pPr>
        <w:spacing w:line="360" w:lineRule="auto"/>
        <w:ind w:firstLine="420" w:firstLineChars="200"/>
        <w:rPr>
          <w:rFonts w:ascii="宋体" w:hAnsi="宋体"/>
          <w:szCs w:val="21"/>
        </w:rPr>
      </w:pPr>
      <w:r>
        <w:rPr>
          <w:rFonts w:hint="eastAsia" w:ascii="宋体" w:hAnsi="宋体"/>
          <w:szCs w:val="21"/>
        </w:rPr>
        <w:t>6.1.6 承包人应为其进场施工人员配备必需的安全防护设施和设备，承包人还应为施工场地（现场）邻近地区的所有者和占有者、公众和其他人员，提供一切必要的临时道路、人行道、防护棚、围栏及警告等，以确保财产和人身安全以及最大程度地降低施工可能造成的不便。</w:t>
      </w:r>
    </w:p>
    <w:p>
      <w:pPr>
        <w:spacing w:line="360" w:lineRule="auto"/>
        <w:ind w:firstLine="420" w:firstLineChars="200"/>
        <w:rPr>
          <w:rFonts w:ascii="宋体" w:hAnsi="宋体"/>
          <w:szCs w:val="21"/>
        </w:rPr>
      </w:pPr>
      <w:r>
        <w:rPr>
          <w:rFonts w:hint="eastAsia" w:ascii="宋体" w:hAnsi="宋体"/>
          <w:szCs w:val="21"/>
        </w:rPr>
        <w:t>6.1.7 承包人应在施工场地（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监理人的指示，经常补充或更换失效的警示和标志。</w:t>
      </w:r>
    </w:p>
    <w:p>
      <w:pPr>
        <w:spacing w:line="360" w:lineRule="auto"/>
        <w:ind w:firstLine="420" w:firstLineChars="200"/>
        <w:rPr>
          <w:rFonts w:ascii="宋体" w:hAnsi="宋体"/>
          <w:szCs w:val="21"/>
        </w:rPr>
      </w:pPr>
      <w:r>
        <w:rPr>
          <w:rFonts w:hint="eastAsia" w:ascii="宋体" w:hAnsi="宋体"/>
          <w:szCs w:val="21"/>
        </w:rPr>
        <w:t>6.1.8 承包人应对施工场地（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pPr>
        <w:spacing w:line="360" w:lineRule="auto"/>
        <w:ind w:firstLine="420" w:firstLineChars="200"/>
        <w:rPr>
          <w:rFonts w:ascii="宋体" w:hAnsi="宋体"/>
          <w:szCs w:val="21"/>
        </w:rPr>
      </w:pPr>
      <w:r>
        <w:rPr>
          <w:rFonts w:hint="eastAsia" w:ascii="宋体" w:hAnsi="宋体"/>
          <w:szCs w:val="21"/>
        </w:rPr>
        <w:t>6.1.9 承包人应对所有用于提升的挂钩、挂环、钢丝绳、铁扁担等进行定期检测、检查和标定；如果监理人认为，任何此类设施已经损坏或有使用不当之处，承包人应立即以合格的产品进行更换；所有垂直和水平运输机械的搭设、顶升、使用和拆除必须严格依照现行有关法规、规章、规范、标准和规程等的要求。</w:t>
      </w:r>
    </w:p>
    <w:p>
      <w:pPr>
        <w:spacing w:line="360" w:lineRule="auto"/>
        <w:ind w:firstLine="420" w:firstLineChars="200"/>
        <w:rPr>
          <w:rFonts w:ascii="宋体" w:hAnsi="宋体"/>
          <w:szCs w:val="21"/>
        </w:rPr>
      </w:pPr>
      <w:r>
        <w:rPr>
          <w:rFonts w:hint="eastAsia" w:ascii="宋体" w:hAnsi="宋体"/>
          <w:szCs w:val="21"/>
        </w:rPr>
        <w:t>6.1.10 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pPr>
        <w:spacing w:line="360" w:lineRule="auto"/>
        <w:ind w:firstLine="420" w:firstLineChars="200"/>
        <w:rPr>
          <w:rFonts w:ascii="宋体" w:hAnsi="宋体"/>
          <w:szCs w:val="21"/>
        </w:rPr>
      </w:pPr>
      <w:r>
        <w:rPr>
          <w:rFonts w:hint="eastAsia" w:ascii="宋体" w:hAnsi="宋体"/>
          <w:szCs w:val="21"/>
        </w:rPr>
        <w:t>6.1.11 在永久工程和施工边坡、建筑物基坑、地下洞室等的开挖过程中，应根据其施工安全的需要和（或）监理人指示，安装必要的施工安全监测仪器，及时进行必要的施工安全监测，并定期将安全监测成果提交监理人，以防止引起任何沉降、变形或其他影响正常施工进度的损害。</w:t>
      </w:r>
    </w:p>
    <w:p>
      <w:pPr>
        <w:spacing w:line="360" w:lineRule="auto"/>
        <w:ind w:firstLine="420" w:firstLineChars="200"/>
        <w:rPr>
          <w:rFonts w:ascii="宋体" w:hAnsi="宋体"/>
          <w:szCs w:val="21"/>
        </w:rPr>
      </w:pPr>
      <w:r>
        <w:rPr>
          <w:rFonts w:hint="eastAsia" w:ascii="宋体" w:hAnsi="宋体"/>
          <w:szCs w:val="21"/>
        </w:rPr>
        <w:t>6.1.12 承包人应对任何施工中的永久工程进行必要的支撑或临时加固。除非承包人已获得监理人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pPr>
        <w:spacing w:line="360" w:lineRule="auto"/>
        <w:ind w:firstLine="420" w:firstLineChars="200"/>
        <w:rPr>
          <w:rFonts w:ascii="宋体" w:hAnsi="宋体"/>
          <w:szCs w:val="21"/>
        </w:rPr>
      </w:pPr>
      <w:r>
        <w:rPr>
          <w:rFonts w:hint="eastAsia" w:ascii="宋体" w:hAnsi="宋体"/>
          <w:szCs w:val="21"/>
        </w:rPr>
        <w:t>6.1.13 承包人应成立应急救援小组，配备必要的应急救援器材和设备，制定灾害和生产安全事故的应急救援预案，并将应急救援预案报送监理人。应急救援预案应能随时组织应救专职人员、并定期组织演练。</w:t>
      </w:r>
    </w:p>
    <w:p>
      <w:pPr>
        <w:spacing w:line="360" w:lineRule="auto"/>
        <w:ind w:firstLine="420" w:firstLineChars="200"/>
        <w:rPr>
          <w:rFonts w:ascii="宋体" w:hAnsi="宋体"/>
          <w:szCs w:val="21"/>
        </w:rPr>
      </w:pPr>
      <w:r>
        <w:rPr>
          <w:rFonts w:hint="eastAsia" w:ascii="宋体" w:hAnsi="宋体"/>
          <w:szCs w:val="21"/>
        </w:rPr>
        <w:t>6.1.14 施工过程中需要使用爆破或带炸药的工具等危险性施工方法时，承包人应提前通知监理人。经监理人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pPr>
        <w:spacing w:line="360" w:lineRule="auto"/>
        <w:ind w:firstLine="420" w:firstLineChars="200"/>
        <w:rPr>
          <w:rFonts w:ascii="宋体" w:hAnsi="宋体"/>
          <w:szCs w:val="21"/>
        </w:rPr>
      </w:pPr>
      <w:r>
        <w:rPr>
          <w:rFonts w:hint="eastAsia" w:ascii="宋体" w:hAnsi="宋体"/>
          <w:szCs w:val="21"/>
        </w:rPr>
        <w:t>6.1.15 基坑支护与降水工程、土方开挖工程、模板工程、起重吊装工程、脚手架工程、拆除工程和爆破工程等达到一定规模和危险性较大的分部分项工程，承包人应当编制专项施工方案，其中深基坑、地下暗挖和高大模板工程的专项施工方案，还应组织专家进行论证和审查。</w:t>
      </w:r>
    </w:p>
    <w:p>
      <w:pPr>
        <w:spacing w:line="360" w:lineRule="auto"/>
        <w:ind w:firstLine="420" w:firstLineChars="200"/>
        <w:rPr>
          <w:rFonts w:ascii="宋体" w:hAnsi="宋体"/>
          <w:szCs w:val="21"/>
        </w:rPr>
      </w:pPr>
      <w:r>
        <w:rPr>
          <w:rFonts w:hint="eastAsia" w:ascii="宋体" w:hAnsi="宋体"/>
          <w:szCs w:val="21"/>
        </w:rPr>
        <w:t>6.1.16 承包人应按照通用合同条款第6.1.8项的约定处理本工程施工过程中发生的事故。发生施工安全事故后，承包人必须立即报告监理人和发包人，并在事故发生后一小时内向发包人提交事故情况书面报告，并根据《生产安全事故报告和调查处理条例》的规定，及时向工程所在地县级以上地方人民政府安全生产监督管理部门和建设行政主管部门报告。情况紧急时，事故现场有关人员可以直接向工程所在地县级以上地方人民政府安全生产监督管理部门和建设行政主管部门报告。</w:t>
      </w:r>
    </w:p>
    <w:p>
      <w:pPr>
        <w:spacing w:line="360" w:lineRule="auto"/>
        <w:ind w:firstLine="420" w:firstLineChars="200"/>
        <w:rPr>
          <w:rFonts w:ascii="宋体" w:hAnsi="宋体"/>
          <w:szCs w:val="21"/>
        </w:rPr>
      </w:pPr>
      <w:r>
        <w:rPr>
          <w:rFonts w:hint="eastAsia" w:ascii="宋体" w:hAnsi="宋体"/>
          <w:szCs w:val="21"/>
        </w:rPr>
        <w:t>6.1.17 承包人还应根据有关法律、法规、规定和条例等的要求，制定一套安全生产应急措施和程序，保证一旦出现任何安全事故，能立即保护好现场，抢救伤员和财产，保证施工生产的正常进行，防止损失扩大。</w:t>
      </w:r>
    </w:p>
    <w:p>
      <w:pPr>
        <w:spacing w:line="360" w:lineRule="auto"/>
        <w:ind w:firstLine="420" w:firstLineChars="200"/>
        <w:rPr>
          <w:rFonts w:ascii="宋体" w:hAnsi="宋体"/>
          <w:szCs w:val="21"/>
        </w:rPr>
      </w:pPr>
      <w:r>
        <w:rPr>
          <w:rFonts w:hint="eastAsia" w:ascii="宋体" w:hAnsi="宋体"/>
          <w:szCs w:val="21"/>
        </w:rPr>
        <w:t>6.1.18 安全防护方面的其他要求如下：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69" w:name="_Toc300678529"/>
      <w:r>
        <w:rPr>
          <w:rFonts w:hint="eastAsia" w:ascii="黑体" w:hAnsi="黑体" w:eastAsia="黑体"/>
          <w:b w:val="0"/>
          <w:bCs w:val="0"/>
          <w:sz w:val="24"/>
        </w:rPr>
        <w:t>6.2 临时消防</w:t>
      </w:r>
      <w:bookmarkEnd w:id="369"/>
    </w:p>
    <w:p>
      <w:pPr>
        <w:spacing w:line="360" w:lineRule="auto"/>
        <w:ind w:firstLine="420" w:firstLineChars="200"/>
        <w:rPr>
          <w:rFonts w:ascii="宋体" w:hAnsi="宋体"/>
          <w:szCs w:val="21"/>
        </w:rPr>
      </w:pPr>
      <w:r>
        <w:rPr>
          <w:rFonts w:hint="eastAsia" w:ascii="宋体" w:hAnsi="宋体"/>
          <w:szCs w:val="21"/>
        </w:rPr>
        <w:t>6.2.1 承包人应建立消防安全责任制度，制定用火、用电和使用易燃易爆等危险品的消防安全管理制度和操作规程。各项制度和规程等应满足相关法律法规和政府消防管理机构的要求。</w:t>
      </w:r>
    </w:p>
    <w:p>
      <w:pPr>
        <w:spacing w:line="360" w:lineRule="auto"/>
        <w:ind w:firstLine="420" w:firstLineChars="200"/>
        <w:rPr>
          <w:rFonts w:ascii="宋体" w:hAnsi="宋体"/>
          <w:szCs w:val="21"/>
        </w:rPr>
      </w:pPr>
      <w:r>
        <w:rPr>
          <w:rFonts w:hint="eastAsia" w:ascii="宋体" w:hAnsi="宋体"/>
          <w:szCs w:val="21"/>
        </w:rPr>
        <w:t>6.2.2 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监理人和消防管理部门的审批和验收；承包人还应自费获得消防管理部门的临时消防证书。所有的临时消防设施属于承包人所有，至工程实际竣工时且永久性消防系统投入使用后从现场拆除。</w:t>
      </w:r>
    </w:p>
    <w:p>
      <w:pPr>
        <w:spacing w:line="360" w:lineRule="auto"/>
        <w:ind w:firstLine="420" w:firstLineChars="200"/>
        <w:rPr>
          <w:rFonts w:ascii="宋体" w:hAnsi="宋体"/>
          <w:szCs w:val="21"/>
        </w:rPr>
      </w:pPr>
      <w:r>
        <w:rPr>
          <w:rFonts w:hint="eastAsia" w:ascii="宋体" w:hAnsi="宋体"/>
          <w:szCs w:val="21"/>
        </w:rPr>
        <w:t>6.2.3 承包人应当成立由项目主要负责人担任组长的临时消防组或消防队，宣传消防基本知识和基本操作培训，组织消防演练，保证一旦发生火灾，能够组织有效的自救，保护生命和财产安全。</w:t>
      </w:r>
    </w:p>
    <w:p>
      <w:pPr>
        <w:spacing w:line="360" w:lineRule="auto"/>
        <w:ind w:firstLine="420" w:firstLineChars="200"/>
        <w:rPr>
          <w:rFonts w:ascii="宋体" w:hAnsi="宋体"/>
          <w:szCs w:val="21"/>
        </w:rPr>
      </w:pPr>
      <w:r>
        <w:rPr>
          <w:rFonts w:hint="eastAsia" w:ascii="宋体" w:hAnsi="宋体"/>
          <w:szCs w:val="21"/>
        </w:rPr>
        <w:t>6.2.4 施工场地（现场）内的易燃、易爆物品应单独和安全地存放，设专人进行存放和领用管理。施工场地（现场）储有或正在使用易燃、易爆或可燃材料时或有明火施工的工序，应当实行严格的“用火证”管理制度。</w:t>
      </w:r>
    </w:p>
    <w:p>
      <w:pPr>
        <w:ind w:firstLine="424" w:firstLineChars="202"/>
        <w:rPr>
          <w:rFonts w:ascii="宋体" w:hAnsi="宋体"/>
          <w:szCs w:val="21"/>
        </w:rPr>
      </w:pPr>
      <w:r>
        <w:rPr>
          <w:rFonts w:hint="eastAsia" w:ascii="宋体" w:hAnsi="宋体"/>
          <w:szCs w:val="21"/>
        </w:rPr>
        <w:t>6.2.5 临时消防方面的其他要求如下：</w:t>
      </w:r>
    </w:p>
    <w:p>
      <w:pPr>
        <w:pStyle w:val="6"/>
        <w:rPr>
          <w:rFonts w:ascii="黑体" w:hAnsi="黑体" w:eastAsia="黑体"/>
          <w:b w:val="0"/>
          <w:bCs w:val="0"/>
          <w:sz w:val="24"/>
        </w:rPr>
      </w:pPr>
      <w:bookmarkStart w:id="370" w:name="_Toc300678530"/>
      <w:r>
        <w:rPr>
          <w:rFonts w:hint="eastAsia" w:ascii="黑体" w:hAnsi="黑体" w:eastAsia="黑体"/>
          <w:b w:val="0"/>
          <w:bCs w:val="0"/>
          <w:sz w:val="24"/>
        </w:rPr>
        <w:t>6.3 临时供电</w:t>
      </w:r>
      <w:bookmarkEnd w:id="370"/>
    </w:p>
    <w:p>
      <w:pPr>
        <w:spacing w:line="360" w:lineRule="auto"/>
        <w:ind w:firstLine="420" w:firstLineChars="200"/>
        <w:rPr>
          <w:rFonts w:ascii="宋体" w:hAnsi="宋体"/>
          <w:szCs w:val="21"/>
        </w:rPr>
      </w:pPr>
      <w:r>
        <w:rPr>
          <w:rFonts w:hint="eastAsia" w:ascii="宋体" w:hAnsi="宋体"/>
          <w:szCs w:val="21"/>
        </w:rPr>
        <w:t>6.3.1 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pPr>
        <w:spacing w:line="360" w:lineRule="auto"/>
        <w:ind w:firstLine="420" w:firstLineChars="200"/>
        <w:rPr>
          <w:rFonts w:ascii="宋体" w:hAnsi="宋体"/>
          <w:szCs w:val="21"/>
        </w:rPr>
      </w:pPr>
      <w:r>
        <w:rPr>
          <w:rFonts w:hint="eastAsia" w:ascii="宋体" w:hAnsi="宋体"/>
          <w:szCs w:val="21"/>
        </w:rPr>
        <w:t>6.3.2 承包人应为施工场地（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pPr>
        <w:spacing w:line="360" w:lineRule="auto"/>
        <w:ind w:firstLine="420" w:firstLineChars="200"/>
        <w:rPr>
          <w:rFonts w:ascii="宋体" w:hAnsi="宋体"/>
          <w:szCs w:val="21"/>
        </w:rPr>
      </w:pPr>
      <w:r>
        <w:rPr>
          <w:rFonts w:hint="eastAsia" w:ascii="宋体" w:hAnsi="宋体"/>
          <w:szCs w:val="21"/>
        </w:rPr>
        <w:t>6.3.3 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严地面明设，并应避免机械损伤和介质腐蚀。埋地电缆路径应设方位标志。各种配电设备均设有防止漏电和防雨防水设施。</w:t>
      </w:r>
    </w:p>
    <w:p>
      <w:pPr>
        <w:spacing w:line="360" w:lineRule="auto"/>
        <w:ind w:firstLine="420" w:firstLineChars="200"/>
        <w:rPr>
          <w:rFonts w:ascii="宋体" w:hAnsi="宋体"/>
          <w:szCs w:val="21"/>
        </w:rPr>
      </w:pPr>
      <w:r>
        <w:rPr>
          <w:rFonts w:hint="eastAsia" w:ascii="宋体" w:hAnsi="宋体"/>
          <w:szCs w:val="21"/>
        </w:rPr>
        <w:t>6.3.4 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pPr>
        <w:spacing w:line="360" w:lineRule="auto"/>
        <w:ind w:firstLine="420" w:firstLineChars="200"/>
        <w:rPr>
          <w:rFonts w:ascii="宋体" w:hAnsi="宋体"/>
          <w:szCs w:val="21"/>
        </w:rPr>
      </w:pPr>
      <w:r>
        <w:rPr>
          <w:rFonts w:hint="eastAsia" w:ascii="宋体" w:hAnsi="宋体"/>
          <w:szCs w:val="21"/>
        </w:rPr>
        <w:t>6.3.5 凡可能漏电伤人或易受雷击的电器及建筑物均应设置接地和避雷装置。承包人应负责避雷装置的采购、安装、管理和维修，并建立定期检查制度。</w:t>
      </w:r>
    </w:p>
    <w:p>
      <w:pPr>
        <w:ind w:firstLine="424" w:firstLineChars="202"/>
        <w:rPr>
          <w:rFonts w:ascii="宋体" w:hAnsi="宋体"/>
          <w:szCs w:val="21"/>
        </w:rPr>
      </w:pPr>
      <w:r>
        <w:rPr>
          <w:rFonts w:hint="eastAsia" w:ascii="宋体" w:hAnsi="宋体"/>
          <w:szCs w:val="21"/>
        </w:rPr>
        <w:t>6.3.6 临时用电方面的其他要求如下：</w:t>
      </w:r>
    </w:p>
    <w:p>
      <w:pPr>
        <w:ind w:firstLine="424" w:firstLineChars="202"/>
        <w:rPr>
          <w:rFonts w:ascii="宋体" w:hAnsi="宋体"/>
          <w:szCs w:val="21"/>
        </w:rPr>
      </w:pPr>
    </w:p>
    <w:p>
      <w:pPr>
        <w:ind w:firstLine="424" w:firstLineChars="202"/>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71" w:name="_Toc300678531"/>
      <w:r>
        <w:rPr>
          <w:rFonts w:hint="eastAsia" w:ascii="黑体" w:hAnsi="黑体" w:eastAsia="黑体"/>
          <w:b w:val="0"/>
          <w:bCs w:val="0"/>
          <w:sz w:val="24"/>
        </w:rPr>
        <w:t>6.4 劳动保护</w:t>
      </w:r>
      <w:bookmarkEnd w:id="371"/>
    </w:p>
    <w:p>
      <w:pPr>
        <w:spacing w:line="360" w:lineRule="auto"/>
        <w:ind w:firstLine="420" w:firstLineChars="200"/>
        <w:rPr>
          <w:rFonts w:ascii="宋体" w:hAnsi="宋体"/>
          <w:szCs w:val="21"/>
        </w:rPr>
      </w:pPr>
      <w:r>
        <w:rPr>
          <w:rFonts w:hint="eastAsia" w:ascii="宋体" w:hAnsi="宋体"/>
          <w:szCs w:val="21"/>
        </w:rPr>
        <w:t>6.4.1 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pPr>
        <w:spacing w:line="360" w:lineRule="auto"/>
        <w:ind w:firstLine="420" w:firstLineChars="200"/>
        <w:rPr>
          <w:rFonts w:ascii="宋体" w:hAnsi="宋体"/>
          <w:szCs w:val="21"/>
        </w:rPr>
      </w:pPr>
      <w:r>
        <w:rPr>
          <w:rFonts w:hint="eastAsia" w:ascii="宋体" w:hAnsi="宋体"/>
          <w:szCs w:val="21"/>
        </w:rPr>
        <w:t>6.4.2 承包人应按照国家《劳动保护法》的规定，保障现场施工人员的劳动安全。承包人应为本合同下雇佣的职员和工人提供适当和充分的劳动保护，包括但不限于安全防护、防寒、防雨、防尘、绝缘保护、常用药品、急救设备、传染病预防等。</w:t>
      </w:r>
    </w:p>
    <w:p>
      <w:pPr>
        <w:spacing w:line="360" w:lineRule="auto"/>
        <w:ind w:firstLine="420" w:firstLineChars="200"/>
        <w:rPr>
          <w:rFonts w:ascii="宋体" w:hAnsi="宋体"/>
          <w:szCs w:val="21"/>
        </w:rPr>
      </w:pPr>
      <w:r>
        <w:rPr>
          <w:rFonts w:hint="eastAsia" w:ascii="宋体" w:hAnsi="宋体"/>
          <w:szCs w:val="21"/>
        </w:rPr>
        <w:t>6.4.3 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pPr>
        <w:spacing w:line="360" w:lineRule="auto"/>
        <w:ind w:firstLine="420" w:firstLineChars="200"/>
        <w:rPr>
          <w:rFonts w:ascii="宋体" w:hAnsi="宋体"/>
          <w:szCs w:val="21"/>
        </w:rPr>
      </w:pPr>
      <w:r>
        <w:rPr>
          <w:rFonts w:hint="eastAsia" w:ascii="宋体" w:hAnsi="宋体"/>
          <w:szCs w:val="21"/>
        </w:rPr>
        <w:t>6.4.4 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pPr>
        <w:spacing w:line="360" w:lineRule="auto"/>
        <w:ind w:firstLine="420" w:firstLineChars="200"/>
        <w:rPr>
          <w:rFonts w:ascii="宋体" w:hAnsi="宋体"/>
          <w:szCs w:val="21"/>
        </w:rPr>
      </w:pPr>
      <w:r>
        <w:rPr>
          <w:rFonts w:hint="eastAsia" w:ascii="宋体" w:hAnsi="宋体"/>
          <w:szCs w:val="21"/>
        </w:rPr>
        <w:t>6.4.5 承包人应在现场设立专门的临时医疗站，配备足够的设施、药物和称职的医务人员，承包人还应准备急救担架，用于一旦发生安全事故时对受伤人员的急救。</w:t>
      </w:r>
    </w:p>
    <w:p>
      <w:pPr>
        <w:spacing w:line="360" w:lineRule="auto"/>
        <w:ind w:firstLine="420" w:firstLineChars="200"/>
        <w:rPr>
          <w:rFonts w:ascii="宋体" w:hAnsi="宋体"/>
          <w:szCs w:val="21"/>
        </w:rPr>
      </w:pPr>
      <w:r>
        <w:rPr>
          <w:rFonts w:hint="eastAsia" w:ascii="宋体" w:hAnsi="宋体"/>
          <w:szCs w:val="21"/>
        </w:rPr>
        <w:t>6.4.6 劳动保护方面的其他要求如下：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72" w:name="_Toc300678532"/>
      <w:r>
        <w:rPr>
          <w:rFonts w:hint="eastAsia" w:ascii="黑体" w:hAnsi="黑体" w:eastAsia="黑体"/>
          <w:b w:val="0"/>
          <w:bCs w:val="0"/>
          <w:sz w:val="24"/>
        </w:rPr>
        <w:t>6.5 脚手架</w:t>
      </w:r>
      <w:bookmarkEnd w:id="372"/>
    </w:p>
    <w:p>
      <w:pPr>
        <w:spacing w:line="360" w:lineRule="auto"/>
        <w:ind w:firstLine="420" w:firstLineChars="200"/>
        <w:rPr>
          <w:rFonts w:ascii="宋体" w:hAnsi="宋体"/>
          <w:szCs w:val="21"/>
        </w:rPr>
      </w:pPr>
      <w:r>
        <w:rPr>
          <w:rFonts w:hint="eastAsia" w:ascii="宋体" w:hAnsi="宋体"/>
          <w:szCs w:val="21"/>
        </w:rPr>
        <w:t>6.5.1 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pPr>
        <w:spacing w:line="360" w:lineRule="auto"/>
        <w:ind w:firstLine="420" w:firstLineChars="200"/>
        <w:rPr>
          <w:rFonts w:ascii="宋体" w:hAnsi="宋体"/>
          <w:szCs w:val="21"/>
        </w:rPr>
      </w:pPr>
      <w:r>
        <w:rPr>
          <w:rFonts w:hint="eastAsia" w:ascii="宋体" w:hAnsi="宋体"/>
          <w:szCs w:val="21"/>
        </w:rPr>
        <w:t>6.5.2 所有脚手架，尤其是大型、复杂、高耸和非常规脚手架，要编制专项施工方案，还应当经过安全验算，脚手架安全验算结果必须报送监理人核查后方可实施。</w:t>
      </w:r>
    </w:p>
    <w:p>
      <w:pPr>
        <w:spacing w:line="360" w:lineRule="auto"/>
        <w:ind w:firstLine="420" w:firstLineChars="200"/>
        <w:rPr>
          <w:rFonts w:ascii="宋体" w:hAnsi="宋体"/>
          <w:szCs w:val="21"/>
        </w:rPr>
      </w:pPr>
      <w:r>
        <w:rPr>
          <w:rFonts w:hint="eastAsia" w:ascii="宋体" w:hAnsi="宋体"/>
          <w:szCs w:val="21"/>
        </w:rPr>
        <w:t>6.5.3 搭设爬架、挂架、超高脚手架等特种或新型脚手架时，承包人应确保此类脚手架的安全性和保证此类脚手架已经过有关行政管理部门允许使用的批准，并承担与此有关的一切费用。</w:t>
      </w:r>
    </w:p>
    <w:p>
      <w:pPr>
        <w:spacing w:line="360" w:lineRule="auto"/>
        <w:ind w:firstLine="420" w:firstLineChars="200"/>
        <w:rPr>
          <w:rFonts w:ascii="宋体" w:hAnsi="宋体"/>
          <w:szCs w:val="21"/>
        </w:rPr>
      </w:pPr>
      <w:r>
        <w:rPr>
          <w:rFonts w:hint="eastAsia" w:ascii="宋体" w:hAnsi="宋体"/>
          <w:szCs w:val="21"/>
        </w:rPr>
        <w:t>6.5.4 承包人应当加强脚手架的日常安全巡查，及时对其中的安全隐患进行整改，确保脚手架使用安全。雨、雪、雾、霜和大风等天气后，承包人必须对脚手架进行安全巡查，并及时消除安全隐患。</w:t>
      </w:r>
    </w:p>
    <w:p>
      <w:pPr>
        <w:spacing w:line="360" w:lineRule="auto"/>
        <w:ind w:firstLine="420" w:firstLineChars="200"/>
        <w:rPr>
          <w:rFonts w:ascii="宋体" w:hAnsi="宋体"/>
          <w:szCs w:val="21"/>
        </w:rPr>
      </w:pPr>
      <w:r>
        <w:rPr>
          <w:rFonts w:hint="eastAsia" w:ascii="宋体" w:hAnsi="宋体"/>
          <w:szCs w:val="21"/>
        </w:rPr>
        <w:t>6.5.5 承包人应允许发包人、监理人、专业分包人、独立承包人（如果有）和有关行政管理部门或者机构免费使用承包人在现场搭设的任何已有脚手架，并就其安全使用做必要交底说明。承包人在拆除任何脚手架前，应书面请示监理人他将要拆除的脚手架是否为发包人、监理人、专业分包人、独立承包人（如果有）和政府有关机构所需，只有在获得监理人书面批准后，承包人才能拆除相关脚手架，否则承包人应自费重新搭设。</w:t>
      </w:r>
    </w:p>
    <w:p>
      <w:pPr>
        <w:spacing w:line="360" w:lineRule="auto"/>
        <w:ind w:firstLine="420" w:firstLineChars="200"/>
        <w:rPr>
          <w:rFonts w:ascii="宋体" w:hAnsi="宋体"/>
          <w:szCs w:val="21"/>
        </w:rPr>
      </w:pPr>
      <w:r>
        <w:rPr>
          <w:rFonts w:hint="eastAsia" w:ascii="宋体" w:hAnsi="宋体"/>
          <w:szCs w:val="21"/>
        </w:rPr>
        <w:t>6.5.6 脚手架的其他要求如下：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73" w:name="_Toc300678533"/>
      <w:r>
        <w:rPr>
          <w:rFonts w:hint="eastAsia" w:ascii="黑体" w:hAnsi="黑体" w:eastAsia="黑体"/>
          <w:b w:val="0"/>
          <w:bCs w:val="0"/>
          <w:sz w:val="24"/>
        </w:rPr>
        <w:t>6.6 施工安全措施计划</w:t>
      </w:r>
      <w:bookmarkEnd w:id="373"/>
    </w:p>
    <w:p>
      <w:pPr>
        <w:spacing w:line="360" w:lineRule="auto"/>
        <w:ind w:firstLine="420" w:firstLineChars="200"/>
        <w:rPr>
          <w:rFonts w:ascii="宋体" w:hAnsi="宋体"/>
          <w:szCs w:val="21"/>
        </w:rPr>
      </w:pPr>
      <w:r>
        <w:rPr>
          <w:rFonts w:hint="eastAsia" w:ascii="宋体" w:hAnsi="宋体"/>
          <w:szCs w:val="21"/>
        </w:rPr>
        <w:t>6.6.1 承包人应根据《中华人民共和国安全生产法》、《职业健康安全管理体系规范》、《中华人民共和国消防法》、《中华人民共和国道路交通安全法》、《中华人民共和国传染病防治法实施办法》和地方有关的法规等，按照合同条款第7.1款的约定，编制一份施工安全措施计划，报送监理人审批。</w:t>
      </w:r>
    </w:p>
    <w:p>
      <w:pPr>
        <w:spacing w:line="360" w:lineRule="auto"/>
        <w:ind w:firstLine="420" w:firstLineChars="200"/>
        <w:rPr>
          <w:rFonts w:ascii="宋体" w:hAnsi="宋体"/>
          <w:szCs w:val="21"/>
        </w:rPr>
      </w:pPr>
      <w:r>
        <w:rPr>
          <w:rFonts w:hint="eastAsia" w:ascii="宋体" w:hAnsi="宋体"/>
          <w:szCs w:val="21"/>
        </w:rPr>
        <w:t>6.6.2 施工安全措施计划是承包人阐明其安全管理方针、管理体系、安全制度和安全措施等的文件，其内容应当反映现行法律法规规定的和合同条款约定的以及本条上述约定的承包人安全职责，包括但不限于：</w:t>
      </w:r>
    </w:p>
    <w:p>
      <w:pPr>
        <w:spacing w:line="360" w:lineRule="auto"/>
        <w:rPr>
          <w:rFonts w:ascii="宋体" w:hAnsi="宋体"/>
          <w:szCs w:val="21"/>
        </w:rPr>
      </w:pPr>
      <w:r>
        <w:rPr>
          <w:rFonts w:hint="eastAsia" w:ascii="宋体" w:hAnsi="宋体"/>
          <w:szCs w:val="21"/>
        </w:rPr>
        <w:t xml:space="preserve">    （1）施工安全管理机构的设置；</w:t>
      </w:r>
    </w:p>
    <w:p>
      <w:pPr>
        <w:spacing w:line="360" w:lineRule="auto"/>
        <w:rPr>
          <w:rFonts w:ascii="宋体" w:hAnsi="宋体"/>
          <w:szCs w:val="21"/>
        </w:rPr>
      </w:pPr>
      <w:r>
        <w:rPr>
          <w:rFonts w:hint="eastAsia" w:ascii="宋体" w:hAnsi="宋体"/>
          <w:szCs w:val="21"/>
        </w:rPr>
        <w:t xml:space="preserve">    （2）专职安全管理人员的配备；</w:t>
      </w:r>
    </w:p>
    <w:p>
      <w:pPr>
        <w:spacing w:line="360" w:lineRule="auto"/>
        <w:rPr>
          <w:rFonts w:ascii="宋体" w:hAnsi="宋体"/>
          <w:szCs w:val="21"/>
        </w:rPr>
      </w:pPr>
      <w:r>
        <w:rPr>
          <w:rFonts w:hint="eastAsia" w:ascii="宋体" w:hAnsi="宋体"/>
          <w:szCs w:val="21"/>
        </w:rPr>
        <w:t xml:space="preserve">    （3）安全责任制度和管理措施；</w:t>
      </w:r>
    </w:p>
    <w:p>
      <w:pPr>
        <w:spacing w:line="360" w:lineRule="auto"/>
        <w:rPr>
          <w:rFonts w:ascii="宋体" w:hAnsi="宋体"/>
          <w:szCs w:val="21"/>
        </w:rPr>
      </w:pPr>
      <w:r>
        <w:rPr>
          <w:rFonts w:hint="eastAsia" w:ascii="宋体" w:hAnsi="宋体"/>
          <w:szCs w:val="21"/>
        </w:rPr>
        <w:t xml:space="preserve">    （4）安全教育和培训制度及管理措施；</w:t>
      </w:r>
    </w:p>
    <w:p>
      <w:pPr>
        <w:spacing w:line="360" w:lineRule="auto"/>
        <w:rPr>
          <w:rFonts w:ascii="宋体" w:hAnsi="宋体"/>
          <w:szCs w:val="21"/>
        </w:rPr>
      </w:pPr>
      <w:r>
        <w:rPr>
          <w:rFonts w:hint="eastAsia" w:ascii="宋体" w:hAnsi="宋体"/>
          <w:szCs w:val="21"/>
        </w:rPr>
        <w:t xml:space="preserve">    （5）各项安全生产规章制度和操作规程；</w:t>
      </w:r>
    </w:p>
    <w:p>
      <w:pPr>
        <w:spacing w:line="360" w:lineRule="auto"/>
        <w:rPr>
          <w:rFonts w:ascii="宋体" w:hAnsi="宋体"/>
          <w:szCs w:val="21"/>
        </w:rPr>
      </w:pPr>
      <w:r>
        <w:rPr>
          <w:rFonts w:hint="eastAsia" w:ascii="宋体" w:hAnsi="宋体"/>
          <w:szCs w:val="21"/>
        </w:rPr>
        <w:t xml:space="preserve">    （6）各项施工安全措施和防护措施；</w:t>
      </w:r>
    </w:p>
    <w:p>
      <w:pPr>
        <w:spacing w:line="360" w:lineRule="auto"/>
        <w:rPr>
          <w:rFonts w:ascii="宋体" w:hAnsi="宋体"/>
          <w:szCs w:val="21"/>
        </w:rPr>
      </w:pPr>
      <w:r>
        <w:rPr>
          <w:rFonts w:hint="eastAsia" w:ascii="宋体" w:hAnsi="宋体"/>
          <w:szCs w:val="21"/>
        </w:rPr>
        <w:t xml:space="preserve">    （7）危险品管理和使用制度；</w:t>
      </w:r>
    </w:p>
    <w:p>
      <w:pPr>
        <w:spacing w:line="360" w:lineRule="auto"/>
        <w:rPr>
          <w:rFonts w:ascii="宋体" w:hAnsi="宋体"/>
          <w:szCs w:val="21"/>
        </w:rPr>
      </w:pPr>
      <w:r>
        <w:rPr>
          <w:rFonts w:hint="eastAsia" w:ascii="宋体" w:hAnsi="宋体"/>
          <w:szCs w:val="21"/>
        </w:rPr>
        <w:t xml:space="preserve">    （8）安全设施、设备、器材和劳动保护用品的配置；</w:t>
      </w:r>
    </w:p>
    <w:p>
      <w:pPr>
        <w:spacing w:line="360" w:lineRule="auto"/>
        <w:rPr>
          <w:rFonts w:ascii="宋体" w:hAnsi="宋体"/>
          <w:szCs w:val="21"/>
        </w:rPr>
      </w:pPr>
      <w:r>
        <w:rPr>
          <w:rFonts w:hint="eastAsia" w:ascii="宋体" w:hAnsi="宋体"/>
          <w:szCs w:val="21"/>
        </w:rPr>
        <w:t xml:space="preserve">    （9）其他：。</w:t>
      </w:r>
    </w:p>
    <w:p>
      <w:pPr>
        <w:spacing w:line="360" w:lineRule="auto"/>
        <w:ind w:firstLine="420" w:firstLineChars="200"/>
        <w:rPr>
          <w:rFonts w:ascii="宋体" w:hAnsi="宋体"/>
          <w:szCs w:val="21"/>
        </w:rPr>
      </w:pPr>
      <w:r>
        <w:rPr>
          <w:rFonts w:hint="eastAsia" w:ascii="宋体" w:hAnsi="宋体"/>
          <w:szCs w:val="21"/>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pPr>
        <w:spacing w:line="360" w:lineRule="auto"/>
        <w:ind w:firstLine="420" w:firstLineChars="200"/>
        <w:rPr>
          <w:rFonts w:ascii="宋体" w:hAnsi="宋体"/>
          <w:szCs w:val="21"/>
        </w:rPr>
      </w:pPr>
      <w:r>
        <w:rPr>
          <w:rFonts w:hint="eastAsia" w:ascii="宋体" w:hAnsi="宋体"/>
          <w:szCs w:val="21"/>
        </w:rPr>
        <w:t>6.6.3 施工安全措施计划应当在专用合同条款第7.1款约定的期限内报送监理人。承包人应当严格执行经监理人批准的施工安全措施计划，并及时补充、修订和完善施工安全措施计划，确保安全生产。</w:t>
      </w:r>
    </w:p>
    <w:p>
      <w:pPr>
        <w:pStyle w:val="6"/>
        <w:rPr>
          <w:rFonts w:ascii="黑体" w:hAnsi="黑体" w:eastAsia="黑体"/>
          <w:b w:val="0"/>
          <w:bCs w:val="0"/>
          <w:sz w:val="24"/>
        </w:rPr>
      </w:pPr>
      <w:bookmarkStart w:id="374" w:name="_Toc300678534"/>
      <w:r>
        <w:rPr>
          <w:rFonts w:hint="eastAsia" w:ascii="黑体" w:hAnsi="黑体" w:eastAsia="黑体"/>
          <w:b w:val="0"/>
          <w:bCs w:val="0"/>
          <w:sz w:val="24"/>
        </w:rPr>
        <w:t>6.7 文明施工</w:t>
      </w:r>
      <w:bookmarkEnd w:id="374"/>
    </w:p>
    <w:p>
      <w:pPr>
        <w:spacing w:line="360" w:lineRule="auto"/>
        <w:ind w:firstLine="420" w:firstLineChars="200"/>
        <w:rPr>
          <w:rFonts w:ascii="宋体" w:hAnsi="宋体"/>
          <w:szCs w:val="21"/>
        </w:rPr>
      </w:pPr>
      <w:r>
        <w:rPr>
          <w:rFonts w:hint="eastAsia" w:ascii="宋体" w:hAnsi="宋体"/>
          <w:szCs w:val="21"/>
        </w:rPr>
        <w:t>6.7.1 承包人应遵守国家和工程所在地有关法规、规范、规程和标准的规定，履行文明施工义务，确保文明施工专项费用专款专用。</w:t>
      </w:r>
    </w:p>
    <w:p>
      <w:pPr>
        <w:spacing w:line="360" w:lineRule="auto"/>
        <w:ind w:firstLine="420" w:firstLineChars="200"/>
        <w:rPr>
          <w:rFonts w:ascii="宋体" w:hAnsi="宋体"/>
          <w:szCs w:val="21"/>
        </w:rPr>
      </w:pPr>
      <w:r>
        <w:rPr>
          <w:rFonts w:hint="eastAsia" w:ascii="宋体" w:hAnsi="宋体"/>
          <w:szCs w:val="21"/>
        </w:rPr>
        <w:t>6.7.2 承包人应当规范现场施工秩序，实行标准化管理：</w:t>
      </w:r>
    </w:p>
    <w:p>
      <w:pPr>
        <w:spacing w:line="360" w:lineRule="auto"/>
        <w:ind w:firstLine="420" w:firstLineChars="200"/>
        <w:rPr>
          <w:rFonts w:ascii="宋体" w:hAnsi="宋体"/>
          <w:szCs w:val="21"/>
        </w:rPr>
      </w:pPr>
      <w:r>
        <w:rPr>
          <w:rFonts w:hint="eastAsia" w:ascii="宋体" w:hAnsi="宋体"/>
          <w:szCs w:val="21"/>
        </w:rPr>
        <w:t>（1）承包人的施工场地（现场）必须干净整治、做到无积水、无淤泥、无杂物，材料堆放整齐；</w:t>
      </w:r>
    </w:p>
    <w:p>
      <w:pPr>
        <w:spacing w:line="360" w:lineRule="auto"/>
        <w:ind w:right="-174" w:rightChars="-83" w:firstLine="420" w:firstLineChars="200"/>
        <w:rPr>
          <w:rFonts w:ascii="宋体" w:hAnsi="宋体"/>
          <w:szCs w:val="21"/>
        </w:rPr>
      </w:pPr>
      <w:r>
        <w:rPr>
          <w:rFonts w:hint="eastAsia" w:ascii="宋体" w:hAnsi="宋体"/>
          <w:szCs w:val="21"/>
        </w:rPr>
        <w:t>（2）施工场地（现场）应进行硬化处理，定期定时洒水，做好防治扬尘和大气污染工作；</w:t>
      </w:r>
    </w:p>
    <w:p>
      <w:pPr>
        <w:spacing w:line="360" w:lineRule="auto"/>
        <w:ind w:firstLine="420" w:firstLineChars="200"/>
        <w:rPr>
          <w:rFonts w:ascii="宋体" w:hAnsi="宋体"/>
          <w:szCs w:val="21"/>
        </w:rPr>
      </w:pPr>
      <w:r>
        <w:rPr>
          <w:rFonts w:hint="eastAsia" w:ascii="宋体" w:hAnsi="宋体"/>
          <w:szCs w:val="21"/>
        </w:rPr>
        <w:t>（3）严格遵守“工完、料尽、场地净”的原则，不留垃圾、不留剩余施工材料和施工机具，各种设备运转正常；</w:t>
      </w:r>
    </w:p>
    <w:p>
      <w:pPr>
        <w:spacing w:line="360" w:lineRule="auto"/>
        <w:ind w:firstLine="420" w:firstLineChars="200"/>
        <w:rPr>
          <w:rFonts w:ascii="宋体" w:hAnsi="宋体"/>
          <w:szCs w:val="21"/>
        </w:rPr>
      </w:pPr>
      <w:r>
        <w:rPr>
          <w:rFonts w:hint="eastAsia" w:ascii="宋体" w:hAnsi="宋体"/>
          <w:szCs w:val="21"/>
        </w:rPr>
        <w:t>（4）承包人修建的施工临时设施应符合监理人批准的施工规划要求，并应满足本节规定的各项安全要求；</w:t>
      </w:r>
    </w:p>
    <w:p>
      <w:pPr>
        <w:spacing w:line="360" w:lineRule="auto"/>
        <w:ind w:firstLine="420" w:firstLineChars="200"/>
        <w:rPr>
          <w:rFonts w:ascii="宋体" w:hAnsi="宋体"/>
          <w:szCs w:val="21"/>
        </w:rPr>
      </w:pPr>
      <w:r>
        <w:rPr>
          <w:rFonts w:hint="eastAsia" w:ascii="宋体" w:hAnsi="宋体"/>
          <w:szCs w:val="21"/>
        </w:rPr>
        <w:t>（5）监理人可要求承包人在施工场地（现场）设置各级承包人的安全文明施工责任牌等文明施工警示牌；</w:t>
      </w:r>
    </w:p>
    <w:p>
      <w:pPr>
        <w:spacing w:line="360" w:lineRule="auto"/>
        <w:ind w:firstLine="420" w:firstLineChars="200"/>
        <w:rPr>
          <w:rFonts w:ascii="宋体" w:hAnsi="宋体"/>
          <w:szCs w:val="21"/>
        </w:rPr>
      </w:pPr>
      <w:r>
        <w:rPr>
          <w:rFonts w:hint="eastAsia" w:ascii="宋体" w:hAnsi="宋体"/>
          <w:szCs w:val="21"/>
        </w:rPr>
        <w:t>（6）材料进入现场应按指定位置堆放整齐，不得影响现场施工和堵塞施工、消防通道。材料堆放场地应有专职的管理人员；</w:t>
      </w:r>
    </w:p>
    <w:p>
      <w:pPr>
        <w:spacing w:line="360" w:lineRule="auto"/>
        <w:ind w:firstLine="420" w:firstLineChars="200"/>
        <w:rPr>
          <w:rFonts w:ascii="宋体" w:hAnsi="宋体"/>
          <w:szCs w:val="21"/>
        </w:rPr>
      </w:pPr>
      <w:r>
        <w:rPr>
          <w:rFonts w:hint="eastAsia" w:ascii="宋体" w:hAnsi="宋体"/>
          <w:szCs w:val="21"/>
        </w:rPr>
        <w:t>（7）施工和安装用的各种扣件、紧固件、绳索具、小型配件、镙钉等应在专设的仓库内装箱放置；</w:t>
      </w:r>
    </w:p>
    <w:p>
      <w:pPr>
        <w:spacing w:line="360" w:lineRule="auto"/>
        <w:ind w:firstLine="420" w:firstLineChars="200"/>
        <w:rPr>
          <w:rFonts w:ascii="宋体" w:hAnsi="宋体"/>
          <w:szCs w:val="21"/>
        </w:rPr>
      </w:pPr>
      <w:r>
        <w:rPr>
          <w:rFonts w:hint="eastAsia" w:ascii="宋体" w:hAnsi="宋体"/>
          <w:szCs w:val="21"/>
        </w:rPr>
        <w:t>（8）现场风、水管及照明电线的布置应安全、合理、规范、有序，做到整齐美观。不得随意架设  和造成隐患或影响施工。</w:t>
      </w:r>
    </w:p>
    <w:p>
      <w:pPr>
        <w:spacing w:line="360" w:lineRule="auto"/>
        <w:ind w:right="42" w:rightChars="20" w:firstLine="420" w:firstLineChars="200"/>
        <w:rPr>
          <w:rFonts w:ascii="宋体" w:hAnsi="宋体"/>
          <w:szCs w:val="21"/>
        </w:rPr>
      </w:pPr>
      <w:r>
        <w:rPr>
          <w:rFonts w:hint="eastAsia" w:ascii="宋体" w:hAnsi="宋体"/>
          <w:szCs w:val="21"/>
        </w:rPr>
        <w:t>6.7.3 承包人应为其雇佣的施工工人建立并维护相应的生活宿舍、食堂、浴室、厕所和文化活动室等，其标准应满足政府有关机构的生活标准和卫生标准等的要求。</w:t>
      </w:r>
    </w:p>
    <w:p>
      <w:pPr>
        <w:spacing w:line="360" w:lineRule="auto"/>
        <w:ind w:right="42" w:rightChars="20" w:firstLine="420" w:firstLineChars="200"/>
        <w:rPr>
          <w:rFonts w:ascii="宋体" w:hAnsi="宋体"/>
          <w:szCs w:val="21"/>
        </w:rPr>
      </w:pPr>
      <w:r>
        <w:rPr>
          <w:rFonts w:hint="eastAsia" w:ascii="宋体" w:hAnsi="宋体"/>
          <w:szCs w:val="21"/>
        </w:rPr>
        <w:t>6.7.4 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等。因承包人措施不得力或不到位而给工程带来的任何损失或损害由承包人自己负责。</w:t>
      </w:r>
    </w:p>
    <w:p>
      <w:pPr>
        <w:spacing w:line="360" w:lineRule="auto"/>
        <w:ind w:right="42" w:rightChars="20" w:firstLine="420" w:firstLineChars="200"/>
        <w:rPr>
          <w:rFonts w:ascii="宋体" w:hAnsi="宋体"/>
          <w:szCs w:val="21"/>
        </w:rPr>
      </w:pPr>
      <w:r>
        <w:rPr>
          <w:rFonts w:hint="eastAsia" w:ascii="宋体" w:hAnsi="宋体"/>
          <w:szCs w:val="21"/>
        </w:rPr>
        <w:t>6.7.5 在工程施工期间，承包人应始终避免现场出现不必要的障碍物，妥当存放并处置施工设备和多余的材料，及时从现场清除运走任何废料、垃圾或不再需要的临时工程和设施。</w:t>
      </w:r>
    </w:p>
    <w:p>
      <w:pPr>
        <w:spacing w:line="360" w:lineRule="auto"/>
        <w:ind w:right="42" w:rightChars="20" w:firstLine="420" w:firstLineChars="200"/>
        <w:rPr>
          <w:rFonts w:ascii="宋体" w:hAnsi="宋体"/>
          <w:szCs w:val="21"/>
        </w:rPr>
      </w:pPr>
      <w:r>
        <w:rPr>
          <w:rFonts w:hint="eastAsia" w:ascii="宋体" w:hAnsi="宋体"/>
          <w:szCs w:val="21"/>
        </w:rPr>
        <w:t>6.7.6 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pPr>
        <w:spacing w:line="360" w:lineRule="auto"/>
        <w:ind w:right="42" w:rightChars="20" w:firstLine="420" w:firstLineChars="200"/>
        <w:rPr>
          <w:rFonts w:ascii="宋体" w:hAnsi="宋体"/>
          <w:szCs w:val="21"/>
        </w:rPr>
      </w:pPr>
      <w:r>
        <w:rPr>
          <w:rFonts w:hint="eastAsia" w:ascii="宋体" w:hAnsi="宋体"/>
          <w:szCs w:val="21"/>
        </w:rPr>
        <w:t>6.7.7 承包人应在现场设立固定的垃圾临时存放点并在各楼层或区域设立必要的垃圾箱；所有垃圾必须在当天清除出现场，并按有关行政管理部门的规定，运送到指定的垃圾消纳场。</w:t>
      </w:r>
    </w:p>
    <w:p>
      <w:pPr>
        <w:spacing w:line="360" w:lineRule="auto"/>
        <w:ind w:right="42" w:rightChars="20" w:firstLine="420" w:firstLineChars="200"/>
        <w:rPr>
          <w:rFonts w:ascii="宋体" w:hAnsi="宋体"/>
          <w:szCs w:val="21"/>
        </w:rPr>
      </w:pPr>
      <w:r>
        <w:rPr>
          <w:rFonts w:hint="eastAsia" w:ascii="宋体" w:hAnsi="宋体"/>
          <w:szCs w:val="21"/>
        </w:rPr>
        <w:t>6.7.8 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pPr>
        <w:spacing w:line="360" w:lineRule="auto"/>
        <w:ind w:right="42" w:rightChars="20" w:firstLine="420" w:firstLineChars="200"/>
        <w:rPr>
          <w:rFonts w:ascii="宋体" w:hAnsi="宋体"/>
          <w:szCs w:val="21"/>
        </w:rPr>
      </w:pPr>
      <w:r>
        <w:rPr>
          <w:rFonts w:hint="eastAsia" w:ascii="宋体" w:hAnsi="宋体"/>
          <w:szCs w:val="21"/>
        </w:rPr>
        <w:t>6.7.9 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监理人审批。</w:t>
      </w:r>
    </w:p>
    <w:p>
      <w:pPr>
        <w:spacing w:line="360" w:lineRule="auto"/>
        <w:ind w:right="42" w:rightChars="20" w:firstLine="420" w:firstLineChars="200"/>
        <w:rPr>
          <w:rFonts w:ascii="宋体" w:hAnsi="宋体"/>
          <w:szCs w:val="21"/>
          <w:u w:val="single"/>
        </w:rPr>
      </w:pPr>
      <w:r>
        <w:rPr>
          <w:rFonts w:hint="eastAsia" w:ascii="宋体" w:hAnsi="宋体"/>
          <w:szCs w:val="21"/>
        </w:rPr>
        <w:t>6.7.10 文明施工方面的其他要求如下：</w:t>
      </w:r>
    </w:p>
    <w:p>
      <w:pPr>
        <w:spacing w:line="360" w:lineRule="auto"/>
        <w:ind w:right="42" w:rightChars="20" w:firstLine="420" w:firstLineChars="200"/>
        <w:rPr>
          <w:rFonts w:ascii="宋体" w:hAnsi="宋体"/>
          <w:szCs w:val="21"/>
        </w:rPr>
      </w:pPr>
      <w:r>
        <w:rPr>
          <w:rFonts w:hint="eastAsia" w:ascii="宋体" w:hAnsi="宋体"/>
          <w:szCs w:val="21"/>
        </w:rPr>
        <w:t>。</w:t>
      </w:r>
    </w:p>
    <w:p>
      <w:pPr>
        <w:ind w:right="42" w:rightChars="20" w:firstLine="482" w:firstLineChars="200"/>
        <w:rPr>
          <w:rFonts w:ascii="黑体" w:hAnsi="黑体" w:eastAsia="黑体"/>
          <w:b/>
          <w:bCs/>
          <w:sz w:val="24"/>
        </w:rPr>
      </w:pPr>
      <w:bookmarkStart w:id="375" w:name="_Toc300678535"/>
      <w:r>
        <w:rPr>
          <w:rFonts w:hint="eastAsia" w:ascii="黑体" w:hAnsi="黑体" w:eastAsia="黑体"/>
          <w:b/>
          <w:bCs/>
          <w:sz w:val="24"/>
        </w:rPr>
        <w:t>6.8 环境保护</w:t>
      </w:r>
      <w:bookmarkEnd w:id="375"/>
    </w:p>
    <w:p>
      <w:pPr>
        <w:spacing w:line="360" w:lineRule="auto"/>
        <w:ind w:right="42" w:rightChars="20" w:firstLine="420" w:firstLineChars="200"/>
        <w:rPr>
          <w:rFonts w:ascii="宋体" w:hAnsi="宋体"/>
          <w:szCs w:val="21"/>
        </w:rPr>
      </w:pPr>
      <w:r>
        <w:rPr>
          <w:rFonts w:hint="eastAsia" w:ascii="宋体" w:hAnsi="宋体"/>
          <w:szCs w:val="21"/>
        </w:rPr>
        <w:t>6.8.1 在工程施工、完工及修补任何缺陷的过程中，承包人应当始终遵守国家和工程所在地有关环境保护、水土保护和污染防治的法律、法规、规章、规范、标准和规程等，按照通用合同条款第6.3款的约定履行其环境与生态保护职责。</w:t>
      </w:r>
    </w:p>
    <w:p>
      <w:pPr>
        <w:spacing w:line="360" w:lineRule="auto"/>
        <w:ind w:right="42" w:rightChars="20" w:firstLine="420" w:firstLineChars="200"/>
        <w:rPr>
          <w:rFonts w:ascii="宋体" w:hAnsi="宋体"/>
          <w:szCs w:val="21"/>
        </w:rPr>
      </w:pPr>
      <w:r>
        <w:rPr>
          <w:rFonts w:hint="eastAsia" w:ascii="宋体" w:hAnsi="宋体"/>
          <w:szCs w:val="21"/>
        </w:rPr>
        <w:t>6.8.2 承包人应按合同约定和监理人指示，接受国家和地方环境保护行政主管部门的监督、监测和检查。承包人应对其违反现行法律、法规、规章、规范、标准和规程等以及本合同约定所造成的环境污染、水土流失、人员伤害和财产损失等承担赔偿责任。</w:t>
      </w:r>
    </w:p>
    <w:p>
      <w:pPr>
        <w:spacing w:line="360" w:lineRule="auto"/>
        <w:ind w:right="42" w:rightChars="20" w:firstLine="420" w:firstLineChars="200"/>
        <w:rPr>
          <w:rFonts w:ascii="宋体" w:hAnsi="宋体"/>
          <w:szCs w:val="21"/>
        </w:rPr>
      </w:pPr>
      <w:r>
        <w:rPr>
          <w:rFonts w:hint="eastAsia" w:ascii="宋体" w:hAnsi="宋体"/>
          <w:szCs w:val="21"/>
        </w:rPr>
        <w:t>6.8.3 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pPr>
        <w:spacing w:line="360" w:lineRule="auto"/>
        <w:ind w:right="42" w:rightChars="20" w:firstLine="420" w:firstLineChars="200"/>
        <w:rPr>
          <w:rFonts w:ascii="宋体" w:hAnsi="宋体"/>
          <w:szCs w:val="21"/>
        </w:rPr>
      </w:pPr>
      <w:r>
        <w:rPr>
          <w:rFonts w:hint="eastAsia" w:ascii="宋体" w:hAnsi="宋体"/>
          <w:szCs w:val="21"/>
        </w:rPr>
        <w:t>6.8.4 承包人应当做好施工场地（现场）范围内各项工程的开挖支护、截水、降水、灌浆、衬砌、挡护结构及排水等工程防护措施。施工场地（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施工场地（现场）始终处于良好的排水状态，防止降雨径流对施工场地（现场）的冲刷。</w:t>
      </w:r>
    </w:p>
    <w:p>
      <w:pPr>
        <w:spacing w:line="360" w:lineRule="auto"/>
        <w:ind w:right="42" w:rightChars="20" w:firstLine="420" w:firstLineChars="200"/>
        <w:rPr>
          <w:rFonts w:ascii="宋体" w:hAnsi="宋体"/>
          <w:szCs w:val="21"/>
        </w:rPr>
      </w:pPr>
      <w:r>
        <w:rPr>
          <w:rFonts w:hint="eastAsia" w:ascii="宋体" w:hAnsi="宋体"/>
          <w:szCs w:val="21"/>
        </w:rPr>
        <w:t>6.8.5 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pPr>
        <w:spacing w:line="360" w:lineRule="auto"/>
        <w:ind w:right="42" w:rightChars="20" w:firstLine="420" w:firstLineChars="200"/>
        <w:rPr>
          <w:rFonts w:ascii="宋体" w:hAnsi="宋体"/>
          <w:szCs w:val="21"/>
        </w:rPr>
      </w:pPr>
      <w:r>
        <w:rPr>
          <w:rFonts w:hint="eastAsia" w:ascii="宋体" w:hAnsi="宋体"/>
          <w:szCs w:val="21"/>
        </w:rPr>
        <w:t>6.8.6 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pPr>
        <w:spacing w:line="360" w:lineRule="auto"/>
        <w:ind w:right="42" w:rightChars="20" w:firstLine="420" w:firstLineChars="200"/>
        <w:rPr>
          <w:rFonts w:ascii="宋体" w:hAnsi="宋体"/>
          <w:szCs w:val="21"/>
        </w:rPr>
      </w:pPr>
      <w:r>
        <w:rPr>
          <w:rFonts w:hint="eastAsia" w:ascii="宋体" w:hAnsi="宋体"/>
          <w:szCs w:val="21"/>
        </w:rPr>
        <w:t>6.8.7 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pPr>
        <w:spacing w:line="360" w:lineRule="auto"/>
        <w:ind w:right="42" w:rightChars="20" w:firstLine="420" w:firstLineChars="200"/>
        <w:rPr>
          <w:rFonts w:ascii="宋体" w:hAnsi="宋体"/>
          <w:szCs w:val="21"/>
        </w:rPr>
      </w:pPr>
      <w:r>
        <w:rPr>
          <w:rFonts w:hint="eastAsia" w:ascii="宋体" w:hAnsi="宋体"/>
          <w:szCs w:val="21"/>
        </w:rPr>
        <w:t>6.8.8 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 （现场）周边生产和生活的影响，并满足国家和地方政府有关规定的要求。</w:t>
      </w:r>
    </w:p>
    <w:p>
      <w:pPr>
        <w:spacing w:line="360" w:lineRule="auto"/>
        <w:ind w:right="42" w:rightChars="20" w:firstLine="420" w:firstLineChars="200"/>
        <w:rPr>
          <w:rFonts w:ascii="宋体" w:hAnsi="宋体"/>
          <w:szCs w:val="21"/>
        </w:rPr>
      </w:pPr>
      <w:r>
        <w:rPr>
          <w:rFonts w:hint="eastAsia" w:ascii="宋体" w:hAnsi="宋体"/>
          <w:szCs w:val="21"/>
        </w:rPr>
        <w:t>6.8.9 环境保护方面的其他要求如下：</w:t>
      </w:r>
    </w:p>
    <w:p>
      <w:pPr>
        <w:spacing w:line="360" w:lineRule="auto"/>
        <w:ind w:right="42" w:rightChars="20" w:firstLine="420" w:firstLineChars="200"/>
        <w:rPr>
          <w:rFonts w:ascii="宋体" w:hAnsi="宋体"/>
          <w:szCs w:val="21"/>
          <w:u w:val="single"/>
        </w:rPr>
      </w:pPr>
    </w:p>
    <w:p>
      <w:pPr>
        <w:spacing w:line="360" w:lineRule="auto"/>
        <w:ind w:right="42" w:rightChars="20" w:firstLine="420" w:firstLineChars="200"/>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376" w:name="_Toc300678536"/>
      <w:r>
        <w:rPr>
          <w:rFonts w:hint="eastAsia" w:ascii="黑体" w:hAnsi="黑体" w:eastAsia="黑体"/>
          <w:b w:val="0"/>
          <w:bCs w:val="0"/>
          <w:sz w:val="24"/>
        </w:rPr>
        <w:t>6.9 施工环保措施计划</w:t>
      </w:r>
      <w:bookmarkEnd w:id="376"/>
    </w:p>
    <w:p>
      <w:pPr>
        <w:spacing w:line="360" w:lineRule="auto"/>
        <w:ind w:right="42" w:rightChars="20" w:firstLine="420" w:firstLineChars="200"/>
        <w:rPr>
          <w:rFonts w:ascii="宋体" w:hAnsi="宋体"/>
          <w:szCs w:val="21"/>
        </w:rPr>
      </w:pPr>
      <w:r>
        <w:rPr>
          <w:rFonts w:hint="eastAsia" w:ascii="宋体" w:hAnsi="宋体"/>
          <w:szCs w:val="21"/>
        </w:rPr>
        <w:t>6.9.1 通用合同条款第7.1.1项约定的施工环保措施计划是承包人阐明环保方针和拟采用的环保措施及方法等的文件，其内容应包括但不限于：</w:t>
      </w:r>
    </w:p>
    <w:p>
      <w:pPr>
        <w:spacing w:line="360" w:lineRule="auto"/>
        <w:ind w:right="42" w:rightChars="20" w:firstLine="420" w:firstLineChars="200"/>
        <w:rPr>
          <w:rFonts w:ascii="宋体" w:hAnsi="宋体"/>
          <w:szCs w:val="21"/>
        </w:rPr>
      </w:pPr>
      <w:r>
        <w:rPr>
          <w:rFonts w:hint="eastAsia" w:ascii="宋体" w:hAnsi="宋体"/>
          <w:szCs w:val="21"/>
        </w:rPr>
        <w:t>（1）承包人生活区（如果有）的生活用水和生活污水处理措施；</w:t>
      </w:r>
    </w:p>
    <w:p>
      <w:pPr>
        <w:spacing w:line="360" w:lineRule="auto"/>
        <w:ind w:right="42" w:rightChars="20" w:firstLine="420" w:firstLineChars="200"/>
        <w:rPr>
          <w:rFonts w:ascii="宋体" w:hAnsi="宋体"/>
          <w:szCs w:val="21"/>
        </w:rPr>
      </w:pPr>
      <w:r>
        <w:rPr>
          <w:rFonts w:hint="eastAsia" w:ascii="宋体" w:hAnsi="宋体"/>
          <w:szCs w:val="21"/>
        </w:rPr>
        <w:t>（2）施工生产废水处理措施；</w:t>
      </w:r>
    </w:p>
    <w:p>
      <w:pPr>
        <w:spacing w:line="360" w:lineRule="auto"/>
        <w:ind w:right="42" w:rightChars="20" w:firstLine="420" w:firstLineChars="200"/>
        <w:rPr>
          <w:rFonts w:ascii="宋体" w:hAnsi="宋体"/>
          <w:szCs w:val="21"/>
        </w:rPr>
      </w:pPr>
      <w:r>
        <w:rPr>
          <w:rFonts w:hint="eastAsia" w:ascii="宋体" w:hAnsi="宋体"/>
          <w:szCs w:val="21"/>
        </w:rPr>
        <w:t>（3）施工扬尘和废气的处理措施；</w:t>
      </w:r>
    </w:p>
    <w:p>
      <w:pPr>
        <w:spacing w:line="360" w:lineRule="auto"/>
        <w:ind w:right="42" w:rightChars="20" w:firstLine="420" w:firstLineChars="200"/>
        <w:rPr>
          <w:rFonts w:ascii="宋体" w:hAnsi="宋体"/>
          <w:szCs w:val="21"/>
        </w:rPr>
      </w:pPr>
      <w:r>
        <w:rPr>
          <w:rFonts w:hint="eastAsia" w:ascii="宋体" w:hAnsi="宋体"/>
          <w:szCs w:val="21"/>
        </w:rPr>
        <w:t>（4）施工噪声和光污染控制措施；</w:t>
      </w:r>
    </w:p>
    <w:p>
      <w:pPr>
        <w:spacing w:line="360" w:lineRule="auto"/>
        <w:ind w:right="42" w:rightChars="20" w:firstLine="420" w:firstLineChars="200"/>
        <w:rPr>
          <w:rFonts w:ascii="宋体" w:hAnsi="宋体"/>
          <w:szCs w:val="21"/>
        </w:rPr>
      </w:pPr>
      <w:r>
        <w:rPr>
          <w:rFonts w:hint="eastAsia" w:ascii="宋体" w:hAnsi="宋体"/>
          <w:szCs w:val="21"/>
        </w:rPr>
        <w:t>（5）节能减排措施；</w:t>
      </w:r>
    </w:p>
    <w:p>
      <w:pPr>
        <w:spacing w:line="360" w:lineRule="auto"/>
        <w:ind w:right="42" w:rightChars="20" w:firstLine="420" w:firstLineChars="200"/>
        <w:rPr>
          <w:rFonts w:ascii="宋体" w:hAnsi="宋体"/>
          <w:szCs w:val="21"/>
        </w:rPr>
      </w:pPr>
      <w:r>
        <w:rPr>
          <w:rFonts w:hint="eastAsia" w:ascii="宋体" w:hAnsi="宋体"/>
          <w:szCs w:val="21"/>
        </w:rPr>
        <w:t>（6）不可再生资源循环利用措施；</w:t>
      </w:r>
    </w:p>
    <w:p>
      <w:pPr>
        <w:spacing w:line="360" w:lineRule="auto"/>
        <w:ind w:right="42" w:rightChars="20" w:firstLine="420" w:firstLineChars="200"/>
        <w:rPr>
          <w:rFonts w:ascii="宋体" w:hAnsi="宋体"/>
          <w:szCs w:val="21"/>
        </w:rPr>
      </w:pPr>
      <w:r>
        <w:rPr>
          <w:rFonts w:hint="eastAsia" w:ascii="宋体" w:hAnsi="宋体"/>
          <w:szCs w:val="21"/>
        </w:rPr>
        <w:t>（7）固体废弃物处理措施；</w:t>
      </w:r>
    </w:p>
    <w:p>
      <w:pPr>
        <w:spacing w:line="360" w:lineRule="auto"/>
        <w:ind w:right="42" w:rightChars="20" w:firstLine="420" w:firstLineChars="200"/>
        <w:rPr>
          <w:rFonts w:ascii="宋体" w:hAnsi="宋体"/>
          <w:szCs w:val="21"/>
        </w:rPr>
      </w:pPr>
      <w:r>
        <w:rPr>
          <w:rFonts w:hint="eastAsia" w:ascii="宋体" w:hAnsi="宋体"/>
          <w:szCs w:val="21"/>
        </w:rPr>
        <w:t>（8）人群健康保护和卫生防疫措施；</w:t>
      </w:r>
    </w:p>
    <w:p>
      <w:pPr>
        <w:spacing w:line="360" w:lineRule="auto"/>
        <w:ind w:right="42" w:rightChars="20" w:firstLine="420" w:firstLineChars="200"/>
        <w:rPr>
          <w:rFonts w:ascii="宋体" w:hAnsi="宋体"/>
          <w:szCs w:val="21"/>
        </w:rPr>
      </w:pPr>
      <w:r>
        <w:rPr>
          <w:rFonts w:hint="eastAsia" w:ascii="宋体" w:hAnsi="宋体"/>
          <w:szCs w:val="21"/>
        </w:rPr>
        <w:t>（9）防止误用有害材料的保证措施；</w:t>
      </w:r>
    </w:p>
    <w:p>
      <w:pPr>
        <w:spacing w:line="360" w:lineRule="auto"/>
        <w:ind w:right="42" w:rightChars="20" w:firstLine="420" w:firstLineChars="200"/>
        <w:rPr>
          <w:rFonts w:ascii="宋体" w:hAnsi="宋体"/>
          <w:szCs w:val="21"/>
        </w:rPr>
      </w:pPr>
      <w:r>
        <w:rPr>
          <w:rFonts w:hint="eastAsia" w:ascii="宋体" w:hAnsi="宋体"/>
          <w:szCs w:val="21"/>
        </w:rPr>
        <w:t>（10）施工边坡工程的水土流失保护措施；</w:t>
      </w:r>
    </w:p>
    <w:p>
      <w:pPr>
        <w:spacing w:line="360" w:lineRule="auto"/>
        <w:ind w:right="42" w:rightChars="20" w:firstLine="420" w:firstLineChars="200"/>
        <w:rPr>
          <w:rFonts w:ascii="宋体" w:hAnsi="宋体"/>
          <w:szCs w:val="21"/>
        </w:rPr>
      </w:pPr>
      <w:r>
        <w:rPr>
          <w:rFonts w:hint="eastAsia" w:ascii="宋体" w:hAnsi="宋体"/>
          <w:szCs w:val="21"/>
        </w:rPr>
        <w:t>（11）道路污染防治措施；</w:t>
      </w:r>
    </w:p>
    <w:p>
      <w:pPr>
        <w:spacing w:line="360" w:lineRule="auto"/>
        <w:ind w:right="42" w:rightChars="20" w:firstLine="420" w:firstLineChars="200"/>
        <w:rPr>
          <w:rFonts w:ascii="宋体" w:hAnsi="宋体"/>
          <w:szCs w:val="21"/>
        </w:rPr>
      </w:pPr>
      <w:r>
        <w:rPr>
          <w:rFonts w:hint="eastAsia" w:ascii="宋体" w:hAnsi="宋体"/>
          <w:szCs w:val="21"/>
        </w:rPr>
        <w:t>（12）完工后场地清理及其植被（如果有）恢复的规划和措施；</w:t>
      </w:r>
    </w:p>
    <w:p>
      <w:pPr>
        <w:spacing w:line="360" w:lineRule="auto"/>
        <w:ind w:right="42" w:rightChars="20" w:firstLine="420" w:firstLineChars="200"/>
        <w:rPr>
          <w:rFonts w:ascii="宋体" w:hAnsi="宋体"/>
          <w:szCs w:val="21"/>
        </w:rPr>
      </w:pPr>
      <w:r>
        <w:rPr>
          <w:rFonts w:hint="eastAsia" w:ascii="宋体" w:hAnsi="宋体"/>
          <w:szCs w:val="21"/>
        </w:rPr>
        <w:t>（13）其他：。</w:t>
      </w:r>
    </w:p>
    <w:p>
      <w:pPr>
        <w:spacing w:line="360" w:lineRule="auto"/>
        <w:ind w:right="42" w:rightChars="20" w:firstLine="420" w:firstLineChars="200"/>
        <w:rPr>
          <w:rFonts w:ascii="宋体" w:hAnsi="宋体"/>
          <w:szCs w:val="21"/>
        </w:rPr>
      </w:pPr>
      <w:r>
        <w:rPr>
          <w:rFonts w:hint="eastAsia" w:ascii="宋体" w:hAnsi="宋体"/>
          <w:szCs w:val="21"/>
        </w:rPr>
        <w:t>6.9.2 施工环保措施计划应当在专用合同条款第7.1款约定的期限内报送监理人。承包人应当严格执行经监理人批准的施工环保措施计划，并及时补充、修订和完善施工环保措施计划。</w:t>
      </w:r>
    </w:p>
    <w:p>
      <w:pPr>
        <w:pStyle w:val="4"/>
        <w:keepNext/>
        <w:keepLines/>
        <w:widowControl w:val="0"/>
        <w:jc w:val="left"/>
        <w:rPr>
          <w:rFonts w:ascii="黑体" w:hAnsi="宋体" w:eastAsia="黑体"/>
          <w:b w:val="0"/>
          <w:bCs w:val="0"/>
          <w:sz w:val="28"/>
          <w:szCs w:val="28"/>
        </w:rPr>
      </w:pPr>
      <w:bookmarkStart w:id="377" w:name="_Toc486318748"/>
      <w:bookmarkStart w:id="378" w:name="_Toc484015116"/>
      <w:bookmarkStart w:id="379" w:name="_Toc18702"/>
      <w:bookmarkStart w:id="380" w:name="_Toc23276"/>
      <w:bookmarkStart w:id="381" w:name="_Toc300678537"/>
      <w:bookmarkStart w:id="382" w:name="_Toc12722"/>
      <w:bookmarkStart w:id="383" w:name="_Toc29769"/>
      <w:r>
        <w:rPr>
          <w:rFonts w:hint="eastAsia" w:ascii="黑体" w:hAnsi="宋体" w:eastAsia="黑体"/>
          <w:b w:val="0"/>
          <w:bCs w:val="0"/>
          <w:sz w:val="28"/>
          <w:szCs w:val="28"/>
        </w:rPr>
        <w:t>7.治安保卫</w:t>
      </w:r>
      <w:bookmarkEnd w:id="377"/>
      <w:bookmarkEnd w:id="378"/>
      <w:bookmarkEnd w:id="379"/>
      <w:bookmarkEnd w:id="380"/>
      <w:bookmarkEnd w:id="381"/>
      <w:bookmarkEnd w:id="382"/>
      <w:bookmarkEnd w:id="383"/>
    </w:p>
    <w:p>
      <w:pPr>
        <w:spacing w:line="360" w:lineRule="auto"/>
        <w:ind w:firstLine="420" w:firstLineChars="200"/>
        <w:rPr>
          <w:rFonts w:ascii="宋体" w:hAnsi="宋体"/>
          <w:szCs w:val="21"/>
        </w:rPr>
      </w:pPr>
      <w:r>
        <w:rPr>
          <w:rFonts w:hint="eastAsia" w:ascii="宋体" w:hAnsi="宋体"/>
          <w:szCs w:val="21"/>
        </w:rPr>
        <w:t xml:space="preserve">7.1 </w:t>
      </w:r>
      <w:r>
        <w:rPr>
          <w:rFonts w:hint="eastAsia" w:ascii="宋体" w:hAnsi="宋体"/>
          <w:spacing w:val="6"/>
          <w:szCs w:val="21"/>
        </w:rPr>
        <w:t>承包人应为施工场地（现场）提供24小时的保安保卫服务，配备足够的保安人员和保安设备，防止未经批准的任何人进入现场，控制人员、材料和设备等的进出场，防止现场材料、设备或其他任何物品的失窃，禁止任何现场内的打架斗殴事件。</w:t>
      </w:r>
    </w:p>
    <w:p>
      <w:pPr>
        <w:spacing w:line="360" w:lineRule="auto"/>
        <w:ind w:firstLine="420" w:firstLineChars="200"/>
        <w:rPr>
          <w:rFonts w:ascii="宋体" w:hAnsi="宋体"/>
          <w:szCs w:val="21"/>
        </w:rPr>
      </w:pPr>
      <w:r>
        <w:rPr>
          <w:rFonts w:hint="eastAsia" w:ascii="宋体" w:hAnsi="宋体"/>
          <w:szCs w:val="21"/>
        </w:rPr>
        <w:t>7.2 承包人的保安人员应是训练有素的专业保安人员，承包人可以雇佣专业保安公司负责现场保安和保卫；保安保卫制度除规范现场出入大门控制外，还应规定定时和不定时的施工场地（现场）周边和全现场的保安巡逻。</w:t>
      </w:r>
    </w:p>
    <w:p>
      <w:pPr>
        <w:spacing w:line="360" w:lineRule="auto"/>
        <w:ind w:firstLine="420" w:firstLineChars="200"/>
        <w:rPr>
          <w:rFonts w:ascii="宋体" w:hAnsi="宋体"/>
          <w:szCs w:val="21"/>
        </w:rPr>
      </w:pPr>
      <w:r>
        <w:rPr>
          <w:rFonts w:hint="eastAsia" w:ascii="宋体" w:hAnsi="宋体"/>
          <w:szCs w:val="21"/>
        </w:rPr>
        <w:t>7.3 承包人应制定并实施严格的施工场地（现场）出入制度并报监理人审批；车辆的出入须有出入审批制度，并有指定的专人负责管理；人员进出现场应有出入证，出入证须以经过监理人批准的格式印制。</w:t>
      </w:r>
    </w:p>
    <w:p>
      <w:pPr>
        <w:spacing w:line="360" w:lineRule="auto"/>
        <w:ind w:firstLine="420" w:firstLineChars="200"/>
        <w:rPr>
          <w:rFonts w:ascii="宋体" w:hAnsi="宋体"/>
          <w:szCs w:val="21"/>
        </w:rPr>
      </w:pPr>
      <w:r>
        <w:rPr>
          <w:rFonts w:hint="eastAsia" w:ascii="宋体" w:hAnsi="宋体"/>
          <w:szCs w:val="21"/>
        </w:rPr>
        <w:t>7.4 承包人应确保杜绝任何未经监理人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监理人批准的参观人员的人身安全。</w:t>
      </w:r>
    </w:p>
    <w:p>
      <w:pPr>
        <w:spacing w:line="360" w:lineRule="auto"/>
        <w:ind w:firstLine="420" w:firstLineChars="200"/>
        <w:rPr>
          <w:rFonts w:ascii="宋体" w:hAnsi="宋体"/>
          <w:szCs w:val="21"/>
        </w:rPr>
      </w:pPr>
      <w:r>
        <w:rPr>
          <w:rFonts w:hint="eastAsia" w:ascii="宋体" w:hAnsi="宋体"/>
          <w:szCs w:val="21"/>
        </w:rPr>
        <w:t>7.5 承包人应为施工场地（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pPr>
        <w:spacing w:line="360" w:lineRule="auto"/>
        <w:ind w:firstLine="420" w:firstLineChars="200"/>
        <w:rPr>
          <w:rFonts w:ascii="宋体" w:hAnsi="宋体"/>
          <w:szCs w:val="21"/>
        </w:rPr>
      </w:pPr>
      <w:r>
        <w:rPr>
          <w:rFonts w:hint="eastAsia" w:ascii="宋体" w:hAnsi="宋体"/>
          <w:szCs w:val="21"/>
        </w:rPr>
        <w:t>7.6 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pPr>
        <w:spacing w:line="360" w:lineRule="auto"/>
        <w:ind w:firstLine="420" w:firstLineChars="200"/>
        <w:rPr>
          <w:rFonts w:ascii="宋体" w:hAnsi="宋体"/>
          <w:szCs w:val="21"/>
        </w:rPr>
      </w:pPr>
      <w:r>
        <w:rPr>
          <w:rFonts w:hint="eastAsia" w:ascii="宋体" w:hAnsi="宋体"/>
          <w:szCs w:val="21"/>
        </w:rPr>
        <w:t xml:space="preserve">    7.7 施工场地（现场）治安管理计划的要求：</w:t>
      </w:r>
    </w:p>
    <w:p>
      <w:pPr>
        <w:spacing w:line="360" w:lineRule="auto"/>
        <w:rPr>
          <w:rFonts w:ascii="宋体" w:hAnsi="宋体"/>
          <w:szCs w:val="21"/>
        </w:rPr>
      </w:pPr>
      <w:r>
        <w:rPr>
          <w:rFonts w:hint="eastAsia" w:ascii="宋体" w:hAnsi="宋体"/>
          <w:szCs w:val="21"/>
        </w:rPr>
        <w:t>。</w:t>
      </w:r>
    </w:p>
    <w:p>
      <w:pPr>
        <w:ind w:firstLine="424" w:firstLineChars="202"/>
        <w:rPr>
          <w:rFonts w:ascii="宋体" w:hAnsi="宋体"/>
          <w:sz w:val="24"/>
        </w:rPr>
      </w:pPr>
      <w:r>
        <w:rPr>
          <w:rFonts w:hint="eastAsia" w:ascii="宋体" w:hAnsi="宋体"/>
          <w:szCs w:val="21"/>
        </w:rPr>
        <w:t>7.8 突发治安事件紧急预案的要求：</w:t>
      </w:r>
    </w:p>
    <w:p>
      <w:pPr>
        <w:spacing w:line="360" w:lineRule="auto"/>
        <w:ind w:firstLine="420" w:firstLineChars="200"/>
        <w:rPr>
          <w:rFonts w:ascii="宋体" w:hAnsi="宋体"/>
          <w:szCs w:val="21"/>
        </w:rPr>
      </w:pPr>
    </w:p>
    <w:p>
      <w:pPr>
        <w:spacing w:line="360" w:lineRule="auto"/>
        <w:rPr>
          <w:rFonts w:ascii="宋体" w:hAnsi="宋体"/>
          <w:szCs w:val="21"/>
        </w:rPr>
      </w:pPr>
      <w:r>
        <w:rPr>
          <w:rFonts w:hint="eastAsia" w:ascii="宋体" w:hAnsi="宋体"/>
          <w:szCs w:val="21"/>
        </w:rPr>
        <w:t>。</w:t>
      </w:r>
    </w:p>
    <w:p>
      <w:pPr>
        <w:ind w:firstLine="424" w:firstLineChars="202"/>
        <w:rPr>
          <w:rFonts w:ascii="宋体" w:hAnsi="宋体"/>
          <w:sz w:val="24"/>
        </w:rPr>
      </w:pPr>
      <w:r>
        <w:rPr>
          <w:rFonts w:hint="eastAsia" w:ascii="宋体" w:hAnsi="宋体"/>
          <w:szCs w:val="21"/>
        </w:rPr>
        <w:t>7.9 治安保卫方面的其他要求如下：</w:t>
      </w:r>
    </w:p>
    <w:p>
      <w:pPr>
        <w:spacing w:line="360" w:lineRule="auto"/>
        <w:ind w:firstLine="420" w:firstLineChars="200"/>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384" w:name="_Toc486318749"/>
      <w:bookmarkStart w:id="385" w:name="_Toc19690"/>
      <w:bookmarkStart w:id="386" w:name="_Toc484015117"/>
      <w:bookmarkStart w:id="387" w:name="_Toc1590"/>
      <w:bookmarkStart w:id="388" w:name="_Toc300678538"/>
      <w:bookmarkStart w:id="389" w:name="_Toc20967"/>
      <w:bookmarkStart w:id="390" w:name="_Toc28592"/>
      <w:r>
        <w:rPr>
          <w:rFonts w:hint="eastAsia" w:ascii="黑体" w:hAnsi="宋体" w:eastAsia="黑体"/>
          <w:b w:val="0"/>
          <w:bCs w:val="0"/>
          <w:sz w:val="28"/>
          <w:szCs w:val="28"/>
        </w:rPr>
        <w:t>8.地上、地下设施和周边建筑物的临时保护</w:t>
      </w:r>
      <w:bookmarkEnd w:id="384"/>
      <w:bookmarkEnd w:id="385"/>
      <w:bookmarkEnd w:id="386"/>
      <w:bookmarkEnd w:id="387"/>
      <w:bookmarkEnd w:id="388"/>
      <w:bookmarkEnd w:id="389"/>
      <w:bookmarkEnd w:id="390"/>
    </w:p>
    <w:p>
      <w:pPr>
        <w:spacing w:line="360" w:lineRule="auto"/>
        <w:ind w:firstLine="420" w:firstLineChars="200"/>
        <w:rPr>
          <w:rFonts w:ascii="宋体" w:hAnsi="宋体"/>
          <w:szCs w:val="21"/>
        </w:rPr>
      </w:pPr>
      <w:r>
        <w:rPr>
          <w:rFonts w:hint="eastAsia" w:ascii="宋体" w:hAnsi="宋体"/>
          <w:szCs w:val="21"/>
        </w:rPr>
        <w:t>8.1 承包人应为施工场地及其周边现有的地上、地下设施和建筑物提供足够的临时保护设施，确保施工过程中这些设施和建筑物不会受到干扰和破坏。</w:t>
      </w:r>
    </w:p>
    <w:p>
      <w:pPr>
        <w:spacing w:line="360" w:lineRule="auto"/>
        <w:ind w:firstLine="420" w:firstLineChars="200"/>
        <w:rPr>
          <w:rFonts w:ascii="宋体" w:hAnsi="宋体"/>
          <w:szCs w:val="21"/>
        </w:rPr>
      </w:pPr>
      <w:r>
        <w:rPr>
          <w:rFonts w:hint="eastAsia" w:ascii="宋体" w:hAnsi="宋体"/>
          <w:szCs w:val="21"/>
        </w:rPr>
        <w:t>8.2 承包人应当制订现有设施临时保护方案和应急处理方案，并在本工程开工前至少提前7天报送监理人，监理人应在收到现有设施临时保护方案后的3天内批复承包人。承包人应当严格执行经监理人批准的保护方案，并保证在任何可能影响周边现有的地上、地下设施或周边建筑物的施工作业开始前，相应的临时保护设施能够落实到位。</w:t>
      </w:r>
    </w:p>
    <w:p>
      <w:pPr>
        <w:spacing w:line="360" w:lineRule="auto"/>
        <w:ind w:firstLine="420" w:firstLineChars="200"/>
        <w:rPr>
          <w:rFonts w:ascii="宋体" w:hAnsi="宋体"/>
          <w:szCs w:val="21"/>
        </w:rPr>
      </w:pPr>
      <w:r>
        <w:rPr>
          <w:rFonts w:hint="eastAsia" w:ascii="宋体" w:hAnsi="宋体"/>
          <w:szCs w:val="21"/>
        </w:rPr>
        <w:t>8.3 发包人特别提醒承包人注意以下地上、地下设施和周边建筑物的保护：</w:t>
      </w:r>
    </w:p>
    <w:p>
      <w:pPr>
        <w:spacing w:line="360" w:lineRule="auto"/>
        <w:rPr>
          <w:rFonts w:ascii="宋体" w:hAnsi="宋体"/>
          <w:szCs w:val="21"/>
          <w:u w:val="single"/>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8.4 地上、地下设施和周边建筑物的临时保护的其他要求如下：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391" w:name="_Toc486318750"/>
      <w:bookmarkStart w:id="392" w:name="_Toc14659"/>
      <w:bookmarkStart w:id="393" w:name="_Toc484015118"/>
      <w:bookmarkStart w:id="394" w:name="_Toc29069"/>
      <w:bookmarkStart w:id="395" w:name="_Toc24760"/>
      <w:bookmarkStart w:id="396" w:name="_Toc17946"/>
      <w:bookmarkStart w:id="397" w:name="_Toc300678539"/>
      <w:r>
        <w:rPr>
          <w:rFonts w:hint="eastAsia" w:ascii="黑体" w:hAnsi="宋体" w:eastAsia="黑体"/>
          <w:b w:val="0"/>
          <w:bCs w:val="0"/>
          <w:sz w:val="28"/>
          <w:szCs w:val="28"/>
        </w:rPr>
        <w:t>9.样品和材料代换</w:t>
      </w:r>
      <w:bookmarkEnd w:id="391"/>
      <w:bookmarkEnd w:id="392"/>
      <w:bookmarkEnd w:id="393"/>
      <w:bookmarkEnd w:id="394"/>
      <w:bookmarkEnd w:id="395"/>
      <w:bookmarkEnd w:id="396"/>
      <w:bookmarkEnd w:id="397"/>
    </w:p>
    <w:p>
      <w:pPr>
        <w:pStyle w:val="6"/>
        <w:rPr>
          <w:rFonts w:ascii="黑体" w:hAnsi="黑体" w:eastAsia="黑体"/>
          <w:b w:val="0"/>
          <w:bCs w:val="0"/>
          <w:sz w:val="24"/>
        </w:rPr>
      </w:pPr>
      <w:bookmarkStart w:id="398" w:name="_Toc300678540"/>
      <w:r>
        <w:rPr>
          <w:rFonts w:hint="eastAsia" w:ascii="黑体" w:hAnsi="黑体" w:eastAsia="黑体"/>
          <w:b w:val="0"/>
          <w:bCs w:val="0"/>
          <w:sz w:val="24"/>
        </w:rPr>
        <w:t>9.1 样品</w:t>
      </w:r>
      <w:bookmarkEnd w:id="398"/>
    </w:p>
    <w:p>
      <w:pPr>
        <w:spacing w:line="360" w:lineRule="auto"/>
        <w:ind w:firstLine="420" w:firstLineChars="200"/>
        <w:rPr>
          <w:rFonts w:ascii="宋体" w:hAnsi="宋体"/>
          <w:szCs w:val="21"/>
        </w:rPr>
      </w:pPr>
      <w:r>
        <w:rPr>
          <w:rFonts w:hint="eastAsia" w:ascii="宋体" w:hAnsi="宋体"/>
          <w:szCs w:val="21"/>
        </w:rPr>
        <w:t>9.1.1 本工程需要承包人提供样品的材料和工程设备如下：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9.1.2 对于本款第9.1.1项约定的材料和工程设备，承包人应按照专用合同条款第5.1.2项约定的期限，向监理人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监理人和发包人的要求。除合同另有约定外，承包人在报送任何样品时应按监理人同意的格式填写并递交样品报送单。监理人应及时签收样品。</w:t>
      </w:r>
    </w:p>
    <w:p>
      <w:pPr>
        <w:spacing w:line="360" w:lineRule="auto"/>
        <w:ind w:firstLine="420" w:firstLineChars="200"/>
        <w:rPr>
          <w:rFonts w:ascii="宋体" w:hAnsi="宋体"/>
          <w:szCs w:val="21"/>
        </w:rPr>
      </w:pPr>
      <w:r>
        <w:rPr>
          <w:rFonts w:hint="eastAsia" w:ascii="宋体" w:hAnsi="宋体"/>
          <w:szCs w:val="21"/>
        </w:rPr>
        <w:t>9.1.3 合同条款第15.8.2项约定的依法不需要招标的、以暂估价形式包括在工程量清单中的材料和工程设备，所附资料除本款第9.1.2项约定的内容外，还应附上价格资料，每一类材料设备，至少应准备符合合同要求的三个产品，价格分高、中、低三档，以便监理人和发包人选择和批准。</w:t>
      </w:r>
    </w:p>
    <w:p>
      <w:pPr>
        <w:spacing w:line="360" w:lineRule="auto"/>
        <w:ind w:firstLine="420" w:firstLineChars="200"/>
        <w:rPr>
          <w:rFonts w:ascii="宋体" w:hAnsi="宋体"/>
          <w:szCs w:val="21"/>
        </w:rPr>
      </w:pPr>
      <w:r>
        <w:rPr>
          <w:rFonts w:hint="eastAsia" w:ascii="宋体" w:hAnsi="宋体"/>
          <w:szCs w:val="21"/>
        </w:rPr>
        <w:t>9.1.4 监理人应在收到承包人报送的样品后7天内转呈发包人并附上监理人的书面审批意见。发包人在收到通过监理人转交的样品以及监理人的审批意见后7天内就此样品给出书面批复。监理人应在收到样品后21天内通知承包人他相关样品所做出的决定或指示（同时抄送一份给发包人）。承包人应根据监理人的书面批复和指示相应地进行下一步工作。如果监理人未能在承包人报送样品后21天内给出书面批复，承包人应就此通知监理人，要求尽快批复。如果发包人在收到此类通知后7天内仍未对样品进行批复，则视为监理人和发包人已经批准。</w:t>
      </w:r>
    </w:p>
    <w:p>
      <w:pPr>
        <w:spacing w:line="360" w:lineRule="auto"/>
        <w:ind w:firstLine="420" w:firstLineChars="200"/>
        <w:rPr>
          <w:rFonts w:ascii="宋体" w:hAnsi="宋体"/>
          <w:szCs w:val="21"/>
        </w:rPr>
      </w:pPr>
      <w:r>
        <w:rPr>
          <w:rFonts w:hint="eastAsia" w:ascii="宋体" w:hAnsi="宋体"/>
          <w:szCs w:val="21"/>
        </w:rPr>
        <w:t>9.1.5 得到批准后的样品由监理人负责存放。但承包人应为保存样品提供适当和固定的场所并保持适当和良好的环境条件。</w:t>
      </w:r>
    </w:p>
    <w:p>
      <w:pPr>
        <w:spacing w:line="360" w:lineRule="auto"/>
        <w:ind w:firstLine="420" w:firstLineChars="200"/>
        <w:rPr>
          <w:rFonts w:ascii="宋体" w:hAnsi="宋体"/>
          <w:szCs w:val="21"/>
        </w:rPr>
      </w:pPr>
      <w:r>
        <w:rPr>
          <w:rFonts w:hint="eastAsia" w:ascii="宋体" w:hAnsi="宋体"/>
          <w:szCs w:val="21"/>
        </w:rPr>
        <w:t>9.1.6 提供样品和提供存放样品场所的费用由承包人承担。</w:t>
      </w:r>
    </w:p>
    <w:p>
      <w:pPr>
        <w:pStyle w:val="6"/>
        <w:rPr>
          <w:rFonts w:ascii="黑体" w:hAnsi="黑体" w:eastAsia="黑体"/>
          <w:b w:val="0"/>
          <w:bCs w:val="0"/>
          <w:sz w:val="24"/>
        </w:rPr>
      </w:pPr>
      <w:bookmarkStart w:id="399" w:name="_Toc300678541"/>
      <w:r>
        <w:rPr>
          <w:rFonts w:hint="eastAsia" w:ascii="黑体" w:hAnsi="黑体" w:eastAsia="黑体"/>
          <w:b w:val="0"/>
          <w:bCs w:val="0"/>
          <w:sz w:val="24"/>
        </w:rPr>
        <w:t>9.2 材料代换</w:t>
      </w:r>
      <w:bookmarkEnd w:id="399"/>
    </w:p>
    <w:p>
      <w:pPr>
        <w:spacing w:line="360" w:lineRule="auto"/>
        <w:ind w:firstLine="420" w:firstLineChars="200"/>
        <w:rPr>
          <w:rFonts w:ascii="宋体" w:hAnsi="宋体"/>
          <w:szCs w:val="21"/>
        </w:rPr>
      </w:pPr>
      <w:r>
        <w:rPr>
          <w:rFonts w:hint="eastAsia" w:ascii="宋体" w:hAnsi="宋体"/>
          <w:szCs w:val="21"/>
        </w:rPr>
        <w:t>9.2.1 如果任何后继法律、法规、规章、规范、标准和规程等等禁止使用合同中约定的材料和工程设备，承包人应当按本款约定的程序使用其他替代品来实施工程或修补缺陷。监理人对使用替代品的批准以及承包人据此使用替代品不应减免合同约定的承包人的任何责任和义务。</w:t>
      </w:r>
    </w:p>
    <w:p>
      <w:pPr>
        <w:spacing w:line="360" w:lineRule="auto"/>
        <w:ind w:firstLine="420" w:firstLineChars="200"/>
        <w:rPr>
          <w:rFonts w:ascii="宋体" w:hAnsi="宋体"/>
          <w:szCs w:val="21"/>
        </w:rPr>
      </w:pPr>
      <w:r>
        <w:rPr>
          <w:rFonts w:hint="eastAsia" w:ascii="宋体" w:hAnsi="宋体"/>
          <w:szCs w:val="21"/>
        </w:rPr>
        <w:t>9.2.2 如果使用替代品，承包人应至少在被替代品按批准的进度计划用于永久工程前56天以书面形式通知监理人并随此通知提交下列文件：</w:t>
      </w:r>
    </w:p>
    <w:p>
      <w:pPr>
        <w:spacing w:line="360" w:lineRule="auto"/>
        <w:ind w:firstLine="420" w:firstLineChars="200"/>
        <w:rPr>
          <w:rFonts w:ascii="宋体" w:hAnsi="宋体"/>
          <w:szCs w:val="21"/>
        </w:rPr>
      </w:pPr>
      <w:r>
        <w:rPr>
          <w:rFonts w:hint="eastAsia" w:ascii="宋体" w:hAnsi="宋体"/>
          <w:szCs w:val="21"/>
        </w:rPr>
        <w:t>（1）拟被替代的合同约定的材料和工程设备的名称、数量、规格、型号、品牌、性能、价格及其他任何详细资料；</w:t>
      </w:r>
    </w:p>
    <w:p>
      <w:pPr>
        <w:spacing w:line="360" w:lineRule="auto"/>
        <w:ind w:firstLine="420" w:firstLineChars="200"/>
        <w:rPr>
          <w:rFonts w:ascii="宋体" w:hAnsi="宋体"/>
          <w:szCs w:val="21"/>
        </w:rPr>
      </w:pPr>
      <w:r>
        <w:rPr>
          <w:rFonts w:hint="eastAsia" w:ascii="宋体" w:hAnsi="宋体"/>
          <w:szCs w:val="21"/>
        </w:rPr>
        <w:t>（2）拟采用的替代品的名称、数量、规格、型号、品牌、性能、价格及其他任何必要的详细资料；</w:t>
      </w:r>
    </w:p>
    <w:p>
      <w:pPr>
        <w:spacing w:line="360" w:lineRule="auto"/>
        <w:ind w:firstLine="420" w:firstLineChars="200"/>
        <w:rPr>
          <w:rFonts w:ascii="宋体" w:hAnsi="宋体"/>
          <w:szCs w:val="21"/>
        </w:rPr>
      </w:pPr>
      <w:r>
        <w:rPr>
          <w:rFonts w:hint="eastAsia" w:ascii="宋体" w:hAnsi="宋体"/>
          <w:szCs w:val="21"/>
        </w:rPr>
        <w:t>（3）替代品使用的工程部位；</w:t>
      </w:r>
    </w:p>
    <w:p>
      <w:pPr>
        <w:spacing w:line="360" w:lineRule="auto"/>
        <w:ind w:firstLine="420" w:firstLineChars="200"/>
        <w:rPr>
          <w:rFonts w:ascii="宋体" w:hAnsi="宋体"/>
          <w:szCs w:val="21"/>
        </w:rPr>
      </w:pPr>
      <w:r>
        <w:rPr>
          <w:rFonts w:hint="eastAsia" w:ascii="宋体" w:hAnsi="宋体"/>
          <w:szCs w:val="21"/>
        </w:rPr>
        <w:t>（4）采用替代品的理由和原因说明；</w:t>
      </w:r>
    </w:p>
    <w:p>
      <w:pPr>
        <w:spacing w:line="360" w:lineRule="auto"/>
        <w:ind w:firstLine="420" w:firstLineChars="200"/>
        <w:rPr>
          <w:rFonts w:ascii="宋体" w:hAnsi="宋体"/>
          <w:szCs w:val="21"/>
        </w:rPr>
      </w:pPr>
      <w:r>
        <w:rPr>
          <w:rFonts w:hint="eastAsia" w:ascii="宋体" w:hAnsi="宋体"/>
          <w:szCs w:val="21"/>
        </w:rPr>
        <w:t>（5）替代品与合同中约定的产品之间的差异以及使用替代品后可能对工程产生的任何影响；</w:t>
      </w:r>
    </w:p>
    <w:p>
      <w:pPr>
        <w:spacing w:line="360" w:lineRule="auto"/>
        <w:ind w:firstLine="420" w:firstLineChars="200"/>
        <w:rPr>
          <w:rFonts w:ascii="宋体" w:hAnsi="宋体"/>
          <w:szCs w:val="21"/>
        </w:rPr>
      </w:pPr>
      <w:r>
        <w:rPr>
          <w:rFonts w:hint="eastAsia" w:ascii="宋体" w:hAnsi="宋体"/>
          <w:szCs w:val="21"/>
        </w:rPr>
        <w:t>（6）价格上的差异；</w:t>
      </w:r>
    </w:p>
    <w:p>
      <w:pPr>
        <w:spacing w:line="360" w:lineRule="auto"/>
        <w:ind w:firstLine="420" w:firstLineChars="200"/>
        <w:rPr>
          <w:rFonts w:ascii="宋体" w:hAnsi="宋体"/>
          <w:szCs w:val="21"/>
        </w:rPr>
      </w:pPr>
      <w:r>
        <w:rPr>
          <w:rFonts w:hint="eastAsia" w:ascii="宋体" w:hAnsi="宋体"/>
          <w:szCs w:val="21"/>
        </w:rPr>
        <w:t>（7）监理人为做出适当的决定而随时要求承包人提供的任何其他文件。</w:t>
      </w:r>
    </w:p>
    <w:p>
      <w:pPr>
        <w:spacing w:line="360" w:lineRule="auto"/>
        <w:ind w:firstLine="420" w:firstLineChars="200"/>
        <w:rPr>
          <w:rFonts w:ascii="宋体" w:hAnsi="宋体"/>
          <w:szCs w:val="21"/>
        </w:rPr>
      </w:pPr>
      <w:r>
        <w:rPr>
          <w:rFonts w:hint="eastAsia" w:ascii="宋体" w:hAnsi="宋体"/>
          <w:szCs w:val="21"/>
        </w:rPr>
        <w:t>监理人在收到此类通知及上述文件后，应在28天内向承包人给出书面指示。如果28天内  监理人未给出书面指示，应视为监理人和发包人已经批准使用上述替代品，承包人可以据此使用替代品。</w:t>
      </w:r>
    </w:p>
    <w:p>
      <w:pPr>
        <w:spacing w:line="360" w:lineRule="auto"/>
        <w:ind w:firstLine="420" w:firstLineChars="200"/>
        <w:rPr>
          <w:rFonts w:ascii="宋体" w:hAnsi="宋体"/>
          <w:szCs w:val="21"/>
        </w:rPr>
      </w:pPr>
      <w:r>
        <w:rPr>
          <w:rFonts w:hint="eastAsia" w:ascii="宋体" w:hAnsi="宋体"/>
          <w:szCs w:val="21"/>
        </w:rPr>
        <w:t>9.2.3 任何情况下，替代品都应遵守本合同中对相关材料和工程设备的要求。</w:t>
      </w:r>
    </w:p>
    <w:p>
      <w:pPr>
        <w:spacing w:line="360" w:lineRule="auto"/>
        <w:ind w:firstLine="420" w:firstLineChars="200"/>
        <w:rPr>
          <w:rFonts w:ascii="宋体" w:hAnsi="宋体"/>
          <w:szCs w:val="21"/>
        </w:rPr>
      </w:pPr>
      <w:r>
        <w:rPr>
          <w:rFonts w:hint="eastAsia" w:ascii="宋体" w:hAnsi="宋体"/>
          <w:szCs w:val="21"/>
        </w:rPr>
        <w:t>9.2.4 如果承包人根据本条约定使用了替代品，监理人应与承包人适当协商之后并在合理的期限内确定替代材料和工程设备与合同中约定的材料和工程设备之间的价值差值，并决定：</w:t>
      </w:r>
    </w:p>
    <w:p>
      <w:pPr>
        <w:spacing w:line="360" w:lineRule="auto"/>
        <w:ind w:firstLine="420" w:firstLineChars="200"/>
        <w:rPr>
          <w:rFonts w:ascii="宋体" w:hAnsi="宋体"/>
          <w:szCs w:val="21"/>
        </w:rPr>
      </w:pPr>
      <w:r>
        <w:rPr>
          <w:rFonts w:hint="eastAsia" w:ascii="宋体" w:hAnsi="宋体"/>
          <w:szCs w:val="21"/>
        </w:rPr>
        <w:t>（1）如果替代材料和工程设备的价值高于合同中约定的材料和工程设备的价值，则将高出部分的价值追加到合同价格中并相应地通知承包人；</w:t>
      </w:r>
    </w:p>
    <w:p>
      <w:pPr>
        <w:spacing w:line="360" w:lineRule="auto"/>
        <w:ind w:firstLine="420" w:firstLineChars="200"/>
        <w:rPr>
          <w:rFonts w:ascii="宋体" w:hAnsi="宋体"/>
          <w:szCs w:val="21"/>
        </w:rPr>
      </w:pPr>
      <w:r>
        <w:rPr>
          <w:rFonts w:hint="eastAsia" w:ascii="宋体" w:hAnsi="宋体"/>
          <w:szCs w:val="21"/>
        </w:rPr>
        <w:t>（2）如果替代材料和工程设备的价值低于合同中约定的材料和工程设备的价值，则将节余部分的价值从合同价格中扣除并相应地通知承包人。</w:t>
      </w:r>
    </w:p>
    <w:p>
      <w:pPr>
        <w:pStyle w:val="4"/>
        <w:keepNext/>
        <w:keepLines/>
        <w:widowControl w:val="0"/>
        <w:jc w:val="left"/>
        <w:rPr>
          <w:rFonts w:ascii="黑体" w:hAnsi="宋体" w:eastAsia="黑体"/>
          <w:b w:val="0"/>
          <w:bCs w:val="0"/>
          <w:sz w:val="28"/>
          <w:szCs w:val="28"/>
        </w:rPr>
      </w:pPr>
      <w:bookmarkStart w:id="400" w:name="_Toc16706"/>
      <w:bookmarkStart w:id="401" w:name="_Toc484015119"/>
      <w:bookmarkStart w:id="402" w:name="_Toc6048"/>
      <w:bookmarkStart w:id="403" w:name="_Toc21740"/>
      <w:bookmarkStart w:id="404" w:name="_Toc20601"/>
      <w:bookmarkStart w:id="405" w:name="_Toc486318751"/>
      <w:bookmarkStart w:id="406" w:name="_Toc300678542"/>
      <w:r>
        <w:rPr>
          <w:rFonts w:hint="eastAsia" w:ascii="黑体" w:hAnsi="宋体" w:eastAsia="黑体"/>
          <w:b w:val="0"/>
          <w:bCs w:val="0"/>
          <w:sz w:val="28"/>
          <w:szCs w:val="28"/>
        </w:rPr>
        <w:t>10.进口材料和工程设备</w:t>
      </w:r>
      <w:bookmarkEnd w:id="400"/>
      <w:bookmarkEnd w:id="401"/>
      <w:bookmarkEnd w:id="402"/>
      <w:bookmarkEnd w:id="403"/>
      <w:bookmarkEnd w:id="404"/>
      <w:bookmarkEnd w:id="405"/>
      <w:bookmarkEnd w:id="406"/>
    </w:p>
    <w:p>
      <w:pPr>
        <w:spacing w:line="360" w:lineRule="auto"/>
        <w:ind w:firstLine="420" w:firstLineChars="200"/>
        <w:rPr>
          <w:rFonts w:ascii="宋体" w:hAnsi="宋体"/>
          <w:szCs w:val="21"/>
        </w:rPr>
      </w:pPr>
      <w:r>
        <w:rPr>
          <w:rFonts w:hint="eastAsia" w:ascii="宋体" w:hAnsi="宋体"/>
          <w:szCs w:val="21"/>
        </w:rPr>
        <w:t>10.1 本工程需要进口的材料和工程设备如下：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10.2 上述进口材料和工程设备采购、进口、报关、清关、商检、境内运输（包括保险）、保管的责任以及费用承担方式划分如下：</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07" w:name="_Toc26754"/>
      <w:bookmarkStart w:id="408" w:name="_Toc300678543"/>
      <w:bookmarkStart w:id="409" w:name="_Toc486318752"/>
      <w:bookmarkStart w:id="410" w:name="_Toc32738"/>
      <w:bookmarkStart w:id="411" w:name="_Toc484015120"/>
      <w:bookmarkStart w:id="412" w:name="_Toc16379"/>
      <w:bookmarkStart w:id="413" w:name="_Toc29896"/>
      <w:r>
        <w:rPr>
          <w:rFonts w:hint="eastAsia" w:ascii="黑体" w:hAnsi="宋体" w:eastAsia="黑体"/>
          <w:b w:val="0"/>
          <w:bCs w:val="0"/>
          <w:sz w:val="28"/>
          <w:szCs w:val="28"/>
        </w:rPr>
        <w:t>11.进度报告和进度例会</w:t>
      </w:r>
      <w:bookmarkEnd w:id="407"/>
      <w:bookmarkEnd w:id="408"/>
      <w:bookmarkEnd w:id="409"/>
      <w:bookmarkEnd w:id="410"/>
      <w:bookmarkEnd w:id="411"/>
      <w:bookmarkEnd w:id="412"/>
      <w:bookmarkEnd w:id="413"/>
    </w:p>
    <w:p>
      <w:pPr>
        <w:pStyle w:val="6"/>
        <w:rPr>
          <w:rFonts w:ascii="黑体" w:hAnsi="黑体" w:eastAsia="黑体"/>
          <w:b w:val="0"/>
          <w:bCs w:val="0"/>
          <w:sz w:val="24"/>
        </w:rPr>
      </w:pPr>
      <w:bookmarkStart w:id="414" w:name="_Toc300678544"/>
      <w:r>
        <w:rPr>
          <w:rFonts w:hint="eastAsia" w:ascii="黑体" w:hAnsi="黑体" w:eastAsia="黑体"/>
          <w:b w:val="0"/>
          <w:bCs w:val="0"/>
          <w:sz w:val="24"/>
        </w:rPr>
        <w:t>11.1 进度报告</w:t>
      </w:r>
      <w:bookmarkEnd w:id="414"/>
    </w:p>
    <w:p>
      <w:pPr>
        <w:spacing w:line="360" w:lineRule="auto"/>
        <w:ind w:firstLine="420" w:firstLineChars="200"/>
        <w:jc w:val="left"/>
        <w:rPr>
          <w:rFonts w:ascii="宋体" w:hAnsi="宋体"/>
          <w:szCs w:val="21"/>
        </w:rPr>
      </w:pPr>
      <w:r>
        <w:rPr>
          <w:rFonts w:hint="eastAsia" w:ascii="宋体" w:hAnsi="宋体"/>
          <w:szCs w:val="21"/>
        </w:rPr>
        <w:t>11.1.1 施工过程中，承包人应向监理人指定的代表呈递一份每日的日进度报表、每周的周进度报表和每月的月进度报表。除非监理人同意，日进度报表应在次日上午九点前递交，周进度报表应在次周的周一上午九时前递交，月进度报表应随合同条款第12.4.3项约定的进度付款申请单一并递交。</w:t>
      </w:r>
    </w:p>
    <w:p>
      <w:pPr>
        <w:spacing w:line="360" w:lineRule="auto"/>
        <w:ind w:firstLine="420" w:firstLineChars="200"/>
        <w:jc w:val="left"/>
        <w:rPr>
          <w:rFonts w:ascii="宋体" w:hAnsi="宋体"/>
          <w:szCs w:val="21"/>
        </w:rPr>
      </w:pPr>
      <w:r>
        <w:rPr>
          <w:rFonts w:hint="eastAsia" w:ascii="宋体" w:hAnsi="宋体"/>
          <w:szCs w:val="21"/>
        </w:rPr>
        <w:t>11.1.2 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pPr>
        <w:spacing w:line="360" w:lineRule="auto"/>
        <w:ind w:firstLine="420" w:firstLineChars="200"/>
        <w:jc w:val="left"/>
        <w:rPr>
          <w:rFonts w:ascii="宋体" w:hAnsi="宋体"/>
          <w:szCs w:val="21"/>
        </w:rPr>
      </w:pPr>
      <w:r>
        <w:rPr>
          <w:rFonts w:hint="eastAsia" w:ascii="宋体" w:hAnsi="宋体"/>
          <w:szCs w:val="21"/>
        </w:rPr>
        <w:t>11.1.3 月进度报表应当反映月完成工程量和累计完成工程量（包括永久工程和临时工程）、材料实际进货、消耗和库存量、现场施工设备的投运数量和运行状况、工程设备的到货情况、劳动力数量（本月及预计未来三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pPr>
        <w:spacing w:line="360" w:lineRule="auto"/>
        <w:ind w:left="-21" w:leftChars="-10" w:firstLine="420" w:firstLineChars="200"/>
        <w:jc w:val="left"/>
        <w:rPr>
          <w:rFonts w:ascii="宋体" w:hAnsi="宋体"/>
          <w:szCs w:val="21"/>
        </w:rPr>
      </w:pPr>
      <w:r>
        <w:rPr>
          <w:rFonts w:hint="eastAsia" w:ascii="宋体" w:hAnsi="宋体"/>
          <w:szCs w:val="21"/>
        </w:rPr>
        <w:t>11.1.4 月进度报告还应附有一组充分显示工程形象进度的定点摄影照片。照片应当在经监理人批准的不同位置定期拍摄，每张照片都应标上相应的拍摄日期和简要文字说明，且应用经发包人和监理人批准的标准或格式装裱后呈交。</w:t>
      </w:r>
    </w:p>
    <w:p>
      <w:pPr>
        <w:spacing w:line="360" w:lineRule="auto"/>
        <w:ind w:firstLine="420" w:firstLineChars="200"/>
        <w:jc w:val="left"/>
        <w:rPr>
          <w:rFonts w:ascii="宋体" w:hAnsi="宋体"/>
          <w:szCs w:val="21"/>
        </w:rPr>
      </w:pPr>
      <w:r>
        <w:rPr>
          <w:rFonts w:hint="eastAsia" w:ascii="宋体" w:hAnsi="宋体"/>
          <w:szCs w:val="21"/>
        </w:rPr>
        <w:t>11.1.5 各个进度报表的格式和内容应经过监理人的审批。进度报表应如实填写，由承包人委托代理人签名，并报监理人的指定代表签名确认后再行分发。</w:t>
      </w:r>
    </w:p>
    <w:p>
      <w:pPr>
        <w:spacing w:line="360" w:lineRule="auto"/>
        <w:ind w:firstLine="420" w:firstLineChars="200"/>
        <w:jc w:val="left"/>
        <w:rPr>
          <w:rFonts w:ascii="宋体" w:hAnsi="宋体"/>
          <w:szCs w:val="21"/>
        </w:rPr>
      </w:pPr>
      <w:r>
        <w:rPr>
          <w:rFonts w:hint="eastAsia" w:ascii="宋体" w:hAnsi="宋体"/>
          <w:szCs w:val="21"/>
        </w:rPr>
        <w:t>11.1.6 如果监理人认为必要，进度报告和进度照片应同时以存储在磁盘或光盘中的数据文件的形式递交给发包人和监理人。数据文件采用的应用软件及其版本应经过监理人的审批。</w:t>
      </w:r>
    </w:p>
    <w:p>
      <w:pPr>
        <w:spacing w:line="360" w:lineRule="auto"/>
        <w:ind w:firstLine="420" w:firstLineChars="200"/>
        <w:jc w:val="left"/>
        <w:rPr>
          <w:rFonts w:ascii="宋体" w:hAnsi="宋体"/>
          <w:szCs w:val="21"/>
        </w:rPr>
      </w:pPr>
      <w:r>
        <w:rPr>
          <w:rFonts w:hint="eastAsia" w:ascii="宋体" w:hAnsi="宋体"/>
          <w:szCs w:val="21"/>
        </w:rPr>
        <w:t>11.1.7 有关进度报告的其他要求：</w:t>
      </w:r>
    </w:p>
    <w:p>
      <w:pPr>
        <w:spacing w:line="360" w:lineRule="auto"/>
        <w:ind w:firstLine="420" w:firstLineChars="200"/>
        <w:rPr>
          <w:rFonts w:ascii="宋体" w:hAnsi="宋体"/>
          <w:szCs w:val="21"/>
        </w:rPr>
      </w:pPr>
    </w:p>
    <w:p>
      <w:pPr>
        <w:spacing w:line="360" w:lineRule="auto"/>
        <w:ind w:firstLine="420" w:firstLineChars="200"/>
        <w:jc w:val="left"/>
        <w:rPr>
          <w:rFonts w:ascii="宋体" w:hAnsi="宋体"/>
          <w:szCs w:val="21"/>
        </w:rPr>
      </w:pPr>
      <w:r>
        <w:rPr>
          <w:rFonts w:hint="eastAsia" w:ascii="宋体" w:hAnsi="宋体"/>
          <w:szCs w:val="21"/>
        </w:rPr>
        <w:t>。</w:t>
      </w:r>
    </w:p>
    <w:p>
      <w:pPr>
        <w:pStyle w:val="6"/>
        <w:rPr>
          <w:rFonts w:ascii="黑体" w:hAnsi="黑体" w:eastAsia="黑体"/>
          <w:b w:val="0"/>
          <w:bCs w:val="0"/>
          <w:sz w:val="24"/>
        </w:rPr>
      </w:pPr>
      <w:bookmarkStart w:id="415" w:name="_Toc300678545"/>
      <w:r>
        <w:rPr>
          <w:rFonts w:hint="eastAsia" w:ascii="黑体" w:hAnsi="黑体" w:eastAsia="黑体"/>
          <w:b w:val="0"/>
          <w:bCs w:val="0"/>
          <w:sz w:val="24"/>
        </w:rPr>
        <w:t>11.2 进度例会</w:t>
      </w:r>
      <w:bookmarkEnd w:id="415"/>
    </w:p>
    <w:p>
      <w:pPr>
        <w:spacing w:line="360" w:lineRule="auto"/>
        <w:ind w:firstLine="420" w:firstLineChars="200"/>
        <w:jc w:val="left"/>
        <w:rPr>
          <w:rFonts w:ascii="宋体" w:hAnsi="宋体"/>
          <w:szCs w:val="21"/>
        </w:rPr>
      </w:pPr>
      <w:r>
        <w:rPr>
          <w:rFonts w:hint="eastAsia" w:ascii="宋体" w:hAnsi="宋体"/>
          <w:szCs w:val="21"/>
        </w:rPr>
        <w:t>11.2.1 监理人将主持召开有发包人、承包人、独立承包人和主要分包人等与本工程建设有关各方出席的每周一次的进度例会。必要时，监理人可随时召集所有上述各方或其中部分单位参加的会议。承包人应保证能代表其当场作出决定的高级管理人员出席会议。</w:t>
      </w:r>
    </w:p>
    <w:p>
      <w:pPr>
        <w:spacing w:line="360" w:lineRule="auto"/>
        <w:ind w:firstLine="420" w:firstLineChars="200"/>
        <w:jc w:val="left"/>
        <w:rPr>
          <w:rFonts w:ascii="宋体" w:hAnsi="宋体"/>
          <w:szCs w:val="21"/>
        </w:rPr>
      </w:pPr>
      <w:r>
        <w:rPr>
          <w:rFonts w:hint="eastAsia" w:ascii="宋体" w:hAnsi="宋体"/>
          <w:szCs w:val="21"/>
        </w:rPr>
        <w:t>11.2.2 进度例会的内容将涉及合同管理、进度协调和工程管理的各个方面，由监理人准备的会议议题将随会议通知在会议召开前至少24小时发给各参会方。</w:t>
      </w:r>
    </w:p>
    <w:p>
      <w:pPr>
        <w:spacing w:line="360" w:lineRule="auto"/>
        <w:ind w:firstLine="420" w:firstLineChars="200"/>
        <w:jc w:val="left"/>
        <w:rPr>
          <w:rFonts w:ascii="宋体" w:hAnsi="宋体"/>
          <w:szCs w:val="21"/>
        </w:rPr>
      </w:pPr>
      <w:r>
        <w:rPr>
          <w:rFonts w:hint="eastAsia" w:ascii="宋体" w:hAnsi="宋体"/>
          <w:szCs w:val="21"/>
        </w:rPr>
        <w:t>11.2.3 监理人应当做好会议记录，并在会议结束时由与会各方签字确认。监理人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监理人，由监理人与有异议一方或各方共同核对会议记录，有异议的一方或者各方对与会议记录内容一致的会议纪要必须给予签字确认，否则监理人可以用会议记录作为会议纪要。经参会各方签字认可的会议纪要对各方有合同约束力。</w:t>
      </w:r>
    </w:p>
    <w:p>
      <w:pPr>
        <w:spacing w:line="360" w:lineRule="auto"/>
        <w:ind w:firstLine="420" w:firstLineChars="200"/>
        <w:jc w:val="left"/>
        <w:rPr>
          <w:rFonts w:ascii="宋体" w:hAnsi="宋体"/>
          <w:szCs w:val="21"/>
        </w:rPr>
      </w:pPr>
      <w:r>
        <w:rPr>
          <w:rFonts w:hint="eastAsia" w:ascii="宋体" w:hAnsi="宋体"/>
          <w:szCs w:val="21"/>
        </w:rPr>
        <w:t>11.2.4 有关进度例会的其他要求：</w:t>
      </w:r>
    </w:p>
    <w:p>
      <w:pPr>
        <w:spacing w:line="360" w:lineRule="auto"/>
        <w:rPr>
          <w:rFonts w:ascii="宋体" w:hAnsi="宋体"/>
          <w:szCs w:val="21"/>
        </w:rPr>
      </w:pPr>
    </w:p>
    <w:p>
      <w:pPr>
        <w:spacing w:line="360" w:lineRule="auto"/>
        <w:jc w:val="left"/>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16" w:name="_Toc5267"/>
      <w:bookmarkStart w:id="417" w:name="_Toc20989"/>
      <w:bookmarkStart w:id="418" w:name="_Toc486318753"/>
      <w:bookmarkStart w:id="419" w:name="_Toc8211"/>
      <w:bookmarkStart w:id="420" w:name="_Toc24203"/>
      <w:bookmarkStart w:id="421" w:name="_Toc300678546"/>
      <w:bookmarkStart w:id="422" w:name="_Toc484015121"/>
      <w:r>
        <w:rPr>
          <w:rFonts w:hint="eastAsia" w:ascii="黑体" w:hAnsi="宋体" w:eastAsia="黑体"/>
          <w:b w:val="0"/>
          <w:bCs w:val="0"/>
          <w:sz w:val="28"/>
          <w:szCs w:val="28"/>
        </w:rPr>
        <w:t>12.试验和检验</w:t>
      </w:r>
      <w:bookmarkEnd w:id="416"/>
      <w:bookmarkEnd w:id="417"/>
      <w:bookmarkEnd w:id="418"/>
      <w:bookmarkEnd w:id="419"/>
      <w:bookmarkEnd w:id="420"/>
      <w:bookmarkEnd w:id="421"/>
      <w:bookmarkEnd w:id="422"/>
    </w:p>
    <w:p>
      <w:pPr>
        <w:spacing w:line="360" w:lineRule="auto"/>
        <w:ind w:firstLine="420" w:firstLineChars="200"/>
        <w:jc w:val="left"/>
        <w:rPr>
          <w:rFonts w:ascii="宋体" w:hAnsi="宋体"/>
          <w:szCs w:val="21"/>
        </w:rPr>
      </w:pPr>
      <w:r>
        <w:rPr>
          <w:rFonts w:hint="eastAsia" w:ascii="宋体" w:hAnsi="宋体"/>
          <w:szCs w:val="21"/>
        </w:rPr>
        <w:t>12.1 承包人应当按照工程施工验收规范和标准的规定和通用合同条款第14条的约定，对用于永久工程的主要材料、半成品、成品、建筑构配件、工程设备等进行试验和检验。</w:t>
      </w:r>
    </w:p>
    <w:p>
      <w:pPr>
        <w:spacing w:line="360" w:lineRule="auto"/>
        <w:ind w:firstLine="420" w:firstLineChars="200"/>
        <w:jc w:val="left"/>
        <w:rPr>
          <w:rFonts w:ascii="宋体" w:hAnsi="宋体"/>
          <w:szCs w:val="21"/>
        </w:rPr>
      </w:pPr>
      <w:r>
        <w:rPr>
          <w:rFonts w:hint="eastAsia" w:ascii="宋体" w:hAnsi="宋体"/>
          <w:szCs w:val="21"/>
        </w:rPr>
        <w:t>12.2 本工程需要承包人进行试验和检验的材料、工程设备和工艺如下：</w:t>
      </w:r>
    </w:p>
    <w:p>
      <w:pPr>
        <w:spacing w:line="360" w:lineRule="auto"/>
        <w:rPr>
          <w:rFonts w:ascii="宋体" w:hAnsi="宋体"/>
          <w:szCs w:val="21"/>
        </w:rPr>
      </w:pPr>
    </w:p>
    <w:p>
      <w:pPr>
        <w:spacing w:line="360" w:lineRule="auto"/>
        <w:jc w:val="left"/>
        <w:rPr>
          <w:rFonts w:ascii="宋体" w:hAnsi="宋体"/>
          <w:szCs w:val="21"/>
        </w:rPr>
      </w:pPr>
      <w:r>
        <w:rPr>
          <w:rFonts w:hint="eastAsia" w:ascii="宋体" w:hAnsi="宋体"/>
          <w:szCs w:val="21"/>
        </w:rPr>
        <w:t>。</w:t>
      </w:r>
    </w:p>
    <w:p>
      <w:pPr>
        <w:spacing w:line="360" w:lineRule="auto"/>
        <w:ind w:firstLine="420" w:firstLineChars="200"/>
        <w:jc w:val="left"/>
        <w:rPr>
          <w:rFonts w:ascii="宋体" w:hAnsi="宋体"/>
          <w:szCs w:val="21"/>
        </w:rPr>
      </w:pPr>
      <w:r>
        <w:rPr>
          <w:rFonts w:hint="eastAsia" w:ascii="宋体" w:hAnsi="宋体"/>
          <w:szCs w:val="21"/>
        </w:rPr>
        <w:t>监理人可以根据工程需要，指示承包人进行其他现场材料和工艺的试验和检验。</w:t>
      </w:r>
    </w:p>
    <w:p>
      <w:pPr>
        <w:spacing w:line="360" w:lineRule="auto"/>
        <w:ind w:firstLine="420" w:firstLineChars="200"/>
        <w:jc w:val="left"/>
        <w:rPr>
          <w:rFonts w:ascii="宋体" w:hAnsi="宋体"/>
          <w:spacing w:val="4"/>
          <w:szCs w:val="21"/>
        </w:rPr>
      </w:pPr>
      <w:r>
        <w:rPr>
          <w:rFonts w:hint="eastAsia" w:ascii="宋体" w:hAnsi="宋体"/>
          <w:szCs w:val="21"/>
        </w:rPr>
        <w:t xml:space="preserve">12.3 </w:t>
      </w:r>
      <w:r>
        <w:rPr>
          <w:rFonts w:hint="eastAsia" w:ascii="宋体" w:hAnsi="宋体"/>
          <w:spacing w:val="4"/>
          <w:szCs w:val="21"/>
        </w:rPr>
        <w:t>本工程需要由监理人和承包人共同进行试验和检验的材料、工程设备和工艺如下：</w:t>
      </w:r>
    </w:p>
    <w:p>
      <w:pPr>
        <w:spacing w:line="360" w:lineRule="auto"/>
        <w:rPr>
          <w:rFonts w:ascii="宋体" w:hAnsi="宋体"/>
          <w:szCs w:val="21"/>
        </w:rPr>
      </w:pPr>
    </w:p>
    <w:p>
      <w:pPr>
        <w:spacing w:line="360" w:lineRule="auto"/>
        <w:jc w:val="left"/>
        <w:rPr>
          <w:rFonts w:ascii="宋体" w:hAnsi="宋体"/>
          <w:szCs w:val="21"/>
        </w:rPr>
      </w:pPr>
      <w:r>
        <w:rPr>
          <w:rFonts w:hint="eastAsia" w:ascii="宋体" w:hAnsi="宋体"/>
          <w:szCs w:val="21"/>
        </w:rPr>
        <w:t>。</w:t>
      </w:r>
    </w:p>
    <w:p>
      <w:pPr>
        <w:spacing w:line="360" w:lineRule="auto"/>
        <w:ind w:firstLine="420" w:firstLineChars="200"/>
        <w:jc w:val="left"/>
        <w:rPr>
          <w:rFonts w:ascii="宋体" w:hAnsi="宋体"/>
          <w:szCs w:val="21"/>
        </w:rPr>
      </w:pPr>
      <w:r>
        <w:rPr>
          <w:rFonts w:hint="eastAsia" w:ascii="宋体" w:hAnsi="宋体"/>
          <w:szCs w:val="21"/>
        </w:rPr>
        <w:t>12.4 本条上述约定需要进行检验的材料、工程设备和工艺在经过检验并获得监理人批准以前，不得用于任何永久工程。</w:t>
      </w:r>
    </w:p>
    <w:p>
      <w:pPr>
        <w:spacing w:line="360" w:lineRule="auto"/>
        <w:ind w:firstLine="420" w:firstLineChars="200"/>
        <w:jc w:val="left"/>
        <w:rPr>
          <w:rFonts w:ascii="宋体" w:hAnsi="宋体"/>
          <w:szCs w:val="21"/>
        </w:rPr>
      </w:pPr>
      <w:r>
        <w:rPr>
          <w:rFonts w:hint="eastAsia" w:ascii="宋体" w:hAnsi="宋体"/>
          <w:szCs w:val="21"/>
        </w:rPr>
        <w:t>12.5 承包人应为任何材料、工程设备和工艺的检查、检测和检验提供劳务、电力、燃料、备用品、设备和仪器以及必要的协助。监理人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pPr>
        <w:spacing w:line="360" w:lineRule="auto"/>
        <w:ind w:firstLine="420" w:firstLineChars="200"/>
        <w:jc w:val="left"/>
        <w:rPr>
          <w:rFonts w:ascii="宋体" w:hAnsi="宋体"/>
          <w:szCs w:val="21"/>
        </w:rPr>
      </w:pPr>
      <w:r>
        <w:rPr>
          <w:rFonts w:hint="eastAsia" w:ascii="宋体" w:hAnsi="宋体"/>
          <w:szCs w:val="21"/>
        </w:rPr>
        <w:t>12.6 如果检查、检测、检验或试验的结果表明，材料、工程设备和工艺有缺陷或不符合合同约定，监理人和发包人可拒收此类材料、工程设备和工艺，并应立即通知承包人同时说明理由。承包人应立即修复上述缺陷并保证其符合合同约定。若监理人或发包人要求对此类工程设备、材料、设计或工艺重新进行检验，则此类检验应按相同条款和条件重新进行。如果此类拒收和重新检验致使发包人产生了额外费用，则此类费用应由承包人支付给发包人，或从发包人应支付给承包人的款项中扣除。</w:t>
      </w:r>
    </w:p>
    <w:p>
      <w:pPr>
        <w:spacing w:line="360" w:lineRule="auto"/>
        <w:ind w:firstLine="420" w:firstLineChars="200"/>
        <w:jc w:val="left"/>
        <w:rPr>
          <w:rFonts w:ascii="宋体" w:hAnsi="宋体"/>
          <w:szCs w:val="21"/>
        </w:rPr>
      </w:pPr>
      <w:r>
        <w:rPr>
          <w:rFonts w:hint="eastAsia" w:ascii="宋体" w:hAnsi="宋体"/>
          <w:szCs w:val="21"/>
        </w:rPr>
        <w:t>12.7 承包人应在监理人的监督下，对涉及结构安全的试块、试件以及有关材料进行现场取样，并送质量检测单位进行检测。</w:t>
      </w:r>
    </w:p>
    <w:p>
      <w:pPr>
        <w:spacing w:line="360" w:lineRule="auto"/>
        <w:ind w:firstLine="420" w:firstLineChars="200"/>
        <w:jc w:val="left"/>
        <w:rPr>
          <w:rFonts w:ascii="宋体" w:hAnsi="宋体"/>
          <w:szCs w:val="21"/>
        </w:rPr>
      </w:pPr>
      <w:r>
        <w:rPr>
          <w:rFonts w:hint="eastAsia" w:ascii="宋体" w:hAnsi="宋体"/>
          <w:szCs w:val="21"/>
        </w:rPr>
        <w:t>12.8  除合同另有约定外，承包人应负担本合同项下的所有材料、工程设备和工艺检验的费用。</w:t>
      </w:r>
    </w:p>
    <w:p>
      <w:pPr>
        <w:pStyle w:val="4"/>
        <w:keepNext/>
        <w:keepLines/>
        <w:widowControl w:val="0"/>
        <w:jc w:val="left"/>
        <w:rPr>
          <w:rFonts w:ascii="黑体" w:hAnsi="宋体" w:eastAsia="黑体"/>
          <w:b w:val="0"/>
          <w:bCs w:val="0"/>
          <w:sz w:val="28"/>
          <w:szCs w:val="28"/>
        </w:rPr>
      </w:pPr>
      <w:bookmarkStart w:id="423" w:name="_Toc26024"/>
      <w:bookmarkStart w:id="424" w:name="_Toc484015122"/>
      <w:bookmarkStart w:id="425" w:name="_Toc486318754"/>
      <w:bookmarkStart w:id="426" w:name="_Toc22057"/>
      <w:bookmarkStart w:id="427" w:name="_Toc300678547"/>
      <w:bookmarkStart w:id="428" w:name="_Toc19224"/>
      <w:bookmarkStart w:id="429" w:name="_Toc24382"/>
      <w:r>
        <w:rPr>
          <w:rFonts w:hint="eastAsia" w:ascii="黑体" w:hAnsi="宋体" w:eastAsia="黑体"/>
          <w:b w:val="0"/>
          <w:bCs w:val="0"/>
          <w:sz w:val="28"/>
          <w:szCs w:val="28"/>
        </w:rPr>
        <w:t>13.计日工</w:t>
      </w:r>
      <w:bookmarkEnd w:id="423"/>
      <w:bookmarkEnd w:id="424"/>
      <w:bookmarkEnd w:id="425"/>
      <w:bookmarkEnd w:id="426"/>
      <w:bookmarkEnd w:id="427"/>
      <w:bookmarkEnd w:id="428"/>
      <w:bookmarkEnd w:id="429"/>
    </w:p>
    <w:p>
      <w:pPr>
        <w:spacing w:line="360" w:lineRule="auto"/>
        <w:ind w:firstLine="420" w:firstLineChars="200"/>
        <w:jc w:val="left"/>
        <w:rPr>
          <w:rFonts w:ascii="宋体" w:hAnsi="宋体"/>
          <w:szCs w:val="21"/>
        </w:rPr>
      </w:pPr>
      <w:r>
        <w:rPr>
          <w:rFonts w:hint="eastAsia" w:ascii="宋体" w:hAnsi="宋体"/>
          <w:szCs w:val="21"/>
        </w:rPr>
        <w:t>13.1 通用合同条款第10.9款约定的计日工，一般适用于合同约定之外的或者因变更而产生的、工程量清单中没有设立相应项目或者即便有相应项目但因工作条件发生变化而无法适用的额外工作，尤其是那些时间不允许事先商定价格的额外工作。计日工在发包人认为必要时，由监理人按通用合同条款第10.9款约定通知承包人实施。</w:t>
      </w:r>
    </w:p>
    <w:p>
      <w:pPr>
        <w:spacing w:line="360" w:lineRule="auto"/>
        <w:ind w:firstLine="420" w:firstLineChars="200"/>
        <w:jc w:val="left"/>
        <w:rPr>
          <w:rFonts w:ascii="宋体" w:hAnsi="宋体"/>
          <w:szCs w:val="21"/>
        </w:rPr>
      </w:pPr>
      <w:r>
        <w:rPr>
          <w:rFonts w:hint="eastAsia" w:ascii="宋体" w:hAnsi="宋体"/>
          <w:szCs w:val="21"/>
        </w:rPr>
        <w:t>13.2 在工程实际开工后14天内，承包人应当按通用合同条款第10.9款约定的计日工报表内容，准备一份计日工日报表的格式，报送监理人审批，监理人应当在收到之日后7天内给予批复或提出修改意见。</w:t>
      </w:r>
    </w:p>
    <w:p>
      <w:pPr>
        <w:spacing w:line="360" w:lineRule="auto"/>
        <w:ind w:firstLine="420" w:firstLineChars="200"/>
        <w:jc w:val="left"/>
        <w:rPr>
          <w:rFonts w:ascii="宋体" w:hAnsi="宋体"/>
          <w:szCs w:val="21"/>
        </w:rPr>
      </w:pPr>
      <w:r>
        <w:rPr>
          <w:rFonts w:hint="eastAsia" w:ascii="宋体" w:hAnsi="宋体"/>
          <w:szCs w:val="21"/>
        </w:rPr>
        <w:t>13.3 按计日工实施相关变更的过程中，承包人应当按经监理人批准的计日工日报表格式，每天提交计日工报表和有关凭证，报送监理人审批，监理人应当在收到相关报表和凭证后24小时内给予批复。</w:t>
      </w:r>
    </w:p>
    <w:p>
      <w:pPr>
        <w:spacing w:line="360" w:lineRule="auto"/>
        <w:ind w:firstLine="420" w:firstLineChars="200"/>
        <w:jc w:val="left"/>
        <w:rPr>
          <w:rFonts w:ascii="宋体" w:hAnsi="宋体"/>
          <w:szCs w:val="21"/>
        </w:rPr>
      </w:pPr>
      <w:r>
        <w:rPr>
          <w:rFonts w:hint="eastAsia" w:ascii="宋体" w:hAnsi="宋体"/>
          <w:szCs w:val="21"/>
        </w:rPr>
        <w:t>13.4 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pPr>
        <w:spacing w:line="360" w:lineRule="auto"/>
        <w:ind w:firstLine="420" w:firstLineChars="200"/>
        <w:jc w:val="left"/>
        <w:rPr>
          <w:rFonts w:ascii="宋体" w:hAnsi="宋体"/>
          <w:szCs w:val="21"/>
        </w:rPr>
      </w:pPr>
      <w:r>
        <w:rPr>
          <w:rFonts w:hint="eastAsia" w:ascii="宋体" w:hAnsi="宋体"/>
          <w:szCs w:val="21"/>
        </w:rPr>
        <w:t>13.5 已标价工程量清单计日工材料表中未列出的材料，实际发生于计日工时，其价格按照经监理人事先审批的材料运到现场的价格和有关材料采购的发票票面价格（运到现场价）中的较低者结算，另计一个在计日工材料表中填写的包括承包人企业管理费、利润在内的一个固定百分比，规费和税金另计。</w:t>
      </w:r>
    </w:p>
    <w:p>
      <w:pPr>
        <w:spacing w:line="360" w:lineRule="auto"/>
        <w:ind w:firstLine="420" w:firstLineChars="200"/>
        <w:jc w:val="left"/>
        <w:rPr>
          <w:rFonts w:ascii="宋体" w:hAnsi="宋体"/>
          <w:szCs w:val="21"/>
        </w:rPr>
      </w:pPr>
      <w:r>
        <w:rPr>
          <w:rFonts w:hint="eastAsia" w:ascii="宋体" w:hAnsi="宋体"/>
          <w:szCs w:val="21"/>
        </w:rPr>
        <w:t>13.6 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监理人审批。</w:t>
      </w:r>
    </w:p>
    <w:p>
      <w:pPr>
        <w:spacing w:line="360" w:lineRule="auto"/>
        <w:ind w:firstLine="420" w:firstLineChars="200"/>
        <w:jc w:val="left"/>
        <w:rPr>
          <w:rFonts w:ascii="宋体" w:hAnsi="宋体"/>
          <w:szCs w:val="21"/>
        </w:rPr>
      </w:pPr>
      <w:r>
        <w:rPr>
          <w:rFonts w:hint="eastAsia" w:ascii="宋体" w:hAnsi="宋体"/>
          <w:szCs w:val="21"/>
        </w:rPr>
        <w:t>13.7 关于计日工的其他约定：</w:t>
      </w:r>
    </w:p>
    <w:p>
      <w:pPr>
        <w:spacing w:line="360" w:lineRule="auto"/>
        <w:jc w:val="left"/>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30" w:name="_Toc12517"/>
      <w:bookmarkStart w:id="431" w:name="_Toc300678548"/>
      <w:bookmarkStart w:id="432" w:name="_Toc486318755"/>
      <w:bookmarkStart w:id="433" w:name="_Toc6863"/>
      <w:bookmarkStart w:id="434" w:name="_Toc26326"/>
      <w:bookmarkStart w:id="435" w:name="_Toc20615"/>
      <w:bookmarkStart w:id="436" w:name="_Toc484015123"/>
      <w:r>
        <w:rPr>
          <w:rFonts w:hint="eastAsia" w:ascii="黑体" w:hAnsi="宋体" w:eastAsia="黑体"/>
          <w:b w:val="0"/>
          <w:bCs w:val="0"/>
          <w:sz w:val="28"/>
          <w:szCs w:val="28"/>
        </w:rPr>
        <w:t>14.计量与支付</w:t>
      </w:r>
      <w:bookmarkEnd w:id="430"/>
      <w:bookmarkEnd w:id="431"/>
      <w:bookmarkEnd w:id="432"/>
      <w:bookmarkEnd w:id="433"/>
      <w:bookmarkEnd w:id="434"/>
      <w:bookmarkEnd w:id="435"/>
      <w:bookmarkEnd w:id="436"/>
    </w:p>
    <w:p>
      <w:pPr>
        <w:pStyle w:val="6"/>
        <w:rPr>
          <w:rFonts w:ascii="黑体" w:hAnsi="黑体" w:eastAsia="黑体"/>
          <w:b w:val="0"/>
          <w:bCs w:val="0"/>
          <w:sz w:val="24"/>
        </w:rPr>
      </w:pPr>
      <w:bookmarkStart w:id="437" w:name="_Toc300678549"/>
      <w:r>
        <w:rPr>
          <w:rFonts w:hint="eastAsia" w:ascii="黑体" w:hAnsi="黑体" w:eastAsia="黑体"/>
          <w:b w:val="0"/>
          <w:bCs w:val="0"/>
          <w:sz w:val="24"/>
        </w:rPr>
        <w:t>14.1 付款申请单</w:t>
      </w:r>
      <w:bookmarkEnd w:id="437"/>
    </w:p>
    <w:p>
      <w:pPr>
        <w:spacing w:line="360" w:lineRule="auto"/>
        <w:ind w:firstLine="420" w:firstLineChars="200"/>
        <w:jc w:val="left"/>
        <w:rPr>
          <w:rFonts w:ascii="宋体" w:hAnsi="宋体"/>
          <w:szCs w:val="21"/>
        </w:rPr>
      </w:pPr>
      <w:r>
        <w:rPr>
          <w:rFonts w:hint="eastAsia" w:ascii="宋体" w:hAnsi="宋体"/>
          <w:szCs w:val="21"/>
        </w:rPr>
        <w:t>14.1.1 在工程实际开工后14天内，承包人应当按照合同条款第12.4.2项的约定，准备一份已完工程量报表、进度付款申请单和计量文件的格式等报送监理人，监理人应当在收到承包人报送的格式后7天内给予批复或者提出修改意见。</w:t>
      </w:r>
    </w:p>
    <w:p>
      <w:pPr>
        <w:spacing w:line="360" w:lineRule="auto"/>
        <w:ind w:firstLine="420" w:firstLineChars="200"/>
        <w:jc w:val="left"/>
        <w:rPr>
          <w:rFonts w:ascii="宋体" w:hAnsi="宋体"/>
          <w:szCs w:val="21"/>
        </w:rPr>
      </w:pPr>
      <w:r>
        <w:rPr>
          <w:rFonts w:hint="eastAsia" w:ascii="宋体" w:hAnsi="宋体"/>
          <w:szCs w:val="21"/>
        </w:rPr>
        <w:t>14.1.2 根据合同条款第12.3.3项、第12.3.4项，承包人应当在合同约定的每个付款周期末，对当期完成的各项工程量进行计量和计价，并按照约定，对当期应增加和扣减的各类款项进行梳理和汇总，按经监理人批准的格式和专用合同条款约定的份数和内容准备并向监理人递交进度付款申请单，并将进度付款申请单连同已完工程量报表、有关计量资料以及能够证明其进度付款申请单中所索要款项符合合同约定的各个支持性文件同时报送监理人审批。</w:t>
      </w:r>
    </w:p>
    <w:p>
      <w:pPr>
        <w:spacing w:line="360" w:lineRule="auto"/>
        <w:ind w:firstLine="420" w:firstLineChars="200"/>
        <w:jc w:val="left"/>
        <w:rPr>
          <w:rFonts w:ascii="宋体" w:hAnsi="宋体"/>
          <w:szCs w:val="21"/>
        </w:rPr>
      </w:pPr>
      <w:r>
        <w:rPr>
          <w:rFonts w:hint="eastAsia" w:ascii="宋体" w:hAnsi="宋体"/>
          <w:szCs w:val="21"/>
        </w:rPr>
        <w:t>14.1.3 竣工付款申请单的内容按专用合同条款第12.4.3项的约定。采用单价合同形式的，竣工付款申请单应当附上按通用合同条款第12.4.3（1）目确定的结算工程量和最近一欠进度付款和竣工付款之间完成的各项目的工程量计量文件。采用总价合同形式的，签约合同价所基于的工程量就是相应的竣工结算工程量，但是，变更应按合同约定进行计量和计价。</w:t>
      </w:r>
    </w:p>
    <w:p>
      <w:pPr>
        <w:spacing w:line="360" w:lineRule="auto"/>
        <w:ind w:firstLine="420" w:firstLineChars="200"/>
        <w:jc w:val="left"/>
        <w:rPr>
          <w:rFonts w:ascii="宋体" w:hAnsi="宋体"/>
          <w:szCs w:val="21"/>
        </w:rPr>
      </w:pPr>
      <w:r>
        <w:rPr>
          <w:rFonts w:hint="eastAsia" w:ascii="宋体" w:hAnsi="宋体"/>
          <w:szCs w:val="21"/>
        </w:rPr>
        <w:t>14.1.4 竣工结算总价（合同价格）应当按以下内容梳理：</w:t>
      </w:r>
    </w:p>
    <w:p>
      <w:pPr>
        <w:spacing w:line="360" w:lineRule="auto"/>
        <w:ind w:firstLine="420" w:firstLineChars="200"/>
        <w:jc w:val="left"/>
        <w:rPr>
          <w:rFonts w:ascii="宋体" w:hAnsi="宋体"/>
          <w:szCs w:val="21"/>
        </w:rPr>
      </w:pPr>
      <w:r>
        <w:rPr>
          <w:rFonts w:hint="eastAsia" w:ascii="宋体" w:hAnsi="宋体"/>
          <w:szCs w:val="21"/>
        </w:rPr>
        <w:t>（1）签约合同价；</w:t>
      </w:r>
    </w:p>
    <w:p>
      <w:pPr>
        <w:spacing w:line="360" w:lineRule="auto"/>
        <w:ind w:firstLine="420" w:firstLineChars="200"/>
        <w:jc w:val="left"/>
        <w:rPr>
          <w:rFonts w:ascii="宋体" w:hAnsi="宋体"/>
          <w:szCs w:val="21"/>
        </w:rPr>
      </w:pPr>
      <w:r>
        <w:rPr>
          <w:rFonts w:hint="eastAsia" w:ascii="宋体" w:hAnsi="宋体"/>
          <w:szCs w:val="21"/>
        </w:rPr>
        <w:t>（2）应当扣减的项目；</w:t>
      </w:r>
    </w:p>
    <w:p>
      <w:pPr>
        <w:spacing w:line="360" w:lineRule="auto"/>
        <w:ind w:firstLine="420" w:firstLineChars="200"/>
        <w:jc w:val="left"/>
        <w:rPr>
          <w:rFonts w:ascii="宋体" w:hAnsi="宋体"/>
          <w:szCs w:val="21"/>
        </w:rPr>
      </w:pPr>
      <w:r>
        <w:rPr>
          <w:rFonts w:hint="eastAsia" w:ascii="宋体" w:hAnsi="宋体"/>
          <w:szCs w:val="21"/>
        </w:rPr>
        <w:t>1）所有暂列金额；</w:t>
      </w:r>
    </w:p>
    <w:p>
      <w:pPr>
        <w:spacing w:line="360" w:lineRule="auto"/>
        <w:ind w:firstLine="420" w:firstLineChars="200"/>
        <w:jc w:val="left"/>
        <w:rPr>
          <w:rFonts w:ascii="宋体" w:hAnsi="宋体"/>
          <w:szCs w:val="21"/>
        </w:rPr>
      </w:pPr>
      <w:r>
        <w:rPr>
          <w:rFonts w:hint="eastAsia" w:ascii="宋体" w:hAnsi="宋体"/>
          <w:szCs w:val="21"/>
        </w:rPr>
        <w:t>2）所有暂估价；</w:t>
      </w:r>
    </w:p>
    <w:p>
      <w:pPr>
        <w:spacing w:line="360" w:lineRule="auto"/>
        <w:ind w:firstLine="420" w:firstLineChars="200"/>
        <w:jc w:val="left"/>
        <w:rPr>
          <w:rFonts w:ascii="宋体" w:hAnsi="宋体"/>
          <w:szCs w:val="21"/>
        </w:rPr>
      </w:pPr>
      <w:r>
        <w:rPr>
          <w:rFonts w:hint="eastAsia" w:ascii="宋体" w:hAnsi="宋体"/>
          <w:szCs w:val="21"/>
        </w:rPr>
        <w:t>3）根据合同条款第10.4款应扣减的变更金额；</w:t>
      </w:r>
    </w:p>
    <w:p>
      <w:pPr>
        <w:spacing w:line="360" w:lineRule="auto"/>
        <w:ind w:firstLine="420" w:firstLineChars="200"/>
        <w:jc w:val="left"/>
        <w:rPr>
          <w:rFonts w:ascii="宋体" w:hAnsi="宋体"/>
          <w:szCs w:val="21"/>
        </w:rPr>
      </w:pPr>
      <w:r>
        <w:rPr>
          <w:rFonts w:hint="eastAsia" w:ascii="宋体" w:hAnsi="宋体"/>
          <w:szCs w:val="21"/>
        </w:rPr>
        <w:t>4）根据合同条款第11.1款应扣减的价格调整（下调部分）；</w:t>
      </w:r>
    </w:p>
    <w:p>
      <w:pPr>
        <w:spacing w:line="360" w:lineRule="auto"/>
        <w:ind w:firstLine="420" w:firstLineChars="200"/>
        <w:jc w:val="left"/>
        <w:rPr>
          <w:rFonts w:ascii="宋体" w:hAnsi="宋体"/>
          <w:szCs w:val="21"/>
        </w:rPr>
      </w:pPr>
      <w:r>
        <w:rPr>
          <w:rFonts w:hint="eastAsia" w:ascii="宋体" w:hAnsi="宋体"/>
          <w:szCs w:val="21"/>
        </w:rPr>
        <w:t>5）根据合同条款第19.1款应扣减的发包人索赔金额；</w:t>
      </w:r>
    </w:p>
    <w:p>
      <w:pPr>
        <w:spacing w:line="360" w:lineRule="auto"/>
        <w:ind w:firstLine="420" w:firstLineChars="200"/>
        <w:jc w:val="left"/>
        <w:rPr>
          <w:rFonts w:ascii="宋体" w:hAnsi="宋体"/>
          <w:szCs w:val="21"/>
        </w:rPr>
      </w:pPr>
      <w:r>
        <w:rPr>
          <w:rFonts w:hint="eastAsia" w:ascii="宋体" w:hAnsi="宋体"/>
          <w:szCs w:val="21"/>
        </w:rPr>
        <w:t>6）甩项工程的合同价值（如果有）；</w:t>
      </w:r>
    </w:p>
    <w:p>
      <w:pPr>
        <w:spacing w:line="360" w:lineRule="auto"/>
        <w:ind w:firstLine="420" w:firstLineChars="200"/>
        <w:jc w:val="left"/>
        <w:rPr>
          <w:rFonts w:ascii="宋体" w:hAnsi="宋体"/>
          <w:szCs w:val="21"/>
        </w:rPr>
      </w:pPr>
      <w:r>
        <w:rPr>
          <w:rFonts w:hint="eastAsia" w:ascii="宋体" w:hAnsi="宋体"/>
          <w:szCs w:val="21"/>
        </w:rPr>
        <w:t>7）根据合同约定发包人应扣减的其他金额。</w:t>
      </w:r>
    </w:p>
    <w:p>
      <w:pPr>
        <w:spacing w:line="360" w:lineRule="auto"/>
        <w:ind w:firstLine="420" w:firstLineChars="200"/>
        <w:jc w:val="left"/>
        <w:rPr>
          <w:rFonts w:ascii="宋体" w:hAnsi="宋体"/>
          <w:szCs w:val="21"/>
        </w:rPr>
      </w:pPr>
      <w:r>
        <w:rPr>
          <w:rFonts w:hint="eastAsia" w:ascii="宋体" w:hAnsi="宋体"/>
          <w:szCs w:val="21"/>
        </w:rPr>
        <w:t>（3）应当增加的项目；</w:t>
      </w:r>
    </w:p>
    <w:p>
      <w:pPr>
        <w:spacing w:line="360" w:lineRule="auto"/>
        <w:ind w:firstLine="420" w:firstLineChars="200"/>
        <w:jc w:val="left"/>
        <w:rPr>
          <w:rFonts w:ascii="宋体" w:hAnsi="宋体"/>
          <w:szCs w:val="21"/>
        </w:rPr>
      </w:pPr>
      <w:r>
        <w:rPr>
          <w:rFonts w:hint="eastAsia" w:ascii="宋体" w:hAnsi="宋体"/>
          <w:szCs w:val="21"/>
        </w:rPr>
        <w:t>1）实际发生的暂列金额（包括计日工）；</w:t>
      </w:r>
    </w:p>
    <w:p>
      <w:pPr>
        <w:spacing w:line="360" w:lineRule="auto"/>
        <w:ind w:firstLine="420" w:firstLineChars="200"/>
        <w:jc w:val="left"/>
        <w:rPr>
          <w:rFonts w:ascii="宋体" w:hAnsi="宋体"/>
          <w:szCs w:val="21"/>
        </w:rPr>
      </w:pPr>
      <w:r>
        <w:rPr>
          <w:rFonts w:hint="eastAsia" w:ascii="宋体" w:hAnsi="宋体"/>
          <w:szCs w:val="21"/>
        </w:rPr>
        <w:t>2）实际发生的暂估价；</w:t>
      </w:r>
    </w:p>
    <w:p>
      <w:pPr>
        <w:spacing w:line="360" w:lineRule="auto"/>
        <w:ind w:firstLine="420" w:firstLineChars="200"/>
        <w:jc w:val="left"/>
        <w:rPr>
          <w:rFonts w:ascii="宋体" w:hAnsi="宋体"/>
          <w:szCs w:val="21"/>
        </w:rPr>
      </w:pPr>
      <w:r>
        <w:rPr>
          <w:rFonts w:hint="eastAsia" w:ascii="宋体" w:hAnsi="宋体"/>
          <w:szCs w:val="21"/>
        </w:rPr>
        <w:t>3）根据合同条款第10.4款条应增加的变更金额；</w:t>
      </w:r>
    </w:p>
    <w:p>
      <w:pPr>
        <w:spacing w:line="360" w:lineRule="auto"/>
        <w:ind w:firstLine="420" w:firstLineChars="200"/>
        <w:jc w:val="left"/>
        <w:rPr>
          <w:rFonts w:ascii="宋体" w:hAnsi="宋体"/>
          <w:szCs w:val="21"/>
        </w:rPr>
      </w:pPr>
      <w:r>
        <w:rPr>
          <w:rFonts w:hint="eastAsia" w:ascii="宋体" w:hAnsi="宋体"/>
          <w:szCs w:val="21"/>
        </w:rPr>
        <w:t>4）根据合同条款第11.1款应增加的价格调整（上调部分）；</w:t>
      </w:r>
    </w:p>
    <w:p>
      <w:pPr>
        <w:spacing w:line="360" w:lineRule="auto"/>
        <w:ind w:firstLine="420" w:firstLineChars="200"/>
        <w:jc w:val="left"/>
        <w:rPr>
          <w:rFonts w:ascii="宋体" w:hAnsi="宋体"/>
          <w:szCs w:val="21"/>
        </w:rPr>
      </w:pPr>
      <w:r>
        <w:rPr>
          <w:rFonts w:hint="eastAsia" w:ascii="宋体" w:hAnsi="宋体"/>
          <w:szCs w:val="21"/>
        </w:rPr>
        <w:t>5）根据合同条款第19.3款应增加的承包人索赔金额；</w:t>
      </w:r>
    </w:p>
    <w:p>
      <w:pPr>
        <w:spacing w:line="360" w:lineRule="auto"/>
        <w:ind w:firstLine="420" w:firstLineChars="200"/>
        <w:jc w:val="left"/>
        <w:rPr>
          <w:rFonts w:ascii="宋体" w:hAnsi="宋体"/>
          <w:szCs w:val="21"/>
        </w:rPr>
      </w:pPr>
      <w:r>
        <w:rPr>
          <w:rFonts w:hint="eastAsia" w:ascii="宋体" w:hAnsi="宋体"/>
          <w:szCs w:val="21"/>
        </w:rPr>
        <w:t>6）根据合同约定承包人应当得到的其他金额。</w:t>
      </w:r>
    </w:p>
    <w:p>
      <w:pPr>
        <w:spacing w:line="360" w:lineRule="auto"/>
        <w:ind w:firstLine="420" w:firstLineChars="200"/>
        <w:jc w:val="left"/>
        <w:rPr>
          <w:rFonts w:ascii="宋体" w:hAnsi="宋体"/>
          <w:szCs w:val="21"/>
        </w:rPr>
      </w:pPr>
      <w:r>
        <w:rPr>
          <w:rFonts w:hint="eastAsia" w:ascii="宋体" w:hAnsi="宋体"/>
          <w:szCs w:val="21"/>
        </w:rPr>
        <w:t>（4）规费和税金差额部分。</w:t>
      </w:r>
    </w:p>
    <w:p>
      <w:pPr>
        <w:spacing w:line="360" w:lineRule="auto"/>
        <w:ind w:firstLine="420" w:firstLineChars="200"/>
        <w:jc w:val="left"/>
        <w:rPr>
          <w:rFonts w:ascii="宋体" w:hAnsi="宋体"/>
          <w:szCs w:val="21"/>
        </w:rPr>
      </w:pPr>
      <w:r>
        <w:rPr>
          <w:rFonts w:hint="eastAsia" w:ascii="宋体" w:hAnsi="宋体"/>
          <w:szCs w:val="21"/>
        </w:rPr>
        <w:t>14.1.5 最终结清申请单的应付金额应当按下列内容梳理：</w:t>
      </w:r>
    </w:p>
    <w:p>
      <w:pPr>
        <w:spacing w:line="360" w:lineRule="auto"/>
        <w:ind w:firstLine="420" w:firstLineChars="200"/>
        <w:jc w:val="left"/>
        <w:rPr>
          <w:rFonts w:ascii="宋体" w:hAnsi="宋体"/>
          <w:szCs w:val="21"/>
        </w:rPr>
      </w:pPr>
      <w:r>
        <w:rPr>
          <w:rFonts w:hint="eastAsia" w:ascii="宋体" w:hAnsi="宋体"/>
          <w:szCs w:val="21"/>
        </w:rPr>
        <w:t>（1）按合同约定扣留的质量保证金；</w:t>
      </w:r>
    </w:p>
    <w:p>
      <w:pPr>
        <w:spacing w:line="360" w:lineRule="auto"/>
        <w:ind w:firstLine="420" w:firstLineChars="200"/>
        <w:jc w:val="left"/>
        <w:rPr>
          <w:rFonts w:ascii="宋体" w:hAnsi="宋体"/>
          <w:szCs w:val="21"/>
        </w:rPr>
      </w:pPr>
      <w:r>
        <w:rPr>
          <w:rFonts w:hint="eastAsia" w:ascii="宋体" w:hAnsi="宋体"/>
          <w:szCs w:val="21"/>
        </w:rPr>
        <w:t>（2）应当扣除的金额：</w:t>
      </w:r>
    </w:p>
    <w:p>
      <w:pPr>
        <w:spacing w:line="360" w:lineRule="auto"/>
        <w:ind w:firstLine="420" w:firstLineChars="200"/>
        <w:jc w:val="left"/>
        <w:rPr>
          <w:rFonts w:ascii="宋体" w:hAnsi="宋体"/>
          <w:szCs w:val="21"/>
        </w:rPr>
      </w:pPr>
      <w:r>
        <w:rPr>
          <w:rFonts w:hint="eastAsia" w:ascii="宋体" w:hAnsi="宋体"/>
          <w:szCs w:val="21"/>
        </w:rPr>
        <w:t>1）按通用合同条款15.3.2项约定扣留的质量保证金；</w:t>
      </w:r>
    </w:p>
    <w:p>
      <w:pPr>
        <w:spacing w:line="360" w:lineRule="auto"/>
        <w:ind w:firstLine="420" w:firstLineChars="200"/>
        <w:jc w:val="left"/>
        <w:rPr>
          <w:rFonts w:ascii="宋体" w:hAnsi="宋体"/>
          <w:szCs w:val="21"/>
        </w:rPr>
      </w:pPr>
      <w:r>
        <w:rPr>
          <w:rFonts w:hint="eastAsia" w:ascii="宋体" w:hAnsi="宋体"/>
          <w:szCs w:val="21"/>
        </w:rPr>
        <w:t>2）按通用合同条款15.3.2项约定扣除的质量保证金；</w:t>
      </w:r>
    </w:p>
    <w:p>
      <w:pPr>
        <w:spacing w:line="360" w:lineRule="auto"/>
        <w:ind w:firstLine="420" w:firstLineChars="200"/>
        <w:jc w:val="left"/>
        <w:rPr>
          <w:rFonts w:ascii="宋体" w:hAnsi="宋体"/>
          <w:szCs w:val="21"/>
        </w:rPr>
      </w:pPr>
      <w:r>
        <w:rPr>
          <w:rFonts w:hint="eastAsia" w:ascii="宋体" w:hAnsi="宋体"/>
          <w:szCs w:val="21"/>
        </w:rPr>
        <w:t>3）根据合同条款第16.2.2款应扣减的缺陷责任期内发生的发包人索赔金额；</w:t>
      </w:r>
    </w:p>
    <w:p>
      <w:pPr>
        <w:spacing w:line="360" w:lineRule="auto"/>
        <w:ind w:firstLine="420" w:firstLineChars="200"/>
        <w:jc w:val="left"/>
        <w:rPr>
          <w:rFonts w:ascii="宋体" w:hAnsi="宋体"/>
          <w:szCs w:val="21"/>
        </w:rPr>
      </w:pPr>
      <w:r>
        <w:rPr>
          <w:rFonts w:hint="eastAsia" w:ascii="宋体" w:hAnsi="宋体"/>
          <w:szCs w:val="21"/>
        </w:rPr>
        <w:t>4）根据合同约定应扣减的其他金额。</w:t>
      </w:r>
    </w:p>
    <w:p>
      <w:pPr>
        <w:spacing w:line="360" w:lineRule="auto"/>
        <w:ind w:firstLine="420" w:firstLineChars="200"/>
        <w:jc w:val="left"/>
        <w:rPr>
          <w:rFonts w:ascii="宋体" w:hAnsi="宋体"/>
          <w:szCs w:val="21"/>
        </w:rPr>
      </w:pPr>
      <w:r>
        <w:rPr>
          <w:rFonts w:hint="eastAsia" w:ascii="宋体" w:hAnsi="宋体"/>
          <w:szCs w:val="21"/>
        </w:rPr>
        <w:t>（3）应当增加的金额：</w:t>
      </w:r>
    </w:p>
    <w:p>
      <w:pPr>
        <w:spacing w:line="360" w:lineRule="auto"/>
        <w:ind w:firstLine="420" w:firstLineChars="200"/>
        <w:jc w:val="left"/>
        <w:rPr>
          <w:rFonts w:ascii="宋体" w:hAnsi="宋体"/>
          <w:szCs w:val="21"/>
        </w:rPr>
      </w:pPr>
      <w:r>
        <w:rPr>
          <w:rFonts w:hint="eastAsia" w:ascii="宋体" w:hAnsi="宋体"/>
          <w:szCs w:val="21"/>
        </w:rPr>
        <w:t>1）已完且符合合同约定的甩项工程的价值；</w:t>
      </w:r>
    </w:p>
    <w:p>
      <w:pPr>
        <w:spacing w:line="360" w:lineRule="auto"/>
        <w:ind w:firstLine="420" w:firstLineChars="200"/>
        <w:jc w:val="left"/>
        <w:rPr>
          <w:rFonts w:ascii="宋体" w:hAnsi="宋体"/>
          <w:szCs w:val="21"/>
        </w:rPr>
      </w:pPr>
      <w:r>
        <w:rPr>
          <w:rFonts w:hint="eastAsia" w:ascii="宋体" w:hAnsi="宋体"/>
          <w:szCs w:val="21"/>
        </w:rPr>
        <w:t>2）按通用合同条款16.1.2项约定由承包人修复的发包人原因造成的缺陷的价值；</w:t>
      </w:r>
    </w:p>
    <w:p>
      <w:pPr>
        <w:spacing w:line="360" w:lineRule="auto"/>
        <w:ind w:firstLine="420" w:firstLineChars="200"/>
        <w:jc w:val="left"/>
        <w:rPr>
          <w:rFonts w:ascii="宋体" w:hAnsi="宋体"/>
          <w:szCs w:val="21"/>
        </w:rPr>
      </w:pPr>
      <w:r>
        <w:rPr>
          <w:rFonts w:hint="eastAsia" w:ascii="宋体" w:hAnsi="宋体"/>
          <w:szCs w:val="21"/>
        </w:rPr>
        <w:t>3）根据合同条款第16.1款应增加的缺陷责任期内发生的承包人索赔金额；</w:t>
      </w:r>
    </w:p>
    <w:p>
      <w:pPr>
        <w:spacing w:line="360" w:lineRule="auto"/>
        <w:ind w:firstLine="420" w:firstLineChars="200"/>
        <w:jc w:val="left"/>
        <w:rPr>
          <w:rFonts w:ascii="宋体" w:hAnsi="宋体"/>
          <w:szCs w:val="21"/>
        </w:rPr>
      </w:pPr>
      <w:r>
        <w:rPr>
          <w:rFonts w:hint="eastAsia" w:ascii="宋体" w:hAnsi="宋体"/>
          <w:szCs w:val="21"/>
        </w:rPr>
        <w:t>4）根据合同约定承包人应当得到的其他金额。</w:t>
      </w:r>
    </w:p>
    <w:p>
      <w:pPr>
        <w:spacing w:line="360" w:lineRule="auto"/>
        <w:ind w:firstLine="420" w:firstLineChars="200"/>
        <w:jc w:val="left"/>
        <w:rPr>
          <w:rFonts w:ascii="宋体" w:hAnsi="宋体"/>
          <w:szCs w:val="21"/>
        </w:rPr>
      </w:pPr>
      <w:r>
        <w:rPr>
          <w:rFonts w:hint="eastAsia" w:ascii="宋体" w:hAnsi="宋体"/>
          <w:szCs w:val="21"/>
        </w:rPr>
        <w:t>最终结清应当由发包人和承包人按照“多退少补”的原则办理。</w:t>
      </w:r>
    </w:p>
    <w:p>
      <w:pPr>
        <w:spacing w:line="360" w:lineRule="auto"/>
        <w:ind w:firstLine="420" w:firstLineChars="200"/>
        <w:jc w:val="left"/>
        <w:rPr>
          <w:rFonts w:ascii="宋体" w:hAnsi="宋体"/>
          <w:szCs w:val="21"/>
        </w:rPr>
      </w:pPr>
      <w:r>
        <w:rPr>
          <w:rFonts w:hint="eastAsia" w:ascii="宋体" w:hAnsi="宋体"/>
          <w:szCs w:val="21"/>
        </w:rPr>
        <w:t>14.1.6 竣工付款申请单和最终结清申请单应当比照进度付款申请单的格式准备，并提供相关证明材料。</w:t>
      </w:r>
    </w:p>
    <w:p>
      <w:pPr>
        <w:pStyle w:val="6"/>
        <w:rPr>
          <w:rFonts w:ascii="黑体" w:hAnsi="黑体" w:eastAsia="黑体"/>
          <w:b w:val="0"/>
          <w:bCs w:val="0"/>
          <w:sz w:val="24"/>
        </w:rPr>
      </w:pPr>
      <w:bookmarkStart w:id="438" w:name="_Toc300678550"/>
      <w:r>
        <w:rPr>
          <w:rFonts w:hint="eastAsia" w:ascii="黑体" w:hAnsi="黑体" w:eastAsia="黑体"/>
          <w:b w:val="0"/>
          <w:bCs w:val="0"/>
          <w:sz w:val="24"/>
        </w:rPr>
        <w:t>14.2 其他约定</w:t>
      </w:r>
      <w:bookmarkEnd w:id="438"/>
    </w:p>
    <w:p>
      <w:pPr>
        <w:spacing w:line="360" w:lineRule="auto"/>
        <w:ind w:firstLine="420" w:firstLineChars="200"/>
        <w:jc w:val="left"/>
        <w:rPr>
          <w:rFonts w:ascii="宋体" w:hAnsi="宋体"/>
          <w:szCs w:val="21"/>
        </w:rPr>
      </w:pPr>
      <w:r>
        <w:rPr>
          <w:rFonts w:hint="eastAsia" w:ascii="宋体" w:hAnsi="宋体"/>
          <w:szCs w:val="21"/>
        </w:rPr>
        <w:t>其他约定内容：</w:t>
      </w:r>
    </w:p>
    <w:p>
      <w:pPr>
        <w:spacing w:line="360" w:lineRule="auto"/>
        <w:jc w:val="left"/>
        <w:rPr>
          <w:rFonts w:ascii="宋体" w:hAnsi="宋体"/>
          <w:szCs w:val="21"/>
        </w:rPr>
      </w:pPr>
    </w:p>
    <w:p>
      <w:pPr>
        <w:spacing w:line="360" w:lineRule="auto"/>
        <w:jc w:val="left"/>
        <w:rPr>
          <w:rFonts w:ascii="宋体" w:hAnsi="宋体"/>
          <w:szCs w:val="21"/>
        </w:rPr>
      </w:pP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39" w:name="_Toc484015124"/>
      <w:bookmarkStart w:id="440" w:name="_Toc486318756"/>
      <w:bookmarkStart w:id="441" w:name="_Toc4066"/>
      <w:bookmarkStart w:id="442" w:name="_Toc14825"/>
      <w:bookmarkStart w:id="443" w:name="_Toc23169"/>
      <w:bookmarkStart w:id="444" w:name="_Toc300678551"/>
      <w:bookmarkStart w:id="445" w:name="_Toc10121"/>
      <w:r>
        <w:rPr>
          <w:rFonts w:hint="eastAsia" w:ascii="黑体" w:hAnsi="宋体" w:eastAsia="黑体"/>
          <w:b w:val="0"/>
          <w:bCs w:val="0"/>
          <w:sz w:val="28"/>
          <w:szCs w:val="28"/>
        </w:rPr>
        <w:t>15.竣工验收和工程移交</w:t>
      </w:r>
      <w:bookmarkEnd w:id="439"/>
      <w:bookmarkEnd w:id="440"/>
      <w:bookmarkEnd w:id="441"/>
      <w:bookmarkEnd w:id="442"/>
      <w:bookmarkEnd w:id="443"/>
      <w:bookmarkEnd w:id="444"/>
      <w:bookmarkEnd w:id="445"/>
    </w:p>
    <w:p>
      <w:pPr>
        <w:pStyle w:val="6"/>
        <w:rPr>
          <w:rFonts w:ascii="黑体" w:hAnsi="黑体" w:eastAsia="黑体"/>
          <w:b w:val="0"/>
          <w:bCs w:val="0"/>
          <w:sz w:val="24"/>
        </w:rPr>
      </w:pPr>
      <w:bookmarkStart w:id="446" w:name="_Toc300678552"/>
      <w:r>
        <w:rPr>
          <w:rFonts w:hint="eastAsia" w:ascii="黑体" w:hAnsi="黑体" w:eastAsia="黑体"/>
          <w:b w:val="0"/>
          <w:bCs w:val="0"/>
          <w:sz w:val="24"/>
        </w:rPr>
        <w:t>15.1 竣工验收前的清理</w:t>
      </w:r>
      <w:bookmarkEnd w:id="446"/>
    </w:p>
    <w:p>
      <w:pPr>
        <w:spacing w:line="360" w:lineRule="auto"/>
        <w:ind w:firstLine="420" w:firstLineChars="200"/>
        <w:jc w:val="left"/>
        <w:rPr>
          <w:rFonts w:ascii="宋体" w:hAnsi="宋体"/>
          <w:szCs w:val="21"/>
        </w:rPr>
      </w:pPr>
      <w:r>
        <w:rPr>
          <w:rFonts w:hint="eastAsia" w:ascii="宋体" w:hAnsi="宋体"/>
          <w:szCs w:val="21"/>
        </w:rPr>
        <w:t>15.1.1 在向监理人提交竣工验收申请报告前，承包人应当完成竣工验收前的清理工作，包括但不限于：</w:t>
      </w:r>
    </w:p>
    <w:p>
      <w:pPr>
        <w:spacing w:line="360" w:lineRule="auto"/>
        <w:ind w:firstLine="420" w:firstLineChars="200"/>
        <w:jc w:val="left"/>
        <w:rPr>
          <w:rFonts w:ascii="宋体" w:hAnsi="宋体"/>
          <w:szCs w:val="21"/>
        </w:rPr>
      </w:pPr>
      <w:r>
        <w:rPr>
          <w:rFonts w:hint="eastAsia" w:ascii="宋体" w:hAnsi="宋体"/>
          <w:szCs w:val="21"/>
        </w:rPr>
        <w:t>（1）从永久工程内清除所有剩余材料、杂物、垃圾等等；</w:t>
      </w:r>
    </w:p>
    <w:p>
      <w:pPr>
        <w:spacing w:line="360" w:lineRule="auto"/>
        <w:ind w:firstLine="420" w:firstLineChars="200"/>
        <w:jc w:val="left"/>
        <w:rPr>
          <w:rFonts w:ascii="宋体" w:hAnsi="宋体"/>
          <w:szCs w:val="21"/>
        </w:rPr>
      </w:pPr>
      <w:r>
        <w:rPr>
          <w:rFonts w:hint="eastAsia" w:ascii="宋体" w:hAnsi="宋体"/>
          <w:szCs w:val="21"/>
        </w:rPr>
        <w:t>（2）清洗工程的所有地面、墙面、楼面、路面等表面；</w:t>
      </w:r>
    </w:p>
    <w:p>
      <w:pPr>
        <w:spacing w:line="360" w:lineRule="auto"/>
        <w:ind w:firstLine="420" w:firstLineChars="200"/>
        <w:jc w:val="left"/>
        <w:rPr>
          <w:rFonts w:ascii="宋体" w:hAnsi="宋体"/>
          <w:szCs w:val="21"/>
        </w:rPr>
      </w:pPr>
      <w:r>
        <w:rPr>
          <w:rFonts w:hint="eastAsia" w:ascii="宋体" w:hAnsi="宋体"/>
          <w:szCs w:val="21"/>
        </w:rPr>
        <w:t>（3）清洗和擦洗所有玻璃、磁砖、石材和所有金属面；</w:t>
      </w:r>
    </w:p>
    <w:p>
      <w:pPr>
        <w:spacing w:line="360" w:lineRule="auto"/>
        <w:ind w:firstLine="420" w:firstLineChars="200"/>
        <w:jc w:val="left"/>
        <w:rPr>
          <w:rFonts w:ascii="宋体" w:hAnsi="宋体"/>
          <w:szCs w:val="21"/>
        </w:rPr>
      </w:pPr>
      <w:r>
        <w:rPr>
          <w:rFonts w:hint="eastAsia" w:ascii="宋体" w:hAnsi="宋体"/>
          <w:szCs w:val="21"/>
        </w:rPr>
        <w:t>（4）修缮所有损坏、清除所有污迹、替换所有需更换的材料；</w:t>
      </w:r>
    </w:p>
    <w:p>
      <w:pPr>
        <w:spacing w:line="360" w:lineRule="auto"/>
        <w:ind w:firstLine="420" w:firstLineChars="200"/>
        <w:jc w:val="left"/>
        <w:rPr>
          <w:rFonts w:ascii="宋体" w:hAnsi="宋体"/>
          <w:szCs w:val="21"/>
        </w:rPr>
      </w:pPr>
      <w:r>
        <w:rPr>
          <w:rFonts w:hint="eastAsia" w:ascii="宋体" w:hAnsi="宋体"/>
          <w:szCs w:val="21"/>
        </w:rPr>
        <w:t>（5）所有表面完成约定的装修和装饰；</w:t>
      </w:r>
    </w:p>
    <w:p>
      <w:pPr>
        <w:spacing w:line="360" w:lineRule="auto"/>
        <w:ind w:firstLine="420" w:firstLineChars="200"/>
        <w:jc w:val="left"/>
        <w:rPr>
          <w:rFonts w:ascii="宋体" w:hAnsi="宋体"/>
          <w:szCs w:val="21"/>
        </w:rPr>
      </w:pPr>
      <w:r>
        <w:rPr>
          <w:rFonts w:hint="eastAsia" w:ascii="宋体" w:hAnsi="宋体"/>
          <w:szCs w:val="21"/>
        </w:rPr>
        <w:t>（6）检查和调试所有的门、窗、抽屉等以确保他们开启的顺畅；</w:t>
      </w:r>
    </w:p>
    <w:p>
      <w:pPr>
        <w:spacing w:line="360" w:lineRule="auto"/>
        <w:ind w:firstLine="420" w:firstLineChars="200"/>
        <w:jc w:val="left"/>
        <w:rPr>
          <w:rFonts w:ascii="宋体" w:hAnsi="宋体"/>
          <w:szCs w:val="21"/>
        </w:rPr>
      </w:pPr>
      <w:r>
        <w:rPr>
          <w:rFonts w:hint="eastAsia" w:ascii="宋体" w:hAnsi="宋体"/>
          <w:szCs w:val="21"/>
        </w:rPr>
        <w:t>（7）检查和调试所有的五金件并上油；</w:t>
      </w:r>
    </w:p>
    <w:p>
      <w:pPr>
        <w:spacing w:line="360" w:lineRule="auto"/>
        <w:ind w:firstLine="420" w:firstLineChars="200"/>
        <w:jc w:val="left"/>
        <w:rPr>
          <w:rFonts w:ascii="宋体" w:hAnsi="宋体"/>
          <w:szCs w:val="21"/>
        </w:rPr>
      </w:pPr>
      <w:r>
        <w:rPr>
          <w:rFonts w:hint="eastAsia" w:ascii="宋体" w:hAnsi="宋体"/>
          <w:szCs w:val="21"/>
        </w:rPr>
        <w:t>（8）检查、测试和确保所有服务系统、设施和设备达到良好的运行状态和效果；</w:t>
      </w:r>
    </w:p>
    <w:p>
      <w:pPr>
        <w:spacing w:line="360" w:lineRule="auto"/>
        <w:ind w:firstLine="420" w:firstLineChars="200"/>
        <w:jc w:val="left"/>
        <w:rPr>
          <w:rFonts w:ascii="宋体" w:hAnsi="宋体"/>
          <w:szCs w:val="21"/>
        </w:rPr>
      </w:pPr>
      <w:r>
        <w:rPr>
          <w:rFonts w:hint="eastAsia" w:ascii="宋体" w:hAnsi="宋体"/>
          <w:szCs w:val="21"/>
        </w:rPr>
        <w:t>（9）所有钥匙（如果有）贴上标签并固定到钥匙排上随时可以交给监理人。</w:t>
      </w:r>
    </w:p>
    <w:p>
      <w:pPr>
        <w:spacing w:line="360" w:lineRule="auto"/>
        <w:ind w:firstLine="420" w:firstLineChars="200"/>
        <w:jc w:val="left"/>
        <w:rPr>
          <w:rFonts w:ascii="宋体" w:hAnsi="宋体"/>
          <w:szCs w:val="21"/>
        </w:rPr>
      </w:pPr>
      <w:r>
        <w:rPr>
          <w:rFonts w:hint="eastAsia" w:ascii="宋体" w:hAnsi="宋体"/>
          <w:szCs w:val="21"/>
        </w:rPr>
        <w:t>15.1.2 清理工作所需费用由承包人承担。</w:t>
      </w:r>
    </w:p>
    <w:p>
      <w:pPr>
        <w:pStyle w:val="6"/>
        <w:rPr>
          <w:rFonts w:ascii="黑体" w:hAnsi="黑体" w:eastAsia="黑体"/>
          <w:b w:val="0"/>
          <w:bCs w:val="0"/>
          <w:sz w:val="24"/>
        </w:rPr>
      </w:pPr>
      <w:bookmarkStart w:id="447" w:name="_Toc300678553"/>
      <w:r>
        <w:rPr>
          <w:rFonts w:hint="eastAsia" w:ascii="黑体" w:hAnsi="黑体" w:eastAsia="黑体"/>
          <w:b w:val="0"/>
          <w:bCs w:val="0"/>
          <w:sz w:val="24"/>
        </w:rPr>
        <w:t>15.2 竣工验收申请报告</w:t>
      </w:r>
      <w:bookmarkEnd w:id="447"/>
    </w:p>
    <w:p>
      <w:pPr>
        <w:spacing w:line="360" w:lineRule="auto"/>
        <w:ind w:firstLine="420" w:firstLineChars="200"/>
        <w:jc w:val="left"/>
        <w:rPr>
          <w:rFonts w:ascii="宋体" w:hAnsi="宋体"/>
          <w:szCs w:val="21"/>
        </w:rPr>
      </w:pPr>
      <w:r>
        <w:rPr>
          <w:rFonts w:hint="eastAsia" w:ascii="宋体" w:hAnsi="宋体"/>
          <w:szCs w:val="21"/>
        </w:rPr>
        <w:t>15.2.1 竣工验收申请报告，也称竣工验收报告，是承包人完成合同约定的工作内容后，按照国家有关施工质量验收标准的规定，经其自行检查，证明已经完成合同工作内容并符合合同约定，达到竣工验收标准，而向监理人或发包人提交的请求发包人组织进行合同工程竣工验收的一份书面申请函，合同约定的竣工验收资料和其他文件一般作为竣工验收申请报告的附件，是竣工验收申请报告的组成部分。</w:t>
      </w:r>
    </w:p>
    <w:p>
      <w:pPr>
        <w:spacing w:line="360" w:lineRule="auto"/>
        <w:ind w:firstLine="420" w:firstLineChars="200"/>
        <w:jc w:val="left"/>
        <w:rPr>
          <w:rFonts w:ascii="宋体" w:hAnsi="宋体"/>
          <w:szCs w:val="21"/>
        </w:rPr>
      </w:pPr>
      <w:r>
        <w:rPr>
          <w:rFonts w:hint="eastAsia" w:ascii="宋体" w:hAnsi="宋体"/>
          <w:szCs w:val="21"/>
        </w:rPr>
        <w:t>15.2.2 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pPr>
        <w:spacing w:line="360" w:lineRule="auto"/>
        <w:ind w:firstLine="420" w:firstLineChars="200"/>
        <w:jc w:val="left"/>
        <w:rPr>
          <w:rFonts w:ascii="宋体" w:hAnsi="宋体"/>
          <w:szCs w:val="21"/>
        </w:rPr>
      </w:pPr>
      <w:r>
        <w:rPr>
          <w:rFonts w:hint="eastAsia" w:ascii="宋体" w:hAnsi="宋体"/>
          <w:szCs w:val="21"/>
        </w:rPr>
        <w:t>15.2.3 竣工验收申请报告应当按通用合同条款第13.2.1项附上下列内容：</w:t>
      </w:r>
    </w:p>
    <w:p>
      <w:pPr>
        <w:spacing w:line="360" w:lineRule="auto"/>
        <w:ind w:firstLine="460" w:firstLineChars="200"/>
        <w:jc w:val="left"/>
        <w:rPr>
          <w:rFonts w:ascii="宋体" w:hAnsi="宋体"/>
          <w:spacing w:val="10"/>
          <w:szCs w:val="21"/>
        </w:rPr>
      </w:pPr>
      <w:r>
        <w:rPr>
          <w:rFonts w:hint="eastAsia" w:ascii="宋体" w:hAnsi="宋体"/>
          <w:spacing w:val="10"/>
          <w:szCs w:val="21"/>
        </w:rPr>
        <w:t>（1）承包人的自行检查和评定记录文件，即除监理人同意列入缺陷责任期内完成的尾 工（甩项）工程和缺陷修补工作外，合同范围内的全部单位工程以及有关工作，包 括合同要求的试验、试运行以及检验和验收均已完成，并符合合同要求；</w:t>
      </w:r>
    </w:p>
    <w:p>
      <w:pPr>
        <w:spacing w:line="360" w:lineRule="auto"/>
        <w:ind w:firstLine="420" w:firstLineChars="200"/>
        <w:jc w:val="left"/>
        <w:rPr>
          <w:rFonts w:ascii="宋体" w:hAnsi="宋体"/>
          <w:szCs w:val="21"/>
        </w:rPr>
      </w:pPr>
      <w:r>
        <w:rPr>
          <w:rFonts w:hint="eastAsia" w:ascii="宋体" w:hAnsi="宋体"/>
          <w:szCs w:val="21"/>
        </w:rPr>
        <w:t>（2）按专用合同条款第3.1款约定的内容和份数整理的符合要求的竣工资料；</w:t>
      </w:r>
    </w:p>
    <w:p>
      <w:pPr>
        <w:spacing w:line="360" w:lineRule="auto"/>
        <w:ind w:firstLine="420" w:firstLineChars="200"/>
        <w:jc w:val="left"/>
        <w:rPr>
          <w:rFonts w:ascii="宋体" w:hAnsi="宋体"/>
          <w:szCs w:val="21"/>
        </w:rPr>
      </w:pPr>
      <w:r>
        <w:rPr>
          <w:rFonts w:hint="eastAsia" w:ascii="宋体" w:hAnsi="宋体"/>
          <w:szCs w:val="21"/>
        </w:rPr>
        <w:t>（3）按监理人的要求编制了在缺陷责任期内完成的尾工（甩项）工程和缺陷修补工作清单以及相应施工计划；</w:t>
      </w:r>
    </w:p>
    <w:p>
      <w:pPr>
        <w:spacing w:line="360" w:lineRule="auto"/>
        <w:ind w:firstLine="420" w:firstLineChars="200"/>
        <w:jc w:val="left"/>
        <w:rPr>
          <w:rFonts w:ascii="宋体" w:hAnsi="宋体"/>
          <w:szCs w:val="21"/>
        </w:rPr>
      </w:pPr>
      <w:r>
        <w:rPr>
          <w:rFonts w:hint="eastAsia" w:ascii="宋体" w:hAnsi="宋体"/>
          <w:szCs w:val="21"/>
        </w:rPr>
        <w:t>（4）监理人要求在竣工验收前应完成的其他工作的证明材料；</w:t>
      </w:r>
    </w:p>
    <w:p>
      <w:pPr>
        <w:spacing w:line="360" w:lineRule="auto"/>
        <w:ind w:firstLine="420" w:firstLineChars="200"/>
        <w:jc w:val="left"/>
        <w:rPr>
          <w:rFonts w:ascii="宋体" w:hAnsi="宋体"/>
          <w:szCs w:val="21"/>
        </w:rPr>
      </w:pPr>
      <w:r>
        <w:rPr>
          <w:rFonts w:hint="eastAsia" w:ascii="宋体" w:hAnsi="宋体"/>
          <w:szCs w:val="21"/>
        </w:rPr>
        <w:t>（5）监理人要求提交的竣工验收资料清单；</w:t>
      </w:r>
    </w:p>
    <w:p>
      <w:pPr>
        <w:spacing w:line="360" w:lineRule="auto"/>
        <w:ind w:firstLine="420" w:firstLineChars="200"/>
        <w:jc w:val="left"/>
        <w:rPr>
          <w:rFonts w:ascii="宋体" w:hAnsi="宋体"/>
          <w:szCs w:val="21"/>
        </w:rPr>
      </w:pPr>
      <w:r>
        <w:rPr>
          <w:rFonts w:hint="eastAsia" w:ascii="宋体" w:hAnsi="宋体"/>
          <w:szCs w:val="21"/>
        </w:rPr>
        <w:t>（6）通用合同条款第13.2.1项约定的单位工程竣工验收成果和结论文件（如果有）；</w:t>
      </w:r>
    </w:p>
    <w:p>
      <w:pPr>
        <w:spacing w:line="360" w:lineRule="auto"/>
        <w:ind w:firstLine="420" w:firstLineChars="200"/>
        <w:jc w:val="left"/>
        <w:rPr>
          <w:rFonts w:ascii="宋体" w:hAnsi="宋体"/>
          <w:szCs w:val="21"/>
        </w:rPr>
      </w:pPr>
      <w:r>
        <w:rPr>
          <w:rFonts w:hint="eastAsia" w:ascii="宋体" w:hAnsi="宋体"/>
          <w:szCs w:val="21"/>
        </w:rPr>
        <w:t>（7）合同附件约定的质量保修书（此前已经提交的不再提交）；</w:t>
      </w:r>
    </w:p>
    <w:p>
      <w:pPr>
        <w:spacing w:line="360" w:lineRule="auto"/>
        <w:ind w:firstLine="420" w:firstLineChars="200"/>
        <w:jc w:val="left"/>
        <w:rPr>
          <w:rFonts w:ascii="宋体" w:hAnsi="宋体"/>
          <w:szCs w:val="21"/>
        </w:rPr>
      </w:pPr>
      <w:r>
        <w:rPr>
          <w:rFonts w:hint="eastAsia" w:ascii="宋体" w:hAnsi="宋体"/>
          <w:szCs w:val="21"/>
        </w:rPr>
        <w:t>（8）其他：。</w:t>
      </w:r>
    </w:p>
    <w:p>
      <w:pPr>
        <w:pStyle w:val="6"/>
        <w:rPr>
          <w:rFonts w:ascii="黑体" w:hAnsi="黑体" w:eastAsia="黑体"/>
          <w:b w:val="0"/>
          <w:bCs w:val="0"/>
          <w:sz w:val="24"/>
        </w:rPr>
      </w:pPr>
      <w:bookmarkStart w:id="448" w:name="_Toc300678554"/>
      <w:r>
        <w:rPr>
          <w:rFonts w:hint="eastAsia" w:ascii="黑体" w:hAnsi="黑体" w:eastAsia="黑体"/>
          <w:b w:val="0"/>
          <w:bCs w:val="0"/>
          <w:sz w:val="24"/>
        </w:rPr>
        <w:t>15.3 竣工清场</w:t>
      </w:r>
      <w:bookmarkEnd w:id="448"/>
    </w:p>
    <w:p>
      <w:pPr>
        <w:spacing w:line="360" w:lineRule="auto"/>
        <w:ind w:firstLine="420" w:firstLineChars="200"/>
        <w:jc w:val="left"/>
        <w:rPr>
          <w:rFonts w:ascii="宋体" w:hAnsi="宋体"/>
          <w:szCs w:val="21"/>
        </w:rPr>
      </w:pPr>
      <w:r>
        <w:rPr>
          <w:rFonts w:hint="eastAsia" w:ascii="宋体" w:hAnsi="宋体"/>
          <w:szCs w:val="21"/>
        </w:rPr>
        <w:t>15.3.1 监理人颁发（出具）工程接收证书后，承包人应在56天内按以下要求对施工场地（现场）进行清理：</w:t>
      </w:r>
    </w:p>
    <w:p>
      <w:pPr>
        <w:spacing w:line="360" w:lineRule="auto"/>
        <w:ind w:firstLine="420" w:firstLineChars="200"/>
        <w:jc w:val="left"/>
        <w:rPr>
          <w:rFonts w:ascii="宋体" w:hAnsi="宋体"/>
          <w:szCs w:val="21"/>
        </w:rPr>
      </w:pPr>
      <w:r>
        <w:rPr>
          <w:rFonts w:hint="eastAsia" w:ascii="宋体" w:hAnsi="宋体"/>
          <w:szCs w:val="21"/>
        </w:rPr>
        <w:t>（1）从施工场地（现场）清除所有杂物和垃圾等等；</w:t>
      </w:r>
    </w:p>
    <w:p>
      <w:pPr>
        <w:spacing w:line="360" w:lineRule="auto"/>
        <w:ind w:firstLine="420" w:firstLineChars="200"/>
        <w:jc w:val="left"/>
        <w:rPr>
          <w:rFonts w:ascii="宋体" w:hAnsi="宋体"/>
          <w:szCs w:val="21"/>
        </w:rPr>
      </w:pPr>
      <w:r>
        <w:rPr>
          <w:rFonts w:hint="eastAsia" w:ascii="宋体" w:hAnsi="宋体"/>
          <w:szCs w:val="21"/>
        </w:rPr>
        <w:t>（2）从施工场地现场拆除所有的临时工程和临时设施并恢复地面原状，但经监理人批准的护坡桩、锚杆、塔吊基础和无法拆除的埋入式模板等无法拆除的临时设施除外；</w:t>
      </w:r>
    </w:p>
    <w:p>
      <w:pPr>
        <w:spacing w:line="360" w:lineRule="auto"/>
        <w:ind w:firstLine="420" w:firstLineChars="200"/>
        <w:jc w:val="left"/>
        <w:rPr>
          <w:rFonts w:ascii="宋体" w:hAnsi="宋体"/>
          <w:szCs w:val="21"/>
        </w:rPr>
      </w:pPr>
      <w:r>
        <w:rPr>
          <w:rFonts w:hint="eastAsia" w:ascii="宋体" w:hAnsi="宋体"/>
          <w:szCs w:val="21"/>
        </w:rPr>
        <w:t>（3）撤离所有承包人施工设备和剩余材料（经监理人同意需在缺陷责任期内继续使用的除外）；</w:t>
      </w:r>
    </w:p>
    <w:p>
      <w:pPr>
        <w:spacing w:line="360" w:lineRule="auto"/>
        <w:ind w:firstLine="420" w:firstLineChars="200"/>
        <w:jc w:val="left"/>
        <w:rPr>
          <w:rFonts w:ascii="宋体" w:hAnsi="宋体"/>
          <w:szCs w:val="21"/>
        </w:rPr>
      </w:pPr>
      <w:r>
        <w:rPr>
          <w:rFonts w:hint="eastAsia" w:ascii="宋体" w:hAnsi="宋体"/>
          <w:szCs w:val="21"/>
        </w:rPr>
        <w:t>（4）监理人指示的其他清场工作。</w:t>
      </w:r>
    </w:p>
    <w:p>
      <w:pPr>
        <w:pStyle w:val="4"/>
        <w:keepNext/>
        <w:keepLines/>
        <w:widowControl w:val="0"/>
        <w:jc w:val="left"/>
        <w:rPr>
          <w:rFonts w:ascii="黑体" w:hAnsi="宋体" w:eastAsia="黑体"/>
          <w:b w:val="0"/>
          <w:bCs w:val="0"/>
          <w:sz w:val="28"/>
          <w:szCs w:val="28"/>
        </w:rPr>
      </w:pPr>
      <w:bookmarkStart w:id="449" w:name="_Toc300678555"/>
      <w:bookmarkStart w:id="450" w:name="_Toc484015125"/>
      <w:bookmarkStart w:id="451" w:name="_Toc814"/>
      <w:bookmarkStart w:id="452" w:name="_Toc486318757"/>
      <w:bookmarkStart w:id="453" w:name="_Toc28160"/>
      <w:bookmarkStart w:id="454" w:name="_Toc11856"/>
      <w:bookmarkStart w:id="455" w:name="_Toc30330"/>
      <w:r>
        <w:rPr>
          <w:rFonts w:hint="eastAsia" w:ascii="黑体" w:hAnsi="宋体" w:eastAsia="黑体"/>
          <w:b w:val="0"/>
          <w:bCs w:val="0"/>
          <w:sz w:val="28"/>
          <w:szCs w:val="28"/>
        </w:rPr>
        <w:t>16.BIM技术要求</w:t>
      </w:r>
      <w:bookmarkEnd w:id="449"/>
      <w:r>
        <w:rPr>
          <w:rFonts w:hint="eastAsia" w:ascii="黑体" w:hAnsi="宋体" w:eastAsia="黑体"/>
          <w:b w:val="0"/>
          <w:bCs w:val="0"/>
          <w:sz w:val="28"/>
          <w:szCs w:val="28"/>
          <w:highlight w:val="lightGray"/>
        </w:rPr>
        <w:t>（招标人可根据项目特点和要求修改本条款内容）</w:t>
      </w:r>
      <w:bookmarkEnd w:id="450"/>
      <w:bookmarkEnd w:id="451"/>
      <w:bookmarkEnd w:id="452"/>
      <w:bookmarkEnd w:id="453"/>
      <w:bookmarkEnd w:id="454"/>
      <w:bookmarkEnd w:id="455"/>
    </w:p>
    <w:p>
      <w:pPr>
        <w:spacing w:line="360" w:lineRule="auto"/>
        <w:rPr>
          <w:rFonts w:ascii="黑体" w:hAnsi="黑体" w:eastAsia="黑体"/>
          <w:sz w:val="24"/>
          <w:szCs w:val="28"/>
        </w:rPr>
      </w:pPr>
      <w:r>
        <w:rPr>
          <w:rFonts w:hint="eastAsia" w:ascii="黑体" w:hAnsi="黑体" w:eastAsia="黑体"/>
          <w:sz w:val="24"/>
          <w:szCs w:val="28"/>
        </w:rPr>
        <w:t>16.1 BIM技术应用总体要求</w:t>
      </w:r>
    </w:p>
    <w:p>
      <w:pPr>
        <w:spacing w:line="360" w:lineRule="auto"/>
        <w:rPr>
          <w:rFonts w:asciiTheme="minorEastAsia" w:hAnsiTheme="minorEastAsia" w:eastAsiaTheme="minorEastAsia"/>
        </w:rPr>
      </w:pPr>
      <w:r>
        <w:rPr>
          <w:rFonts w:hint="eastAsia" w:asciiTheme="minorEastAsia" w:hAnsiTheme="minorEastAsia" w:eastAsiaTheme="minorEastAsia"/>
        </w:rPr>
        <w:t>16.1.1 本项目需全程使用BIM技术，实现更新与存储BIM基础模型及各类模型应用，进行信息集成、模型展示、信息交互、工程管理与技术协调等应用，提供竣工模型为后期运维管理提供信息支持，满足数据开放性的要求。</w:t>
      </w:r>
    </w:p>
    <w:p>
      <w:pPr>
        <w:spacing w:line="360" w:lineRule="auto"/>
        <w:rPr>
          <w:rFonts w:asciiTheme="minorEastAsia" w:hAnsiTheme="minorEastAsia" w:eastAsiaTheme="minorEastAsia"/>
        </w:rPr>
      </w:pPr>
      <w:r>
        <w:rPr>
          <w:rFonts w:hint="eastAsia" w:asciiTheme="minorEastAsia" w:hAnsiTheme="minorEastAsia" w:eastAsiaTheme="minorEastAsia"/>
        </w:rPr>
        <w:t>16.1.2 BIM应安排专项人员和专用设备，设置BIM专项负责人，明确BIM专项技术人员工作范围，协调项目整体BIM技术应用工作。</w:t>
      </w:r>
    </w:p>
    <w:p>
      <w:pPr>
        <w:spacing w:line="360" w:lineRule="auto"/>
        <w:rPr>
          <w:rFonts w:asciiTheme="minorEastAsia" w:hAnsiTheme="minorEastAsia" w:eastAsiaTheme="minorEastAsia"/>
        </w:rPr>
      </w:pPr>
      <w:r>
        <w:rPr>
          <w:rFonts w:hint="eastAsia" w:asciiTheme="minorEastAsia" w:hAnsiTheme="minorEastAsia" w:eastAsiaTheme="minorEastAsia"/>
        </w:rPr>
        <w:t>16.1.3 BIM实施的软件应使用正版软件，保证运行稳定性。</w:t>
      </w:r>
    </w:p>
    <w:p>
      <w:pPr>
        <w:spacing w:line="360" w:lineRule="auto"/>
        <w:rPr>
          <w:rFonts w:asciiTheme="minorEastAsia" w:hAnsiTheme="minorEastAsia" w:eastAsiaTheme="minorEastAsia"/>
        </w:rPr>
      </w:pPr>
      <w:r>
        <w:rPr>
          <w:rFonts w:hint="eastAsia" w:asciiTheme="minorEastAsia" w:hAnsiTheme="minorEastAsia" w:eastAsiaTheme="minorEastAsia"/>
        </w:rPr>
        <w:t>16.1.4 基于BIM技术进行建设施工时，应保证模型真实有效性，施工前期需进行模拟施工，反应及解决项目存在问题。</w:t>
      </w:r>
    </w:p>
    <w:p>
      <w:pPr>
        <w:spacing w:line="360" w:lineRule="auto"/>
        <w:rPr>
          <w:rFonts w:ascii="黑体" w:hAnsi="黑体" w:eastAsia="黑体"/>
          <w:sz w:val="24"/>
          <w:szCs w:val="28"/>
        </w:rPr>
      </w:pPr>
      <w:r>
        <w:rPr>
          <w:rFonts w:hint="eastAsia" w:ascii="黑体" w:hAnsi="黑体" w:eastAsia="黑体"/>
          <w:sz w:val="24"/>
          <w:szCs w:val="28"/>
        </w:rPr>
        <w:t>16.2 BIM技术应用内容要求</w:t>
      </w:r>
    </w:p>
    <w:p>
      <w:pPr>
        <w:spacing w:line="360" w:lineRule="auto"/>
        <w:rPr>
          <w:rFonts w:asciiTheme="minorEastAsia" w:hAnsiTheme="minorEastAsia" w:eastAsiaTheme="minorEastAsia"/>
        </w:rPr>
      </w:pPr>
      <w:r>
        <w:rPr>
          <w:rFonts w:hint="eastAsia" w:asciiTheme="minorEastAsia" w:hAnsiTheme="minorEastAsia" w:eastAsiaTheme="minorEastAsia"/>
        </w:rPr>
        <w:t>16.2.1 施工准备阶段：本阶段主要为建筑工程施工建立必需的技术和物质条件，统筹安排施工力量和施工现场，使工程具备开工和连续施工的基本条件。其内容包括但不限于：</w:t>
      </w:r>
    </w:p>
    <w:p>
      <w:pPr>
        <w:spacing w:line="360" w:lineRule="auto"/>
        <w:rPr>
          <w:rFonts w:asciiTheme="minorEastAsia" w:hAnsiTheme="minorEastAsia" w:eastAsiaTheme="minorEastAsia"/>
        </w:rPr>
      </w:pPr>
      <w:r>
        <w:rPr>
          <w:rFonts w:hint="eastAsia" w:asciiTheme="minorEastAsia" w:hAnsiTheme="minorEastAsia" w:eastAsiaTheme="minorEastAsia"/>
        </w:rPr>
        <w:t>（1）深化方案性设计；</w:t>
      </w:r>
    </w:p>
    <w:p>
      <w:pPr>
        <w:spacing w:line="360" w:lineRule="auto"/>
        <w:rPr>
          <w:rFonts w:asciiTheme="minorEastAsia" w:hAnsiTheme="minorEastAsia" w:eastAsiaTheme="minorEastAsia"/>
        </w:rPr>
      </w:pPr>
      <w:r>
        <w:rPr>
          <w:rFonts w:hint="eastAsia" w:asciiTheme="minorEastAsia" w:hAnsiTheme="minorEastAsia" w:eastAsiaTheme="minorEastAsia"/>
        </w:rPr>
        <w:t>（2）大型设备运输路径检查方案；</w:t>
      </w:r>
    </w:p>
    <w:p>
      <w:pPr>
        <w:spacing w:line="360" w:lineRule="auto"/>
        <w:rPr>
          <w:rFonts w:asciiTheme="minorEastAsia" w:hAnsiTheme="minorEastAsia" w:eastAsiaTheme="minorEastAsia"/>
        </w:rPr>
      </w:pPr>
      <w:r>
        <w:rPr>
          <w:rFonts w:hint="eastAsia" w:asciiTheme="minorEastAsia" w:hAnsiTheme="minorEastAsia" w:eastAsiaTheme="minorEastAsia"/>
        </w:rPr>
        <w:t>（3）施工方案模拟；</w:t>
      </w:r>
    </w:p>
    <w:p>
      <w:pPr>
        <w:spacing w:line="360" w:lineRule="auto"/>
        <w:rPr>
          <w:rFonts w:asciiTheme="minorEastAsia" w:hAnsiTheme="minorEastAsia" w:eastAsiaTheme="minorEastAsia"/>
        </w:rPr>
      </w:pPr>
      <w:r>
        <w:rPr>
          <w:rFonts w:hint="eastAsia" w:asciiTheme="minorEastAsia" w:hAnsiTheme="minorEastAsia" w:eastAsiaTheme="minorEastAsia"/>
        </w:rPr>
        <w:t>（4）构件预制模型；</w:t>
      </w:r>
    </w:p>
    <w:p>
      <w:pPr>
        <w:spacing w:line="360" w:lineRule="auto"/>
        <w:rPr>
          <w:rFonts w:asciiTheme="minorEastAsia" w:hAnsiTheme="minorEastAsia" w:eastAsiaTheme="minorEastAsia"/>
        </w:rPr>
      </w:pPr>
      <w:r>
        <w:rPr>
          <w:rFonts w:hint="eastAsia" w:asciiTheme="minorEastAsia" w:hAnsiTheme="minorEastAsia" w:eastAsiaTheme="minorEastAsia"/>
        </w:rPr>
        <w:t>（5）工程筹划模拟；</w:t>
      </w:r>
    </w:p>
    <w:p>
      <w:pPr>
        <w:spacing w:line="360" w:lineRule="auto"/>
        <w:rPr>
          <w:rFonts w:asciiTheme="minorEastAsia" w:hAnsiTheme="minorEastAsia" w:eastAsiaTheme="minorEastAsia"/>
        </w:rPr>
      </w:pPr>
      <w:r>
        <w:rPr>
          <w:rFonts w:hint="eastAsia" w:asciiTheme="minorEastAsia" w:hAnsiTheme="minorEastAsia" w:eastAsiaTheme="minorEastAsia"/>
        </w:rPr>
        <w:t>（6）实施工程场地模拟；</w:t>
      </w:r>
    </w:p>
    <w:p>
      <w:pPr>
        <w:spacing w:line="360" w:lineRule="auto"/>
        <w:rPr>
          <w:rFonts w:asciiTheme="minorEastAsia" w:hAnsiTheme="minorEastAsia" w:eastAsiaTheme="minorEastAsia"/>
        </w:rPr>
      </w:pPr>
      <w:r>
        <w:rPr>
          <w:rFonts w:hint="eastAsia" w:asciiTheme="minorEastAsia" w:hAnsiTheme="minorEastAsia" w:eastAsiaTheme="minorEastAsia"/>
        </w:rPr>
        <w:t>（7）灾害应急模拟（施工）。</w:t>
      </w:r>
    </w:p>
    <w:p>
      <w:pPr>
        <w:spacing w:line="360" w:lineRule="auto"/>
        <w:rPr>
          <w:rFonts w:asciiTheme="minorEastAsia" w:hAnsiTheme="minorEastAsia" w:eastAsiaTheme="minorEastAsia"/>
        </w:rPr>
      </w:pPr>
      <w:r>
        <w:rPr>
          <w:rFonts w:hint="eastAsia" w:asciiTheme="minorEastAsia" w:hAnsiTheme="minorEastAsia" w:eastAsiaTheme="minorEastAsia"/>
        </w:rPr>
        <w:t>16.2.2 施工实施阶段：本阶段为自现场施工开始至竣工的整个实施过程。实现项目成本的精确控制，实施进度的合理安排，完成合同规定的全部工作任务，达到验收、交付的要求。其内容包括但不限于：</w:t>
      </w:r>
    </w:p>
    <w:p>
      <w:pPr>
        <w:spacing w:line="360" w:lineRule="auto"/>
        <w:rPr>
          <w:rFonts w:asciiTheme="minorEastAsia" w:hAnsiTheme="minorEastAsia" w:eastAsiaTheme="minorEastAsia"/>
        </w:rPr>
      </w:pPr>
      <w:r>
        <w:rPr>
          <w:rFonts w:hint="eastAsia" w:asciiTheme="minorEastAsia" w:hAnsiTheme="minorEastAsia" w:eastAsiaTheme="minorEastAsia"/>
        </w:rPr>
        <w:t>（1）虚拟进度和实际进度比对；</w:t>
      </w:r>
    </w:p>
    <w:p>
      <w:pPr>
        <w:spacing w:line="360" w:lineRule="auto"/>
        <w:rPr>
          <w:rFonts w:asciiTheme="minorEastAsia" w:hAnsiTheme="minorEastAsia" w:eastAsiaTheme="minorEastAsia"/>
        </w:rPr>
      </w:pPr>
      <w:r>
        <w:rPr>
          <w:rFonts w:hint="eastAsia" w:asciiTheme="minorEastAsia" w:hAnsiTheme="minorEastAsia" w:eastAsiaTheme="minorEastAsia"/>
        </w:rPr>
        <w:t>（2）工程量、经济指标统计；</w:t>
      </w:r>
    </w:p>
    <w:p>
      <w:pPr>
        <w:spacing w:line="360" w:lineRule="auto"/>
        <w:rPr>
          <w:rFonts w:asciiTheme="minorEastAsia" w:hAnsiTheme="minorEastAsia" w:eastAsiaTheme="minorEastAsia"/>
        </w:rPr>
      </w:pPr>
      <w:r>
        <w:rPr>
          <w:rFonts w:hint="eastAsia" w:asciiTheme="minorEastAsia" w:hAnsiTheme="minorEastAsia" w:eastAsiaTheme="minorEastAsia"/>
        </w:rPr>
        <w:t>（3）设备与材料管理；</w:t>
      </w:r>
    </w:p>
    <w:p>
      <w:pPr>
        <w:spacing w:line="360" w:lineRule="auto"/>
        <w:rPr>
          <w:rFonts w:asciiTheme="minorEastAsia" w:hAnsiTheme="minorEastAsia" w:eastAsiaTheme="minorEastAsia"/>
        </w:rPr>
      </w:pPr>
      <w:r>
        <w:rPr>
          <w:rFonts w:hint="eastAsia" w:asciiTheme="minorEastAsia" w:hAnsiTheme="minorEastAsia" w:eastAsiaTheme="minorEastAsia"/>
        </w:rPr>
        <w:t>（4）质量与安全管理；</w:t>
      </w:r>
    </w:p>
    <w:p>
      <w:pPr>
        <w:spacing w:line="360" w:lineRule="auto"/>
        <w:rPr>
          <w:rFonts w:asciiTheme="minorEastAsia" w:hAnsiTheme="minorEastAsia" w:eastAsiaTheme="minorEastAsia"/>
        </w:rPr>
      </w:pPr>
      <w:r>
        <w:rPr>
          <w:rFonts w:hint="eastAsia" w:asciiTheme="minorEastAsia" w:hAnsiTheme="minorEastAsia" w:eastAsiaTheme="minorEastAsia"/>
        </w:rPr>
        <w:t>（5）施工变更录入；</w:t>
      </w:r>
    </w:p>
    <w:p>
      <w:pPr>
        <w:spacing w:line="360" w:lineRule="auto"/>
        <w:rPr>
          <w:rFonts w:asciiTheme="minorEastAsia" w:hAnsiTheme="minorEastAsia" w:eastAsiaTheme="minorEastAsia"/>
        </w:rPr>
      </w:pPr>
      <w:r>
        <w:rPr>
          <w:rFonts w:hint="eastAsia" w:asciiTheme="minorEastAsia" w:hAnsiTheme="minorEastAsia" w:eastAsiaTheme="minorEastAsia"/>
        </w:rPr>
        <w:t>（6）竣工模型构建；</w:t>
      </w:r>
    </w:p>
    <w:p>
      <w:pPr>
        <w:spacing w:line="360" w:lineRule="auto"/>
        <w:rPr>
          <w:rFonts w:asciiTheme="minorEastAsia" w:hAnsiTheme="minorEastAsia" w:eastAsiaTheme="minorEastAsia"/>
        </w:rPr>
      </w:pPr>
      <w:r>
        <w:rPr>
          <w:rFonts w:hint="eastAsia" w:asciiTheme="minorEastAsia" w:hAnsiTheme="minorEastAsia" w:eastAsiaTheme="minorEastAsia"/>
        </w:rPr>
        <w:t>（7）施工现场关键生产安全控制分析；</w:t>
      </w:r>
    </w:p>
    <w:p>
      <w:pPr>
        <w:spacing w:line="360" w:lineRule="auto"/>
        <w:rPr>
          <w:rFonts w:asciiTheme="minorEastAsia" w:hAnsiTheme="minorEastAsia" w:eastAsiaTheme="minorEastAsia"/>
        </w:rPr>
      </w:pPr>
      <w:r>
        <w:rPr>
          <w:rFonts w:hint="eastAsia" w:asciiTheme="minorEastAsia" w:hAnsiTheme="minorEastAsia" w:eastAsiaTheme="minorEastAsia"/>
        </w:rPr>
        <w:t>（8）侵界模拟检测。</w:t>
      </w:r>
    </w:p>
    <w:p>
      <w:pPr>
        <w:spacing w:line="360" w:lineRule="auto"/>
        <w:rPr>
          <w:rFonts w:asciiTheme="minorEastAsia" w:hAnsiTheme="minorEastAsia" w:eastAsiaTheme="minorEastAsia"/>
        </w:rPr>
      </w:pPr>
      <w:r>
        <w:rPr>
          <w:rFonts w:hint="eastAsia" w:asciiTheme="minorEastAsia" w:hAnsiTheme="minorEastAsia" w:eastAsiaTheme="minorEastAsia"/>
        </w:rPr>
        <w:t>16.2.3 运营阶段：本阶段为建筑项目管理的最后阶段，承担运营与维护的所有管理任务，主要为用户（包括管理人员与使用人员）提供安全、便捷、环保、健康的建筑环境。其内容包括但不限于：</w:t>
      </w:r>
    </w:p>
    <w:p>
      <w:pPr>
        <w:spacing w:line="360" w:lineRule="auto"/>
        <w:rPr>
          <w:rFonts w:asciiTheme="minorEastAsia" w:hAnsiTheme="minorEastAsia" w:eastAsiaTheme="minorEastAsia"/>
        </w:rPr>
      </w:pPr>
      <w:r>
        <w:rPr>
          <w:rFonts w:hint="eastAsia" w:asciiTheme="minorEastAsia" w:hAnsiTheme="minorEastAsia" w:eastAsiaTheme="minorEastAsia"/>
        </w:rPr>
        <w:t>（1）建筑设备运行管理；</w:t>
      </w:r>
    </w:p>
    <w:p>
      <w:pPr>
        <w:spacing w:line="360" w:lineRule="auto"/>
        <w:rPr>
          <w:rFonts w:asciiTheme="minorEastAsia" w:hAnsiTheme="minorEastAsia" w:eastAsiaTheme="minorEastAsia"/>
        </w:rPr>
      </w:pPr>
      <w:r>
        <w:rPr>
          <w:rFonts w:hint="eastAsia" w:asciiTheme="minorEastAsia" w:hAnsiTheme="minorEastAsia" w:eastAsiaTheme="minorEastAsia"/>
        </w:rPr>
        <w:t>（2）灾害应急模拟（运营）；</w:t>
      </w:r>
    </w:p>
    <w:p>
      <w:pPr>
        <w:spacing w:line="360" w:lineRule="auto"/>
        <w:rPr>
          <w:rFonts w:asciiTheme="minorEastAsia" w:hAnsiTheme="minorEastAsia" w:eastAsiaTheme="minorEastAsia"/>
        </w:rPr>
      </w:pPr>
      <w:r>
        <w:rPr>
          <w:rFonts w:hint="eastAsia" w:asciiTheme="minorEastAsia" w:hAnsiTheme="minorEastAsia" w:eastAsiaTheme="minorEastAsia"/>
        </w:rPr>
        <w:t>（3）空间管理；</w:t>
      </w:r>
    </w:p>
    <w:p>
      <w:pPr>
        <w:spacing w:line="360" w:lineRule="auto"/>
        <w:rPr>
          <w:rFonts w:asciiTheme="minorEastAsia" w:hAnsiTheme="minorEastAsia" w:eastAsiaTheme="minorEastAsia"/>
        </w:rPr>
      </w:pPr>
      <w:r>
        <w:rPr>
          <w:rFonts w:hint="eastAsia" w:asciiTheme="minorEastAsia" w:hAnsiTheme="minorEastAsia" w:eastAsiaTheme="minorEastAsia"/>
        </w:rPr>
        <w:t>（4）资产管理；</w:t>
      </w:r>
    </w:p>
    <w:p>
      <w:pPr>
        <w:spacing w:line="360" w:lineRule="auto"/>
        <w:rPr>
          <w:rFonts w:asciiTheme="minorEastAsia" w:hAnsiTheme="minorEastAsia" w:eastAsiaTheme="minorEastAsia"/>
        </w:rPr>
      </w:pPr>
      <w:r>
        <w:rPr>
          <w:rFonts w:hint="eastAsia" w:asciiTheme="minorEastAsia" w:hAnsiTheme="minorEastAsia" w:eastAsiaTheme="minorEastAsia"/>
        </w:rPr>
        <w:t>（5）运营系统建设；</w:t>
      </w:r>
    </w:p>
    <w:p>
      <w:pPr>
        <w:spacing w:line="360" w:lineRule="auto"/>
        <w:rPr>
          <w:rFonts w:asciiTheme="minorEastAsia" w:hAnsiTheme="minorEastAsia" w:eastAsiaTheme="minorEastAsia"/>
        </w:rPr>
      </w:pPr>
      <w:r>
        <w:rPr>
          <w:rFonts w:hint="eastAsia" w:asciiTheme="minorEastAsia" w:hAnsiTheme="minorEastAsia" w:eastAsiaTheme="minorEastAsia"/>
        </w:rPr>
        <w:t>（6）培训、售后维保的人员信息统计。</w:t>
      </w:r>
    </w:p>
    <w:p>
      <w:pPr>
        <w:spacing w:line="360" w:lineRule="auto"/>
        <w:rPr>
          <w:rFonts w:ascii="黑体" w:hAnsi="黑体" w:eastAsia="黑体"/>
          <w:sz w:val="24"/>
          <w:szCs w:val="28"/>
        </w:rPr>
      </w:pPr>
      <w:r>
        <w:rPr>
          <w:rFonts w:hint="eastAsia" w:ascii="黑体" w:hAnsi="黑体" w:eastAsia="黑体"/>
          <w:sz w:val="24"/>
          <w:szCs w:val="28"/>
        </w:rPr>
        <w:t>16.3 BIM技术应用技术方案要求</w:t>
      </w:r>
    </w:p>
    <w:p>
      <w:pPr>
        <w:spacing w:line="360" w:lineRule="auto"/>
        <w:rPr>
          <w:rFonts w:asciiTheme="minorEastAsia" w:hAnsiTheme="minorEastAsia" w:eastAsiaTheme="minorEastAsia"/>
        </w:rPr>
      </w:pPr>
      <w:r>
        <w:rPr>
          <w:rFonts w:hint="eastAsia" w:asciiTheme="minorEastAsia" w:hAnsiTheme="minorEastAsia" w:eastAsiaTheme="minorEastAsia"/>
        </w:rPr>
        <w:t>16.3.1 基于BIM的场地布置方案：要求对工程场地进行建模，进行三维施工平面布置，通过三维深化设计后生成二维的平面布置图。</w:t>
      </w:r>
    </w:p>
    <w:p>
      <w:pPr>
        <w:spacing w:line="360" w:lineRule="auto"/>
        <w:rPr>
          <w:rFonts w:asciiTheme="minorEastAsia" w:hAnsiTheme="minorEastAsia" w:eastAsiaTheme="minorEastAsia"/>
        </w:rPr>
      </w:pPr>
      <w:r>
        <w:rPr>
          <w:rFonts w:hint="eastAsia" w:asciiTheme="minorEastAsia" w:hAnsiTheme="minorEastAsia" w:eastAsiaTheme="minorEastAsia"/>
        </w:rPr>
        <w:t>16.3.2 基于BIM技术的施工方案：要求对复杂节点或施工工艺提供模型图。</w:t>
      </w:r>
    </w:p>
    <w:p>
      <w:pPr>
        <w:spacing w:line="360" w:lineRule="auto"/>
        <w:rPr>
          <w:rFonts w:asciiTheme="minorEastAsia" w:hAnsiTheme="minorEastAsia" w:eastAsiaTheme="minorEastAsia"/>
        </w:rPr>
      </w:pPr>
      <w:r>
        <w:rPr>
          <w:rFonts w:hint="eastAsia" w:asciiTheme="minorEastAsia" w:hAnsiTheme="minorEastAsia" w:eastAsiaTheme="minorEastAsia"/>
        </w:rPr>
        <w:t>16.3.3 BIM实施体系：要求项目组织架构中有专项的BIM部门和人员并将BIM融入项目管理。</w:t>
      </w:r>
    </w:p>
    <w:p>
      <w:pPr>
        <w:spacing w:line="360" w:lineRule="auto"/>
        <w:rPr>
          <w:rFonts w:asciiTheme="minorEastAsia" w:hAnsiTheme="minorEastAsia" w:eastAsiaTheme="minorEastAsia"/>
        </w:rPr>
      </w:pPr>
      <w:r>
        <w:rPr>
          <w:rFonts w:hint="eastAsia" w:asciiTheme="minorEastAsia" w:hAnsiTheme="minorEastAsia" w:eastAsiaTheme="minorEastAsia"/>
        </w:rPr>
        <w:t>16.3.4 基于BIM的质量安全协同管理：要求将BIM技术的协同化管理融入项目质量安全管理体系，利用BIM技术对质量安全控制点进行可视化交底，在BIM协同平台中保存质安管理的影像资料和管理痕迹 。</w:t>
      </w:r>
    </w:p>
    <w:p>
      <w:pPr>
        <w:spacing w:line="360" w:lineRule="auto"/>
        <w:rPr>
          <w:rFonts w:asciiTheme="minorEastAsia" w:hAnsiTheme="minorEastAsia" w:eastAsiaTheme="minorEastAsia"/>
        </w:rPr>
      </w:pPr>
      <w:r>
        <w:rPr>
          <w:rFonts w:hint="eastAsia" w:asciiTheme="minorEastAsia" w:hAnsiTheme="minorEastAsia" w:eastAsiaTheme="minorEastAsia"/>
        </w:rPr>
        <w:t>16.3.5 形象进度模拟方案：利用BIM技术进行进度的动态模拟和协同管理。</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16.3.6 投标施工动画：利用BIM技术制作项目虚拟建造的演示动画。（如有）</w:t>
      </w:r>
    </w:p>
    <w:p>
      <w:pPr>
        <w:pStyle w:val="4"/>
        <w:keepNext/>
        <w:keepLines/>
        <w:widowControl w:val="0"/>
        <w:jc w:val="left"/>
        <w:rPr>
          <w:rFonts w:ascii="黑体" w:hAnsi="宋体" w:eastAsia="黑体"/>
          <w:b w:val="0"/>
          <w:bCs w:val="0"/>
          <w:sz w:val="28"/>
          <w:szCs w:val="28"/>
        </w:rPr>
      </w:pPr>
      <w:bookmarkStart w:id="456" w:name="_Toc19057"/>
      <w:bookmarkStart w:id="457" w:name="_Toc486318758"/>
      <w:bookmarkStart w:id="458" w:name="_Toc9975"/>
      <w:bookmarkStart w:id="459" w:name="_Toc20840"/>
      <w:bookmarkStart w:id="460" w:name="_Toc32363"/>
      <w:bookmarkStart w:id="461" w:name="_Toc484015126"/>
      <w:r>
        <w:rPr>
          <w:rFonts w:ascii="黑体" w:hAnsi="宋体" w:eastAsia="黑体"/>
          <w:b w:val="0"/>
          <w:bCs w:val="0"/>
          <w:sz w:val="28"/>
          <w:szCs w:val="28"/>
          <w:highlight w:val="lightGray"/>
        </w:rPr>
        <w:t>17.其他要求</w:t>
      </w:r>
      <w:bookmarkEnd w:id="456"/>
      <w:bookmarkEnd w:id="457"/>
      <w:bookmarkEnd w:id="458"/>
      <w:bookmarkEnd w:id="459"/>
      <w:bookmarkEnd w:id="460"/>
      <w:bookmarkEnd w:id="461"/>
    </w:p>
    <w:p>
      <w:pPr>
        <w:spacing w:line="360" w:lineRule="auto"/>
        <w:ind w:firstLine="420"/>
        <w:rPr>
          <w:rFonts w:asciiTheme="minorEastAsia" w:hAnsiTheme="minorEastAsia" w:eastAsiaTheme="minorEastAsia"/>
        </w:rPr>
      </w:pPr>
    </w:p>
    <w:p>
      <w:pPr>
        <w:spacing w:line="360" w:lineRule="auto"/>
        <w:ind w:firstLine="420" w:firstLineChars="200"/>
        <w:jc w:val="left"/>
        <w:rPr>
          <w:rFonts w:ascii="黑体" w:hAnsi="宋体" w:eastAsia="黑体"/>
          <w:szCs w:val="28"/>
        </w:rPr>
      </w:pPr>
      <w:r>
        <w:rPr>
          <w:rFonts w:hint="eastAsia" w:ascii="宋体" w:hAnsi="宋体"/>
          <w:szCs w:val="21"/>
        </w:rPr>
        <w:br w:type="page"/>
      </w:r>
      <w:bookmarkStart w:id="462" w:name="_Toc300678556"/>
    </w:p>
    <w:p>
      <w:pPr>
        <w:pStyle w:val="3"/>
        <w:spacing w:before="0" w:after="0" w:line="360" w:lineRule="auto"/>
        <w:jc w:val="center"/>
        <w:rPr>
          <w:rFonts w:ascii="黑体" w:hAnsi="黑体" w:eastAsia="黑体"/>
          <w:b w:val="0"/>
          <w:bCs w:val="0"/>
          <w:sz w:val="30"/>
        </w:rPr>
      </w:pPr>
      <w:bookmarkStart w:id="463" w:name="_Toc454993730"/>
      <w:bookmarkStart w:id="464" w:name="_Toc13552"/>
      <w:bookmarkStart w:id="465" w:name="_Toc13619"/>
      <w:bookmarkStart w:id="466" w:name="_Toc430812613"/>
      <w:bookmarkStart w:id="467" w:name="_Toc19366"/>
      <w:bookmarkStart w:id="468" w:name="_Toc3817"/>
      <w:bookmarkStart w:id="469" w:name="_Toc23526"/>
      <w:bookmarkStart w:id="470" w:name="_Toc410071185"/>
      <w:bookmarkStart w:id="471" w:name="_Toc486318759"/>
      <w:bookmarkStart w:id="472" w:name="_Toc1791"/>
      <w:bookmarkStart w:id="473" w:name="_Toc484015127"/>
      <w:r>
        <w:rPr>
          <w:rFonts w:hint="eastAsia" w:ascii="黑体" w:hAnsi="黑体" w:eastAsia="黑体"/>
          <w:b w:val="0"/>
          <w:bCs w:val="0"/>
          <w:sz w:val="30"/>
        </w:rPr>
        <w:t>第二节  特殊技术标准和要求</w:t>
      </w:r>
      <w:bookmarkEnd w:id="463"/>
      <w:bookmarkEnd w:id="464"/>
      <w:bookmarkEnd w:id="465"/>
      <w:bookmarkEnd w:id="466"/>
      <w:bookmarkEnd w:id="467"/>
      <w:bookmarkEnd w:id="468"/>
    </w:p>
    <w:p>
      <w:pPr>
        <w:pStyle w:val="4"/>
        <w:keepNext/>
        <w:keepLines/>
        <w:widowControl w:val="0"/>
        <w:jc w:val="left"/>
        <w:rPr>
          <w:rFonts w:ascii="黑体" w:hAnsi="宋体" w:eastAsia="黑体"/>
          <w:b w:val="0"/>
          <w:bCs w:val="0"/>
          <w:sz w:val="28"/>
          <w:szCs w:val="28"/>
        </w:rPr>
      </w:pPr>
      <w:bookmarkStart w:id="474" w:name="_Toc454993731"/>
      <w:bookmarkStart w:id="475" w:name="_Toc17675"/>
      <w:bookmarkStart w:id="476" w:name="_Toc4017"/>
      <w:bookmarkStart w:id="477" w:name="_Toc72"/>
      <w:bookmarkStart w:id="478" w:name="_Toc430812614"/>
      <w:bookmarkStart w:id="479" w:name="_Toc28898"/>
      <w:r>
        <w:rPr>
          <w:rFonts w:hint="eastAsia" w:ascii="黑体" w:hAnsi="宋体" w:eastAsia="黑体"/>
          <w:b w:val="0"/>
          <w:bCs w:val="0"/>
          <w:sz w:val="28"/>
          <w:szCs w:val="28"/>
        </w:rPr>
        <w:t>1.材料和工程设备技术要求</w:t>
      </w:r>
      <w:bookmarkEnd w:id="474"/>
      <w:bookmarkEnd w:id="475"/>
      <w:bookmarkEnd w:id="476"/>
      <w:bookmarkEnd w:id="477"/>
      <w:bookmarkEnd w:id="478"/>
      <w:bookmarkEnd w:id="479"/>
    </w:p>
    <w:p>
      <w:pPr>
        <w:spacing w:line="360" w:lineRule="auto"/>
        <w:ind w:firstLine="420" w:firstLineChars="200"/>
        <w:jc w:val="left"/>
        <w:rPr>
          <w:rFonts w:ascii="宋体" w:hAnsi="宋体"/>
          <w:szCs w:val="21"/>
        </w:rPr>
      </w:pPr>
      <w:r>
        <w:rPr>
          <w:rFonts w:hint="eastAsia" w:ascii="宋体" w:hAnsi="宋体"/>
          <w:szCs w:val="21"/>
        </w:rPr>
        <w:t>1.1 承包人自行施工范围内的部分材料和工程设备技术要求如下：</w:t>
      </w:r>
      <w:r>
        <w:rPr>
          <w:rFonts w:hint="eastAsia" w:ascii="宋体" w:hAnsi="宋体"/>
          <w:szCs w:val="21"/>
          <w:u w:val="single"/>
        </w:rPr>
        <w:t xml:space="preserve">     ／         </w:t>
      </w:r>
      <w:r>
        <w:rPr>
          <w:rFonts w:hint="eastAsia" w:ascii="宋体" w:hAnsi="宋体"/>
          <w:szCs w:val="21"/>
        </w:rPr>
        <w:t>。</w:t>
      </w:r>
    </w:p>
    <w:p>
      <w:pPr>
        <w:spacing w:line="360" w:lineRule="auto"/>
        <w:ind w:firstLine="420" w:firstLineChars="200"/>
        <w:jc w:val="left"/>
        <w:rPr>
          <w:rFonts w:ascii="宋体" w:hAnsi="宋体"/>
          <w:szCs w:val="21"/>
        </w:rPr>
      </w:pPr>
      <w:r>
        <w:rPr>
          <w:rFonts w:hint="eastAsia" w:ascii="宋体" w:hAnsi="宋体"/>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pPr>
        <w:spacing w:line="360" w:lineRule="auto"/>
        <w:ind w:firstLine="420" w:firstLineChars="200"/>
        <w:jc w:val="left"/>
        <w:rPr>
          <w:rFonts w:ascii="宋体" w:hAnsi="宋体"/>
          <w:szCs w:val="21"/>
        </w:rPr>
      </w:pPr>
      <w:r>
        <w:rPr>
          <w:rFonts w:hint="eastAsia" w:ascii="宋体" w:hAnsi="宋体"/>
          <w:szCs w:val="21"/>
        </w:rPr>
        <w:t>1.2 承包人自行施工范围内的材料和工程设备选型允许的偏离如下：</w:t>
      </w:r>
    </w:p>
    <w:tbl>
      <w:tblPr>
        <w:tblStyle w:val="42"/>
        <w:tblW w:w="83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120"/>
        <w:gridCol w:w="1744"/>
        <w:gridCol w:w="1744"/>
        <w:gridCol w:w="14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31" w:hRule="atLeast"/>
        </w:trPr>
        <w:tc>
          <w:tcPr>
            <w:tcW w:w="1260" w:type="dxa"/>
            <w:vAlign w:val="center"/>
          </w:tcPr>
          <w:p>
            <w:pPr>
              <w:jc w:val="center"/>
              <w:rPr>
                <w:rFonts w:ascii="宋体" w:hAnsi="宋体"/>
                <w:sz w:val="18"/>
                <w:szCs w:val="21"/>
              </w:rPr>
            </w:pPr>
            <w:r>
              <w:rPr>
                <w:rFonts w:hint="eastAsia" w:ascii="宋体" w:hAnsi="宋体"/>
                <w:sz w:val="18"/>
                <w:szCs w:val="21"/>
              </w:rPr>
              <w:t>序号</w:t>
            </w:r>
          </w:p>
        </w:tc>
        <w:tc>
          <w:tcPr>
            <w:tcW w:w="2120" w:type="dxa"/>
            <w:vAlign w:val="center"/>
          </w:tcPr>
          <w:p>
            <w:pPr>
              <w:jc w:val="center"/>
              <w:rPr>
                <w:rFonts w:ascii="宋体" w:hAnsi="宋体"/>
                <w:sz w:val="18"/>
                <w:szCs w:val="21"/>
              </w:rPr>
            </w:pPr>
            <w:r>
              <w:rPr>
                <w:rFonts w:hint="eastAsia" w:ascii="宋体" w:hAnsi="宋体"/>
                <w:sz w:val="18"/>
                <w:szCs w:val="21"/>
              </w:rPr>
              <w:t>材料和工程设备</w:t>
            </w:r>
          </w:p>
          <w:p>
            <w:pPr>
              <w:jc w:val="center"/>
              <w:rPr>
                <w:rFonts w:ascii="宋体" w:hAnsi="宋体"/>
                <w:sz w:val="18"/>
                <w:szCs w:val="21"/>
              </w:rPr>
            </w:pPr>
            <w:r>
              <w:rPr>
                <w:rFonts w:hint="eastAsia" w:ascii="宋体" w:hAnsi="宋体"/>
                <w:sz w:val="18"/>
                <w:szCs w:val="21"/>
              </w:rPr>
              <w:t>名称</w:t>
            </w:r>
          </w:p>
        </w:tc>
        <w:tc>
          <w:tcPr>
            <w:tcW w:w="1744" w:type="dxa"/>
            <w:vAlign w:val="center"/>
          </w:tcPr>
          <w:p>
            <w:pPr>
              <w:jc w:val="center"/>
              <w:rPr>
                <w:rFonts w:ascii="宋体" w:hAnsi="宋体"/>
                <w:sz w:val="18"/>
                <w:szCs w:val="21"/>
              </w:rPr>
            </w:pPr>
            <w:r>
              <w:rPr>
                <w:rFonts w:hint="eastAsia" w:ascii="宋体" w:hAnsi="宋体"/>
                <w:sz w:val="18"/>
                <w:szCs w:val="21"/>
              </w:rPr>
              <w:t>技术指标</w:t>
            </w:r>
          </w:p>
        </w:tc>
        <w:tc>
          <w:tcPr>
            <w:tcW w:w="1744" w:type="dxa"/>
            <w:vAlign w:val="center"/>
          </w:tcPr>
          <w:p>
            <w:pPr>
              <w:jc w:val="center"/>
              <w:rPr>
                <w:rFonts w:ascii="宋体" w:hAnsi="宋体"/>
                <w:sz w:val="18"/>
                <w:szCs w:val="21"/>
              </w:rPr>
            </w:pPr>
            <w:r>
              <w:rPr>
                <w:rFonts w:hint="eastAsia" w:ascii="宋体" w:hAnsi="宋体"/>
                <w:sz w:val="18"/>
                <w:szCs w:val="21"/>
              </w:rPr>
              <w:t>允许偏离范围</w:t>
            </w:r>
          </w:p>
        </w:tc>
        <w:tc>
          <w:tcPr>
            <w:tcW w:w="1452" w:type="dxa"/>
            <w:vAlign w:val="center"/>
          </w:tcPr>
          <w:p>
            <w:pPr>
              <w:jc w:val="center"/>
              <w:rPr>
                <w:rFonts w:ascii="宋体" w:hAnsi="宋体"/>
                <w:sz w:val="18"/>
                <w:szCs w:val="21"/>
              </w:rPr>
            </w:pPr>
            <w:r>
              <w:rPr>
                <w:rFonts w:hint="eastAsia" w:ascii="宋体" w:hAnsi="宋体"/>
                <w:sz w:val="18"/>
                <w:szCs w:val="21"/>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60" w:type="dxa"/>
            <w:vAlign w:val="center"/>
          </w:tcPr>
          <w:p>
            <w:pPr>
              <w:spacing w:line="360" w:lineRule="auto"/>
              <w:jc w:val="center"/>
              <w:rPr>
                <w:rFonts w:ascii="宋体" w:hAnsi="宋体"/>
                <w:sz w:val="18"/>
                <w:szCs w:val="21"/>
              </w:rPr>
            </w:pPr>
            <w:r>
              <w:rPr>
                <w:rFonts w:hint="eastAsia" w:ascii="宋体" w:hAnsi="宋体"/>
                <w:sz w:val="18"/>
                <w:szCs w:val="21"/>
              </w:rPr>
              <w:t>1</w:t>
            </w:r>
          </w:p>
        </w:tc>
        <w:tc>
          <w:tcPr>
            <w:tcW w:w="2120"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452" w:type="dxa"/>
            <w:vAlign w:val="center"/>
          </w:tcPr>
          <w:p>
            <w:pPr>
              <w:spacing w:line="360" w:lineRule="auto"/>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60" w:type="dxa"/>
            <w:vAlign w:val="center"/>
          </w:tcPr>
          <w:p>
            <w:pPr>
              <w:spacing w:line="360" w:lineRule="auto"/>
              <w:jc w:val="center"/>
              <w:rPr>
                <w:rFonts w:ascii="宋体" w:hAnsi="宋体"/>
                <w:sz w:val="18"/>
                <w:szCs w:val="21"/>
              </w:rPr>
            </w:pPr>
            <w:r>
              <w:rPr>
                <w:rFonts w:hint="eastAsia" w:ascii="宋体" w:hAnsi="宋体"/>
                <w:sz w:val="18"/>
                <w:szCs w:val="21"/>
              </w:rPr>
              <w:t>2</w:t>
            </w:r>
          </w:p>
        </w:tc>
        <w:tc>
          <w:tcPr>
            <w:tcW w:w="2120"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452" w:type="dxa"/>
            <w:vAlign w:val="center"/>
          </w:tcPr>
          <w:p>
            <w:pPr>
              <w:spacing w:line="360" w:lineRule="auto"/>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40" w:hRule="atLeast"/>
        </w:trPr>
        <w:tc>
          <w:tcPr>
            <w:tcW w:w="1260" w:type="dxa"/>
            <w:vAlign w:val="center"/>
          </w:tcPr>
          <w:p>
            <w:pPr>
              <w:spacing w:line="360" w:lineRule="auto"/>
              <w:jc w:val="center"/>
              <w:rPr>
                <w:rFonts w:ascii="宋体" w:hAnsi="宋体"/>
                <w:sz w:val="18"/>
                <w:szCs w:val="21"/>
              </w:rPr>
            </w:pPr>
            <w:r>
              <w:rPr>
                <w:rFonts w:hint="eastAsia" w:ascii="宋体" w:hAnsi="宋体"/>
                <w:sz w:val="18"/>
                <w:szCs w:val="21"/>
              </w:rPr>
              <w:t>……</w:t>
            </w:r>
          </w:p>
        </w:tc>
        <w:tc>
          <w:tcPr>
            <w:tcW w:w="2120"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452" w:type="dxa"/>
            <w:vAlign w:val="center"/>
          </w:tcPr>
          <w:p>
            <w:pPr>
              <w:spacing w:line="360" w:lineRule="auto"/>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60" w:type="dxa"/>
            <w:vAlign w:val="center"/>
          </w:tcPr>
          <w:p>
            <w:pPr>
              <w:spacing w:line="360" w:lineRule="auto"/>
              <w:jc w:val="center"/>
              <w:rPr>
                <w:rFonts w:ascii="宋体" w:hAnsi="宋体"/>
                <w:sz w:val="18"/>
                <w:szCs w:val="21"/>
              </w:rPr>
            </w:pPr>
          </w:p>
        </w:tc>
        <w:tc>
          <w:tcPr>
            <w:tcW w:w="2120"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744" w:type="dxa"/>
            <w:vAlign w:val="center"/>
          </w:tcPr>
          <w:p>
            <w:pPr>
              <w:spacing w:line="360" w:lineRule="auto"/>
              <w:jc w:val="center"/>
              <w:rPr>
                <w:rFonts w:ascii="宋体" w:hAnsi="宋体"/>
                <w:sz w:val="18"/>
                <w:szCs w:val="21"/>
              </w:rPr>
            </w:pPr>
          </w:p>
        </w:tc>
        <w:tc>
          <w:tcPr>
            <w:tcW w:w="1452" w:type="dxa"/>
            <w:vAlign w:val="center"/>
          </w:tcPr>
          <w:p>
            <w:pPr>
              <w:spacing w:line="360" w:lineRule="auto"/>
              <w:jc w:val="center"/>
              <w:rPr>
                <w:rFonts w:ascii="宋体" w:hAnsi="宋体"/>
                <w:sz w:val="18"/>
                <w:szCs w:val="21"/>
              </w:rPr>
            </w:pPr>
          </w:p>
        </w:tc>
      </w:tr>
    </w:tbl>
    <w:p>
      <w:pPr>
        <w:spacing w:line="360" w:lineRule="auto"/>
        <w:ind w:firstLine="420" w:firstLineChars="200"/>
        <w:jc w:val="left"/>
        <w:rPr>
          <w:rFonts w:ascii="宋体" w:hAnsi="宋体"/>
          <w:szCs w:val="21"/>
        </w:rPr>
      </w:pPr>
      <w:r>
        <w:rPr>
          <w:rFonts w:hint="eastAsia" w:ascii="宋体" w:hAnsi="宋体"/>
          <w:szCs w:val="21"/>
        </w:rPr>
        <w:t>1.3 本工程施工现场所用混凝土或砂浆的供应方式为</w:t>
      </w:r>
      <w:r>
        <w:rPr>
          <w:rFonts w:hint="eastAsia" w:ascii="宋体" w:hAnsi="宋体"/>
          <w:szCs w:val="21"/>
          <w:u w:val="single"/>
        </w:rPr>
        <w:t xml:space="preserve">  ／     </w:t>
      </w: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80" w:name="_Toc18056"/>
      <w:bookmarkStart w:id="481" w:name="_Toc10345"/>
      <w:bookmarkStart w:id="482" w:name="_Toc454993732"/>
      <w:bookmarkStart w:id="483" w:name="_Toc430812615"/>
      <w:bookmarkStart w:id="484" w:name="_Toc12316"/>
      <w:bookmarkStart w:id="485" w:name="_Toc13163"/>
      <w:r>
        <w:rPr>
          <w:rFonts w:hint="eastAsia" w:ascii="黑体" w:hAnsi="宋体" w:eastAsia="黑体"/>
          <w:b w:val="0"/>
          <w:bCs w:val="0"/>
          <w:sz w:val="28"/>
          <w:szCs w:val="28"/>
        </w:rPr>
        <w:t>2.特殊技术要求</w:t>
      </w:r>
      <w:bookmarkEnd w:id="480"/>
      <w:bookmarkEnd w:id="481"/>
      <w:bookmarkEnd w:id="482"/>
      <w:bookmarkEnd w:id="483"/>
      <w:bookmarkEnd w:id="484"/>
      <w:bookmarkEnd w:id="485"/>
    </w:p>
    <w:p>
      <w:pPr>
        <w:spacing w:line="360" w:lineRule="auto"/>
        <w:ind w:firstLine="420" w:firstLineChars="200"/>
        <w:jc w:val="left"/>
        <w:rPr>
          <w:rFonts w:ascii="宋体" w:hAnsi="宋体"/>
          <w:szCs w:val="21"/>
        </w:rPr>
      </w:pPr>
      <w:r>
        <w:rPr>
          <w:rFonts w:hint="eastAsia" w:ascii="宋体" w:hAnsi="宋体"/>
          <w:szCs w:val="21"/>
        </w:rPr>
        <w:t>2.1 除合同约定的技术要求外，本工程的特殊技术要求如下：</w:t>
      </w:r>
      <w:r>
        <w:rPr>
          <w:rFonts w:hint="eastAsia" w:ascii="宋体" w:hAnsi="宋体"/>
          <w:szCs w:val="21"/>
          <w:u w:val="single"/>
        </w:rPr>
        <w:t xml:space="preserve">       ／         </w:t>
      </w: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86" w:name="_Toc28945"/>
      <w:bookmarkStart w:id="487" w:name="_Toc14300"/>
      <w:bookmarkStart w:id="488" w:name="_Toc430812616"/>
      <w:bookmarkStart w:id="489" w:name="_Toc5006"/>
      <w:bookmarkStart w:id="490" w:name="_Toc22650"/>
      <w:bookmarkStart w:id="491" w:name="_Toc454993733"/>
      <w:r>
        <w:rPr>
          <w:rFonts w:hint="eastAsia" w:ascii="黑体" w:hAnsi="宋体" w:eastAsia="黑体"/>
          <w:b w:val="0"/>
          <w:bCs w:val="0"/>
          <w:sz w:val="28"/>
          <w:szCs w:val="28"/>
        </w:rPr>
        <w:t>3.新技术、新工艺和新材料</w:t>
      </w:r>
      <w:bookmarkEnd w:id="486"/>
      <w:bookmarkEnd w:id="487"/>
      <w:bookmarkEnd w:id="488"/>
      <w:bookmarkEnd w:id="489"/>
      <w:bookmarkEnd w:id="490"/>
      <w:bookmarkEnd w:id="491"/>
    </w:p>
    <w:p>
      <w:pPr>
        <w:spacing w:line="360" w:lineRule="auto"/>
        <w:ind w:firstLine="420" w:firstLineChars="200"/>
        <w:jc w:val="left"/>
        <w:rPr>
          <w:rFonts w:ascii="宋体" w:hAnsi="宋体"/>
          <w:szCs w:val="21"/>
        </w:rPr>
      </w:pPr>
      <w:r>
        <w:rPr>
          <w:rFonts w:hint="eastAsia" w:ascii="宋体" w:hAnsi="宋体"/>
          <w:szCs w:val="21"/>
        </w:rPr>
        <w:t>3.1 本工程涉及的新技术、新工艺和新材料及相应使用和操作说明如下：</w:t>
      </w:r>
      <w:r>
        <w:rPr>
          <w:rFonts w:hint="eastAsia" w:ascii="宋体" w:hAnsi="宋体"/>
          <w:szCs w:val="21"/>
          <w:u w:val="single"/>
        </w:rPr>
        <w:t xml:space="preserve">     ／       </w:t>
      </w:r>
      <w:r>
        <w:rPr>
          <w:rFonts w:hint="eastAsia" w:ascii="宋体" w:hAnsi="宋体"/>
          <w:szCs w:val="21"/>
        </w:rPr>
        <w:t>。</w:t>
      </w:r>
    </w:p>
    <w:p>
      <w:pPr>
        <w:pStyle w:val="4"/>
        <w:keepNext/>
        <w:keepLines/>
        <w:widowControl w:val="0"/>
        <w:jc w:val="left"/>
        <w:rPr>
          <w:rFonts w:ascii="黑体" w:hAnsi="宋体" w:eastAsia="黑体"/>
          <w:b w:val="0"/>
          <w:bCs w:val="0"/>
          <w:sz w:val="28"/>
          <w:szCs w:val="28"/>
        </w:rPr>
      </w:pPr>
      <w:bookmarkStart w:id="492" w:name="_Toc12161"/>
      <w:bookmarkStart w:id="493" w:name="_Toc21623"/>
      <w:bookmarkStart w:id="494" w:name="_Toc454993734"/>
      <w:bookmarkStart w:id="495" w:name="_Toc29874"/>
      <w:bookmarkStart w:id="496" w:name="_Toc9297"/>
      <w:bookmarkStart w:id="497" w:name="_Toc430812617"/>
      <w:r>
        <w:rPr>
          <w:rFonts w:hint="eastAsia" w:ascii="黑体" w:hAnsi="宋体" w:eastAsia="黑体"/>
          <w:b w:val="0"/>
          <w:bCs w:val="0"/>
          <w:sz w:val="28"/>
          <w:szCs w:val="28"/>
        </w:rPr>
        <w:t xml:space="preserve">4.其他特殊技术标准和要求    </w:t>
      </w:r>
      <w:r>
        <w:rPr>
          <w:rFonts w:hint="eastAsia" w:ascii="宋体" w:hAnsi="宋体"/>
          <w:szCs w:val="21"/>
          <w:u w:val="single"/>
        </w:rPr>
        <w:t xml:space="preserve">      ／       </w:t>
      </w:r>
      <w:r>
        <w:rPr>
          <w:rFonts w:hint="eastAsia" w:ascii="宋体" w:hAnsi="宋体"/>
          <w:szCs w:val="21"/>
        </w:rPr>
        <w:t>。</w:t>
      </w:r>
      <w:bookmarkEnd w:id="492"/>
      <w:bookmarkEnd w:id="493"/>
      <w:bookmarkEnd w:id="494"/>
      <w:bookmarkEnd w:id="495"/>
      <w:bookmarkEnd w:id="496"/>
      <w:bookmarkEnd w:id="497"/>
    </w:p>
    <w:bookmarkEnd w:id="462"/>
    <w:bookmarkEnd w:id="469"/>
    <w:bookmarkEnd w:id="470"/>
    <w:bookmarkEnd w:id="471"/>
    <w:bookmarkEnd w:id="472"/>
    <w:bookmarkEnd w:id="473"/>
    <w:p>
      <w:pPr>
        <w:spacing w:line="360" w:lineRule="auto"/>
        <w:jc w:val="left"/>
        <w:rPr>
          <w:rFonts w:ascii="宋体" w:hAnsi="宋体"/>
          <w:szCs w:val="21"/>
          <w:u w:val="single"/>
        </w:rPr>
      </w:pPr>
    </w:p>
    <w:p>
      <w:pPr>
        <w:spacing w:line="360" w:lineRule="auto"/>
        <w:jc w:val="left"/>
        <w:rPr>
          <w:rFonts w:ascii="宋体" w:hAnsi="宋体"/>
          <w:szCs w:val="21"/>
          <w:u w:val="single"/>
        </w:rPr>
      </w:pPr>
    </w:p>
    <w:p>
      <w:pPr>
        <w:spacing w:line="360" w:lineRule="auto"/>
        <w:jc w:val="left"/>
        <w:rPr>
          <w:rFonts w:ascii="宋体" w:hAnsi="宋体"/>
          <w:szCs w:val="21"/>
          <w:u w:val="single"/>
        </w:rPr>
      </w:pPr>
    </w:p>
    <w:p>
      <w:pPr>
        <w:spacing w:line="360" w:lineRule="auto"/>
        <w:jc w:val="left"/>
        <w:rPr>
          <w:rFonts w:ascii="宋体" w:hAnsi="宋体"/>
          <w:szCs w:val="21"/>
        </w:rPr>
      </w:pPr>
    </w:p>
    <w:p>
      <w:pPr>
        <w:spacing w:line="360" w:lineRule="auto"/>
        <w:jc w:val="left"/>
        <w:rPr>
          <w:rFonts w:ascii="宋体" w:hAnsi="宋体"/>
          <w:sz w:val="18"/>
          <w:szCs w:val="18"/>
        </w:rPr>
      </w:pPr>
      <w:r>
        <w:rPr>
          <w:rFonts w:hint="eastAsia" w:ascii="黑体" w:hAnsi="宋体" w:eastAsia="黑体"/>
        </w:rPr>
        <w:br w:type="page"/>
      </w:r>
      <w:bookmarkStart w:id="498" w:name="_Toc300678561"/>
    </w:p>
    <w:p>
      <w:pPr>
        <w:pStyle w:val="3"/>
        <w:jc w:val="center"/>
        <w:rPr>
          <w:rFonts w:ascii="黑体" w:hAnsi="黑体" w:eastAsia="黑体"/>
          <w:b w:val="0"/>
          <w:bCs w:val="0"/>
          <w:sz w:val="30"/>
        </w:rPr>
      </w:pPr>
      <w:bookmarkStart w:id="499" w:name="_Toc486318764"/>
      <w:bookmarkStart w:id="500" w:name="_Toc8751"/>
      <w:bookmarkStart w:id="501" w:name="_Toc484015132"/>
      <w:bookmarkStart w:id="502" w:name="_Toc11208"/>
      <w:bookmarkStart w:id="503" w:name="_Toc12476"/>
      <w:bookmarkStart w:id="504" w:name="_Toc18301"/>
      <w:r>
        <w:rPr>
          <w:rFonts w:hint="eastAsia" w:ascii="黑体" w:hAnsi="黑体" w:eastAsia="黑体"/>
          <w:b w:val="0"/>
          <w:bCs w:val="0"/>
          <w:sz w:val="30"/>
        </w:rPr>
        <w:t>第三节  适用的国家、行业以及地方规范、标准和规程</w:t>
      </w:r>
      <w:bookmarkEnd w:id="498"/>
      <w:bookmarkEnd w:id="499"/>
      <w:bookmarkEnd w:id="500"/>
      <w:bookmarkEnd w:id="501"/>
      <w:bookmarkEnd w:id="502"/>
      <w:bookmarkEnd w:id="503"/>
      <w:bookmarkEnd w:id="504"/>
    </w:p>
    <w:p>
      <w:pPr>
        <w:spacing w:line="360" w:lineRule="auto"/>
        <w:jc w:val="left"/>
        <w:rPr>
          <w:rFonts w:ascii="宋体" w:hAnsi="宋体"/>
          <w:sz w:val="18"/>
          <w:szCs w:val="18"/>
        </w:rPr>
      </w:pPr>
      <w:r>
        <w:rPr>
          <w:rFonts w:hint="eastAsia" w:ascii="宋体" w:hAnsi="宋体"/>
          <w:sz w:val="18"/>
          <w:szCs w:val="18"/>
        </w:rPr>
        <w:t xml:space="preserve"> 说明：本节内容只需列出规范、标准、规程等的名称、编号等内容。本节由招标人根据国家、行业和地方现行标准、规范和规程等，以及项目具体情况摘录。</w:t>
      </w:r>
    </w:p>
    <w:p>
      <w:pPr>
        <w:spacing w:line="360" w:lineRule="auto"/>
        <w:jc w:val="left"/>
        <w:rPr>
          <w:rFonts w:ascii="宋体" w:hAnsi="宋体"/>
          <w:sz w:val="18"/>
          <w:szCs w:val="18"/>
        </w:rPr>
      </w:pPr>
      <w:r>
        <w:rPr>
          <w:rFonts w:hint="eastAsia" w:ascii="黑体" w:hAnsi="宋体" w:eastAsia="黑体"/>
          <w:b/>
        </w:rPr>
        <w:br w:type="page"/>
      </w:r>
      <w:bookmarkStart w:id="505" w:name="_Toc300678562"/>
    </w:p>
    <w:p>
      <w:pPr>
        <w:pStyle w:val="6"/>
        <w:rPr>
          <w:rFonts w:ascii="黑体" w:hAnsi="黑体" w:eastAsia="黑体"/>
          <w:b w:val="0"/>
          <w:bCs w:val="0"/>
          <w:sz w:val="24"/>
        </w:rPr>
      </w:pPr>
      <w:r>
        <w:rPr>
          <w:rFonts w:hint="eastAsia" w:ascii="黑体" w:hAnsi="黑体" w:eastAsia="黑体"/>
          <w:b w:val="0"/>
          <w:bCs w:val="0"/>
          <w:sz w:val="24"/>
        </w:rPr>
        <w:t>附件A：施工现场现状平面图</w:t>
      </w:r>
      <w:bookmarkEnd w:id="505"/>
    </w:p>
    <w:p>
      <w:pPr>
        <w:spacing w:line="360" w:lineRule="auto"/>
        <w:jc w:val="left"/>
        <w:rPr>
          <w:rFonts w:ascii="宋体" w:hAnsi="宋体"/>
          <w:sz w:val="18"/>
          <w:szCs w:val="18"/>
        </w:rPr>
      </w:pPr>
      <w:r>
        <w:rPr>
          <w:rFonts w:hint="eastAsia" w:ascii="宋体" w:hAnsi="宋体"/>
          <w:sz w:val="18"/>
          <w:szCs w:val="18"/>
        </w:rPr>
        <w:t>说明：该图由招标人准备，并作为招标文件本章的组成内容提供给投标人。图中应当标示本章第一节第1.2.1项规定的内容，并做必要的文字说明。</w:t>
      </w:r>
    </w:p>
    <w:p>
      <w:pPr>
        <w:spacing w:line="360" w:lineRule="auto"/>
        <w:jc w:val="left"/>
        <w:rPr>
          <w:rFonts w:ascii="宋体" w:hAnsi="宋体"/>
          <w:sz w:val="18"/>
          <w:szCs w:val="18"/>
        </w:rPr>
      </w:pPr>
      <w:r>
        <w:rPr>
          <w:rFonts w:ascii="宋体" w:hAnsi="宋体"/>
          <w:szCs w:val="21"/>
        </w:rPr>
        <w:br w:type="page"/>
      </w:r>
    </w:p>
    <w:p>
      <w:pPr>
        <w:spacing w:line="360" w:lineRule="auto"/>
        <w:jc w:val="left"/>
        <w:rPr>
          <w:rFonts w:ascii="宋体" w:hAnsi="宋体"/>
          <w:sz w:val="18"/>
          <w:szCs w:val="18"/>
        </w:rPr>
      </w:pPr>
      <w:bookmarkStart w:id="506" w:name="_Toc300678563"/>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pStyle w:val="2"/>
        <w:jc w:val="center"/>
        <w:rPr>
          <w:rFonts w:ascii="黑体" w:hAnsi="黑体" w:eastAsia="黑体"/>
          <w:b w:val="0"/>
          <w:bCs w:val="0"/>
          <w:sz w:val="44"/>
          <w:szCs w:val="44"/>
        </w:rPr>
      </w:pPr>
      <w:bookmarkStart w:id="507" w:name="_Toc29441"/>
      <w:bookmarkStart w:id="508" w:name="_Toc7769"/>
      <w:bookmarkStart w:id="509" w:name="_Toc484015133"/>
      <w:bookmarkStart w:id="510" w:name="_Toc3406"/>
      <w:bookmarkStart w:id="511" w:name="_Toc4610"/>
      <w:bookmarkStart w:id="512" w:name="_Toc486318765"/>
      <w:r>
        <w:rPr>
          <w:rFonts w:hint="eastAsia" w:ascii="黑体" w:hAnsi="黑体" w:eastAsia="黑体"/>
          <w:b w:val="0"/>
          <w:bCs w:val="0"/>
          <w:sz w:val="44"/>
          <w:szCs w:val="44"/>
        </w:rPr>
        <w:t>第  四  卷</w:t>
      </w:r>
      <w:bookmarkEnd w:id="506"/>
      <w:bookmarkEnd w:id="507"/>
      <w:bookmarkEnd w:id="508"/>
      <w:bookmarkEnd w:id="509"/>
      <w:bookmarkEnd w:id="510"/>
      <w:bookmarkEnd w:id="511"/>
      <w:bookmarkEnd w:id="512"/>
    </w:p>
    <w:p>
      <w:pPr>
        <w:spacing w:line="360" w:lineRule="auto"/>
        <w:jc w:val="left"/>
        <w:rPr>
          <w:rFonts w:ascii="宋体" w:hAnsi="宋体"/>
          <w:sz w:val="18"/>
          <w:szCs w:val="18"/>
        </w:rPr>
      </w:pPr>
      <w:r>
        <w:rPr>
          <w:rFonts w:ascii="黑体" w:hAnsi="黑体" w:eastAsia="黑体"/>
          <w:b/>
          <w:bCs/>
          <w:sz w:val="44"/>
          <w:szCs w:val="44"/>
        </w:rPr>
        <w:br w:type="page"/>
      </w: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pStyle w:val="2"/>
        <w:spacing w:before="0" w:after="0"/>
        <w:jc w:val="center"/>
        <w:rPr>
          <w:rFonts w:ascii="黑体" w:hAnsi="黑体" w:eastAsia="黑体"/>
          <w:b w:val="0"/>
          <w:bCs w:val="0"/>
        </w:rPr>
      </w:pPr>
      <w:bookmarkStart w:id="513" w:name="_Toc3529"/>
      <w:bookmarkStart w:id="514" w:name="_Toc7471"/>
      <w:bookmarkStart w:id="515" w:name="_Toc15532"/>
      <w:bookmarkStart w:id="516" w:name="_Toc486318766"/>
      <w:bookmarkStart w:id="517" w:name="_Toc484015134"/>
      <w:bookmarkStart w:id="518" w:name="_Toc5021"/>
      <w:bookmarkStart w:id="519" w:name="_Toc300678564"/>
      <w:r>
        <w:rPr>
          <w:rFonts w:hint="eastAsia" w:ascii="黑体" w:hAnsi="黑体" w:eastAsia="黑体"/>
          <w:b w:val="0"/>
          <w:bCs w:val="0"/>
        </w:rPr>
        <w:t>第八章  投标文件格式</w:t>
      </w:r>
      <w:bookmarkEnd w:id="513"/>
      <w:bookmarkEnd w:id="514"/>
      <w:bookmarkEnd w:id="515"/>
      <w:bookmarkEnd w:id="516"/>
      <w:bookmarkEnd w:id="517"/>
      <w:bookmarkEnd w:id="518"/>
      <w:bookmarkEnd w:id="519"/>
    </w:p>
    <w:p>
      <w:pPr>
        <w:jc w:val="left"/>
        <w:rPr>
          <w:rFonts w:ascii="黑体" w:hAnsi="黑体" w:eastAsia="黑体"/>
          <w:b/>
          <w:bCs/>
          <w:szCs w:val="21"/>
        </w:rPr>
      </w:pPr>
      <w:r>
        <w:rPr>
          <w:rFonts w:hint="eastAsia" w:ascii="宋体" w:hAnsi="宋体"/>
          <w:sz w:val="18"/>
          <w:szCs w:val="18"/>
        </w:rPr>
        <w:br w:type="page"/>
      </w:r>
    </w:p>
    <w:p>
      <w:pPr>
        <w:pStyle w:val="2"/>
        <w:jc w:val="center"/>
        <w:rPr>
          <w:rFonts w:ascii="黑体" w:hAnsi="黑体" w:eastAsia="黑体"/>
          <w:b w:val="0"/>
        </w:rPr>
      </w:pPr>
      <w:bookmarkStart w:id="520" w:name="_Toc300678565"/>
    </w:p>
    <w:p>
      <w:pPr>
        <w:pStyle w:val="2"/>
        <w:jc w:val="center"/>
        <w:rPr>
          <w:rFonts w:ascii="黑体" w:hAnsi="黑体" w:eastAsia="黑体"/>
          <w:b w:val="0"/>
        </w:rPr>
      </w:pPr>
      <w:bookmarkStart w:id="521" w:name="_Toc5536"/>
      <w:bookmarkStart w:id="522" w:name="_Toc486318767"/>
      <w:bookmarkStart w:id="523" w:name="_Toc30374"/>
      <w:bookmarkStart w:id="524" w:name="_Toc484015135"/>
      <w:bookmarkStart w:id="525" w:name="_Toc26629"/>
      <w:bookmarkStart w:id="526" w:name="_Toc1709"/>
      <w:r>
        <w:rPr>
          <w:rFonts w:hint="eastAsia" w:ascii="黑体" w:hAnsi="黑体" w:eastAsia="黑体"/>
          <w:b w:val="0"/>
        </w:rPr>
        <w:t>第一部分 投标函部分格式</w:t>
      </w:r>
      <w:bookmarkEnd w:id="520"/>
      <w:bookmarkEnd w:id="521"/>
      <w:bookmarkEnd w:id="522"/>
      <w:bookmarkEnd w:id="523"/>
      <w:bookmarkEnd w:id="524"/>
      <w:bookmarkEnd w:id="525"/>
      <w:bookmarkEnd w:id="526"/>
    </w:p>
    <w:p>
      <w:pPr>
        <w:spacing w:line="360" w:lineRule="auto"/>
        <w:jc w:val="left"/>
        <w:rPr>
          <w:rFonts w:ascii="宋体" w:hAnsi="宋体"/>
          <w:sz w:val="18"/>
          <w:szCs w:val="18"/>
        </w:rPr>
      </w:pPr>
    </w:p>
    <w:p>
      <w:pPr>
        <w:widowControl/>
        <w:rPr>
          <w:rFonts w:ascii="黑体" w:hAnsi="黑体" w:eastAsia="黑体"/>
          <w:kern w:val="0"/>
          <w:sz w:val="28"/>
          <w:szCs w:val="21"/>
        </w:rPr>
      </w:pPr>
    </w:p>
    <w:p>
      <w:pPr>
        <w:widowControl/>
        <w:rPr>
          <w:rFonts w:ascii="黑体" w:hAnsi="黑体" w:eastAsia="黑体"/>
          <w:kern w:val="0"/>
          <w:sz w:val="28"/>
          <w:szCs w:val="21"/>
        </w:rPr>
      </w:pPr>
    </w:p>
    <w:p>
      <w:pPr>
        <w:widowControl/>
        <w:jc w:val="center"/>
        <w:rPr>
          <w:rFonts w:ascii="黑体" w:hAnsi="黑体" w:eastAsia="黑体"/>
          <w:kern w:val="0"/>
          <w:sz w:val="28"/>
          <w:szCs w:val="28"/>
        </w:rPr>
      </w:pPr>
      <w:r>
        <w:rPr>
          <w:rFonts w:hint="eastAsia" w:ascii="黑体" w:hAnsi="黑体" w:eastAsia="黑体"/>
          <w:kern w:val="0"/>
          <w:sz w:val="28"/>
          <w:szCs w:val="28"/>
        </w:rPr>
        <w:t>（项目名称）</w:t>
      </w:r>
      <w:r>
        <w:rPr>
          <w:rFonts w:hint="eastAsia" w:ascii="黑体" w:hAnsi="黑体" w:eastAsia="黑体"/>
          <w:kern w:val="0"/>
          <w:sz w:val="28"/>
          <w:szCs w:val="28"/>
          <w:u w:val="single"/>
        </w:rPr>
        <w:t>（）</w:t>
      </w:r>
      <w:r>
        <w:rPr>
          <w:rFonts w:hint="eastAsia" w:ascii="黑体" w:hAnsi="黑体" w:eastAsia="黑体"/>
          <w:kern w:val="0"/>
          <w:sz w:val="28"/>
          <w:szCs w:val="28"/>
        </w:rPr>
        <w:t>标段施工招标</w:t>
      </w:r>
    </w:p>
    <w:p>
      <w:pPr>
        <w:widowControl/>
        <w:spacing w:before="312"/>
        <w:jc w:val="center"/>
        <w:rPr>
          <w:rFonts w:ascii="黑体" w:eastAsia="黑体"/>
          <w:kern w:val="0"/>
          <w:sz w:val="44"/>
          <w:szCs w:val="44"/>
        </w:rPr>
      </w:pPr>
      <w:r>
        <w:rPr>
          <w:rFonts w:hint="eastAsia" w:ascii="黑体" w:eastAsia="黑体"/>
          <w:kern w:val="0"/>
          <w:sz w:val="44"/>
          <w:szCs w:val="44"/>
        </w:rPr>
        <w:t>投  标  文  件</w:t>
      </w:r>
    </w:p>
    <w:p>
      <w:pPr>
        <w:widowControl/>
        <w:jc w:val="center"/>
        <w:rPr>
          <w:rFonts w:ascii="黑体" w:eastAsia="黑体"/>
          <w:kern w:val="0"/>
          <w:sz w:val="32"/>
          <w:szCs w:val="32"/>
        </w:rPr>
      </w:pPr>
      <w:r>
        <w:rPr>
          <w:rFonts w:hint="eastAsia" w:ascii="黑体" w:eastAsia="黑体"/>
          <w:kern w:val="0"/>
          <w:sz w:val="32"/>
          <w:szCs w:val="32"/>
        </w:rPr>
        <w:t>（投标函部分）</w:t>
      </w:r>
    </w:p>
    <w:p>
      <w:pPr>
        <w:widowControl/>
        <w:jc w:val="center"/>
        <w:rPr>
          <w:rFonts w:ascii="黑体" w:eastAsia="黑体"/>
          <w:kern w:val="0"/>
          <w:sz w:val="32"/>
          <w:szCs w:val="32"/>
        </w:rPr>
      </w:pPr>
      <w:r>
        <w:rPr>
          <w:rFonts w:hint="eastAsia" w:ascii="黑体" w:eastAsia="黑体"/>
          <w:sz w:val="32"/>
          <w:szCs w:val="32"/>
        </w:rPr>
        <w:t>（招标编号：）</w:t>
      </w: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spacing w:line="360" w:lineRule="auto"/>
        <w:jc w:val="left"/>
        <w:rPr>
          <w:rFonts w:ascii="宋体" w:hAnsi="宋体"/>
          <w:sz w:val="18"/>
          <w:szCs w:val="18"/>
        </w:rPr>
      </w:pPr>
    </w:p>
    <w:p>
      <w:pPr>
        <w:widowControl/>
        <w:spacing w:line="360" w:lineRule="auto"/>
        <w:jc w:val="left"/>
        <w:rPr>
          <w:rFonts w:ascii="黑体" w:eastAsia="黑体"/>
          <w:kern w:val="0"/>
          <w:sz w:val="24"/>
          <w:szCs w:val="28"/>
        </w:rPr>
      </w:pPr>
      <w:r>
        <w:rPr>
          <w:rFonts w:hint="eastAsia" w:ascii="黑体" w:eastAsia="黑体"/>
          <w:kern w:val="0"/>
          <w:sz w:val="24"/>
          <w:szCs w:val="28"/>
        </w:rPr>
        <w:t xml:space="preserve">           投标人：（盖单位章）</w:t>
      </w:r>
    </w:p>
    <w:p>
      <w:pPr>
        <w:widowControl/>
        <w:spacing w:line="360" w:lineRule="auto"/>
        <w:jc w:val="center"/>
        <w:rPr>
          <w:rFonts w:ascii="黑体" w:eastAsia="黑体"/>
          <w:kern w:val="0"/>
          <w:sz w:val="24"/>
          <w:szCs w:val="28"/>
        </w:rPr>
      </w:pPr>
      <w:r>
        <w:rPr>
          <w:rFonts w:hint="eastAsia" w:ascii="黑体" w:eastAsia="黑体"/>
          <w:kern w:val="0"/>
          <w:sz w:val="24"/>
          <w:szCs w:val="28"/>
        </w:rPr>
        <w:t>法定代表人或其委托代理人：（签字或盖章）</w:t>
      </w:r>
    </w:p>
    <w:p>
      <w:pPr>
        <w:widowControl/>
        <w:spacing w:before="156" w:after="312" w:line="420" w:lineRule="atLeast"/>
        <w:jc w:val="center"/>
        <w:rPr>
          <w:rFonts w:ascii="黑体" w:eastAsia="黑体"/>
          <w:kern w:val="0"/>
          <w:sz w:val="28"/>
          <w:szCs w:val="28"/>
        </w:rPr>
      </w:pPr>
      <w:r>
        <w:rPr>
          <w:rFonts w:hint="eastAsia" w:ascii="黑体" w:eastAsia="黑体"/>
          <w:kern w:val="0"/>
          <w:sz w:val="24"/>
          <w:szCs w:val="28"/>
        </w:rPr>
        <w:t>年月日</w:t>
      </w:r>
    </w:p>
    <w:p>
      <w:pPr>
        <w:widowControl/>
        <w:rPr>
          <w:rFonts w:hAnsi="黑体"/>
          <w:szCs w:val="21"/>
        </w:rPr>
      </w:pPr>
      <w:r>
        <w:rPr>
          <w:kern w:val="0"/>
        </w:rPr>
        <w:br w:type="page"/>
      </w:r>
      <w:bookmarkStart w:id="527" w:name="_Toc300678566"/>
    </w:p>
    <w:p>
      <w:pPr>
        <w:pStyle w:val="3"/>
        <w:spacing w:before="0" w:after="0" w:line="240" w:lineRule="auto"/>
        <w:jc w:val="center"/>
        <w:rPr>
          <w:rFonts w:ascii="黑体" w:hAnsi="黑体" w:eastAsia="黑体"/>
          <w:b w:val="0"/>
          <w:bCs w:val="0"/>
          <w:sz w:val="36"/>
          <w:szCs w:val="36"/>
        </w:rPr>
      </w:pPr>
      <w:bookmarkStart w:id="528" w:name="_Toc484015136"/>
      <w:bookmarkStart w:id="529" w:name="_Toc18403"/>
      <w:bookmarkStart w:id="530" w:name="_Toc20654"/>
      <w:bookmarkStart w:id="531" w:name="_Toc8892"/>
      <w:bookmarkStart w:id="532" w:name="_Toc486318768"/>
      <w:bookmarkStart w:id="533" w:name="_Toc10641"/>
      <w:r>
        <w:rPr>
          <w:rFonts w:hint="eastAsia" w:ascii="黑体" w:hAnsi="黑体" w:eastAsia="黑体"/>
          <w:b w:val="0"/>
          <w:bCs w:val="0"/>
          <w:sz w:val="36"/>
          <w:szCs w:val="36"/>
        </w:rPr>
        <w:t>目    录</w:t>
      </w:r>
      <w:bookmarkEnd w:id="527"/>
      <w:bookmarkEnd w:id="528"/>
      <w:bookmarkEnd w:id="529"/>
      <w:bookmarkEnd w:id="530"/>
      <w:bookmarkEnd w:id="531"/>
      <w:bookmarkEnd w:id="532"/>
      <w:bookmarkEnd w:id="533"/>
    </w:p>
    <w:p>
      <w:pPr>
        <w:widowControl/>
        <w:rPr>
          <w:rFonts w:hAnsi="黑体"/>
          <w:szCs w:val="21"/>
        </w:rPr>
      </w:pPr>
    </w:p>
    <w:p>
      <w:pPr>
        <w:spacing w:line="276" w:lineRule="auto"/>
        <w:ind w:firstLine="420" w:firstLineChars="200"/>
        <w:rPr>
          <w:rFonts w:ascii="宋体" w:hAnsi="宋体"/>
        </w:rPr>
      </w:pPr>
      <w:r>
        <w:fldChar w:fldCharType="begin"/>
      </w:r>
      <w:r>
        <w:instrText xml:space="preserve"> HYPERLINK \l "_Toc300678567" </w:instrText>
      </w:r>
      <w:r>
        <w:fldChar w:fldCharType="separate"/>
      </w:r>
      <w:r>
        <w:rPr>
          <w:rStyle w:val="39"/>
          <w:rFonts w:hint="eastAsia" w:ascii="宋体" w:hAnsi="宋体"/>
          <w:color w:val="auto"/>
          <w:u w:val="none"/>
        </w:rPr>
        <w:t>一、投标函及投标函附录</w:t>
      </w:r>
      <w:r>
        <w:rPr>
          <w:rStyle w:val="39"/>
          <w:rFonts w:hint="eastAsia" w:ascii="宋体" w:hAnsi="宋体"/>
          <w:color w:val="auto"/>
          <w:u w:val="none"/>
        </w:rPr>
        <w:fldChar w:fldCharType="end"/>
      </w:r>
    </w:p>
    <w:p>
      <w:pPr>
        <w:spacing w:line="276" w:lineRule="auto"/>
        <w:ind w:firstLine="840" w:firstLineChars="400"/>
        <w:rPr>
          <w:rFonts w:ascii="宋体" w:hAnsi="宋体"/>
        </w:rPr>
      </w:pPr>
      <w:r>
        <w:fldChar w:fldCharType="begin"/>
      </w:r>
      <w:r>
        <w:instrText xml:space="preserve"> HYPERLINK \l "_Toc300678568" </w:instrText>
      </w:r>
      <w:r>
        <w:fldChar w:fldCharType="separate"/>
      </w:r>
      <w:r>
        <w:rPr>
          <w:rStyle w:val="39"/>
          <w:rFonts w:hint="eastAsia" w:ascii="宋体" w:hAnsi="宋体"/>
          <w:color w:val="auto"/>
          <w:u w:val="none"/>
        </w:rPr>
        <w:t>（一）投标函</w:t>
      </w:r>
      <w:r>
        <w:rPr>
          <w:rStyle w:val="39"/>
          <w:rFonts w:hint="eastAsia" w:ascii="宋体" w:hAnsi="宋体"/>
          <w:color w:val="auto"/>
          <w:u w:val="none"/>
        </w:rPr>
        <w:fldChar w:fldCharType="end"/>
      </w:r>
    </w:p>
    <w:p>
      <w:pPr>
        <w:spacing w:line="276" w:lineRule="auto"/>
        <w:ind w:firstLine="840" w:firstLineChars="400"/>
        <w:rPr>
          <w:rFonts w:ascii="宋体" w:hAnsi="宋体"/>
        </w:rPr>
      </w:pPr>
      <w:r>
        <w:fldChar w:fldCharType="begin"/>
      </w:r>
      <w:r>
        <w:instrText xml:space="preserve"> HYPERLINK \l "_Toc300678569" </w:instrText>
      </w:r>
      <w:r>
        <w:fldChar w:fldCharType="separate"/>
      </w:r>
      <w:r>
        <w:rPr>
          <w:rStyle w:val="39"/>
          <w:rFonts w:hint="eastAsia" w:ascii="宋体" w:hAnsi="宋体"/>
          <w:color w:val="auto"/>
          <w:u w:val="none"/>
        </w:rPr>
        <w:t>（二）投标函附录</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"_Toc300678570" </w:instrText>
      </w:r>
      <w:r>
        <w:fldChar w:fldCharType="separate"/>
      </w:r>
      <w:r>
        <w:rPr>
          <w:rStyle w:val="39"/>
          <w:rFonts w:hint="eastAsia" w:ascii="宋体" w:hAnsi="宋体"/>
          <w:color w:val="auto"/>
          <w:u w:val="none"/>
        </w:rPr>
        <w:t>二、法定代表人身份证明</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"_Toc300678571" </w:instrText>
      </w:r>
      <w:r>
        <w:fldChar w:fldCharType="separate"/>
      </w:r>
      <w:r>
        <w:rPr>
          <w:rStyle w:val="39"/>
          <w:rFonts w:hint="eastAsia" w:ascii="宋体" w:hAnsi="宋体"/>
          <w:color w:val="auto"/>
          <w:u w:val="none"/>
        </w:rPr>
        <w:t>二、授权委托书</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"_Toc300678572" </w:instrText>
      </w:r>
      <w:r>
        <w:fldChar w:fldCharType="separate"/>
      </w:r>
      <w:r>
        <w:rPr>
          <w:rStyle w:val="39"/>
          <w:rFonts w:hint="eastAsia" w:ascii="宋体" w:hAnsi="宋体"/>
          <w:color w:val="auto"/>
          <w:u w:val="none"/>
        </w:rPr>
        <w:t>三、联合体协议书</w:t>
      </w:r>
      <w:r>
        <w:rPr>
          <w:rStyle w:val="39"/>
          <w:rFonts w:hint="eastAsia" w:ascii="宋体" w:hAnsi="宋体"/>
          <w:color w:val="auto"/>
          <w:u w:val="none"/>
        </w:rPr>
        <w:fldChar w:fldCharType="end"/>
      </w:r>
      <w:r>
        <w:rPr>
          <w:rFonts w:hint="eastAsia" w:ascii="宋体" w:hAnsi="宋体"/>
        </w:rPr>
        <w:t>（如有）</w:t>
      </w:r>
    </w:p>
    <w:p>
      <w:pPr>
        <w:spacing w:line="276" w:lineRule="auto"/>
        <w:ind w:firstLine="420" w:firstLineChars="200"/>
        <w:rPr>
          <w:rFonts w:ascii="宋体" w:hAnsi="宋体"/>
        </w:rPr>
      </w:pPr>
      <w:r>
        <w:fldChar w:fldCharType="begin"/>
      </w:r>
      <w:r>
        <w:instrText xml:space="preserve"> HYPERLINK \l "_Toc300678573" </w:instrText>
      </w:r>
      <w:r>
        <w:fldChar w:fldCharType="separate"/>
      </w:r>
      <w:r>
        <w:rPr>
          <w:rStyle w:val="39"/>
          <w:rFonts w:hint="eastAsia" w:ascii="宋体" w:hAnsi="宋体"/>
          <w:color w:val="auto"/>
          <w:u w:val="none"/>
        </w:rPr>
        <w:t>四、投标保证金</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"_Toc300678574" </w:instrText>
      </w:r>
      <w:r>
        <w:fldChar w:fldCharType="separate"/>
      </w:r>
      <w:r>
        <w:rPr>
          <w:rStyle w:val="39"/>
          <w:rFonts w:hint="eastAsia" w:ascii="宋体" w:hAnsi="宋体"/>
          <w:color w:val="auto"/>
          <w:u w:val="none"/>
        </w:rPr>
        <w:t>五、项目管理机构</w:t>
      </w:r>
      <w:r>
        <w:rPr>
          <w:rStyle w:val="39"/>
          <w:rFonts w:hint="eastAsia" w:ascii="宋体" w:hAnsi="宋体"/>
          <w:color w:val="auto"/>
          <w:u w:val="none"/>
        </w:rPr>
        <w:fldChar w:fldCharType="end"/>
      </w:r>
    </w:p>
    <w:p>
      <w:pPr>
        <w:spacing w:line="276" w:lineRule="auto"/>
        <w:ind w:firstLine="840" w:firstLineChars="400"/>
        <w:rPr>
          <w:rFonts w:ascii="宋体" w:hAnsi="宋体"/>
        </w:rPr>
      </w:pPr>
      <w:r>
        <w:fldChar w:fldCharType="begin"/>
      </w:r>
      <w:r>
        <w:instrText xml:space="preserve"> HYPERLINK \l "_Toc300678575" </w:instrText>
      </w:r>
      <w:r>
        <w:fldChar w:fldCharType="separate"/>
      </w:r>
      <w:r>
        <w:rPr>
          <w:rStyle w:val="39"/>
          <w:rFonts w:hint="eastAsia" w:ascii="宋体" w:hAnsi="宋体"/>
          <w:color w:val="auto"/>
          <w:u w:val="none"/>
        </w:rPr>
        <w:t>（一）项目管理机构组成表</w:t>
      </w:r>
      <w:r>
        <w:rPr>
          <w:rStyle w:val="39"/>
          <w:rFonts w:hint="eastAsia" w:ascii="宋体" w:hAnsi="宋体"/>
          <w:color w:val="auto"/>
          <w:u w:val="none"/>
        </w:rPr>
        <w:fldChar w:fldCharType="end"/>
      </w:r>
    </w:p>
    <w:p>
      <w:pPr>
        <w:spacing w:line="276" w:lineRule="auto"/>
        <w:ind w:firstLine="840" w:firstLineChars="400"/>
        <w:rPr>
          <w:rFonts w:ascii="宋体" w:hAnsi="宋体"/>
        </w:rPr>
      </w:pPr>
      <w:r>
        <w:fldChar w:fldCharType="begin"/>
      </w:r>
      <w:r>
        <w:instrText xml:space="preserve"> HYPERLINK \l "_Toc300678576" </w:instrText>
      </w:r>
      <w:r>
        <w:fldChar w:fldCharType="separate"/>
      </w:r>
      <w:r>
        <w:rPr>
          <w:rStyle w:val="39"/>
          <w:rFonts w:hint="eastAsia" w:ascii="宋体" w:hAnsi="宋体"/>
          <w:color w:val="auto"/>
          <w:u w:val="none"/>
        </w:rPr>
        <w:t>（二）主要人员简历表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"_Toc300678577" </w:instrText>
      </w:r>
      <w:r>
        <w:fldChar w:fldCharType="separate"/>
      </w:r>
      <w:r>
        <w:rPr>
          <w:rStyle w:val="39"/>
          <w:rFonts w:hint="eastAsia" w:ascii="宋体" w:hAnsi="宋体"/>
          <w:color w:val="auto"/>
          <w:u w:val="none"/>
        </w:rPr>
        <w:t>附</w:t>
      </w:r>
      <w:r>
        <w:rPr>
          <w:rStyle w:val="39"/>
          <w:rFonts w:ascii="宋体" w:hAnsi="宋体"/>
          <w:color w:val="auto"/>
          <w:u w:val="none"/>
        </w:rPr>
        <w:t>1</w:t>
      </w:r>
      <w:r>
        <w:rPr>
          <w:rStyle w:val="39"/>
          <w:rFonts w:hint="eastAsia" w:ascii="宋体" w:hAnsi="宋体"/>
          <w:color w:val="auto"/>
          <w:u w:val="none"/>
        </w:rPr>
        <w:t>：项目经理简历表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"_Toc300678578" </w:instrText>
      </w:r>
      <w:r>
        <w:fldChar w:fldCharType="separate"/>
      </w:r>
      <w:r>
        <w:rPr>
          <w:rStyle w:val="39"/>
          <w:rFonts w:hint="eastAsia" w:ascii="宋体" w:hAnsi="宋体"/>
          <w:color w:val="auto"/>
          <w:u w:val="none"/>
        </w:rPr>
        <w:t>附</w:t>
      </w:r>
      <w:r>
        <w:rPr>
          <w:rStyle w:val="39"/>
          <w:rFonts w:ascii="宋体" w:hAnsi="宋体"/>
          <w:color w:val="auto"/>
          <w:u w:val="none"/>
        </w:rPr>
        <w:t>2</w:t>
      </w:r>
      <w:r>
        <w:rPr>
          <w:rStyle w:val="39"/>
          <w:rFonts w:hint="eastAsia" w:ascii="宋体" w:hAnsi="宋体"/>
          <w:color w:val="auto"/>
          <w:u w:val="none"/>
        </w:rPr>
        <w:t>：主要项目管理人员简历表</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"_Toc300678579" </w:instrText>
      </w:r>
      <w:r>
        <w:fldChar w:fldCharType="separate"/>
      </w:r>
      <w:r>
        <w:rPr>
          <w:rStyle w:val="39"/>
          <w:rFonts w:hint="eastAsia" w:ascii="宋体" w:hAnsi="宋体"/>
          <w:color w:val="auto"/>
          <w:u w:val="none"/>
        </w:rPr>
        <w:t>六、拟分包计划表</w:t>
      </w:r>
      <w:r>
        <w:rPr>
          <w:rStyle w:val="39"/>
          <w:rFonts w:hint="eastAsia" w:ascii="宋体" w:hAnsi="宋体"/>
          <w:color w:val="auto"/>
          <w:u w:val="none"/>
        </w:rPr>
        <w:fldChar w:fldCharType="end"/>
      </w:r>
      <w:r>
        <w:rPr>
          <w:rFonts w:hint="eastAsia" w:ascii="宋体" w:hAnsi="宋体"/>
        </w:rPr>
        <w:t>（如有）</w:t>
      </w:r>
    </w:p>
    <w:p>
      <w:pPr>
        <w:spacing w:line="276" w:lineRule="auto"/>
        <w:ind w:firstLine="420" w:firstLineChars="200"/>
        <w:rPr>
          <w:rFonts w:ascii="宋体" w:hAnsi="宋体"/>
        </w:rPr>
      </w:pPr>
      <w:r>
        <w:fldChar w:fldCharType="begin"/>
      </w:r>
      <w:r>
        <w:instrText xml:space="preserve"> HYPERLINK \l "_Toc300678580" </w:instrText>
      </w:r>
      <w:r>
        <w:fldChar w:fldCharType="separate"/>
      </w:r>
      <w:r>
        <w:rPr>
          <w:rStyle w:val="39"/>
          <w:rFonts w:hint="eastAsia" w:ascii="宋体" w:hAnsi="宋体"/>
          <w:color w:val="auto"/>
          <w:u w:val="none"/>
        </w:rPr>
        <w:t>七、资格审查资料</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"_Toc300678581" </w:instrText>
      </w:r>
      <w:r>
        <w:fldChar w:fldCharType="separate"/>
      </w:r>
      <w:r>
        <w:rPr>
          <w:rStyle w:val="39"/>
          <w:rFonts w:hint="eastAsia" w:ascii="宋体" w:hAnsi="宋体"/>
          <w:color w:val="auto"/>
          <w:u w:val="none"/>
        </w:rPr>
        <w:t>（</w:t>
      </w:r>
      <w:r>
        <w:rPr>
          <w:rStyle w:val="39"/>
          <w:rFonts w:ascii="宋体" w:hAnsi="宋体"/>
          <w:color w:val="auto"/>
          <w:u w:val="none"/>
        </w:rPr>
        <w:t>7.1</w:t>
      </w:r>
      <w:r>
        <w:rPr>
          <w:rStyle w:val="39"/>
          <w:rFonts w:hint="eastAsia" w:ascii="宋体" w:hAnsi="宋体"/>
          <w:color w:val="auto"/>
          <w:u w:val="none"/>
        </w:rPr>
        <w:t>）投标人基本情况表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"_Toc300678582" </w:instrText>
      </w:r>
      <w:r>
        <w:fldChar w:fldCharType="separate"/>
      </w:r>
      <w:r>
        <w:rPr>
          <w:rStyle w:val="39"/>
          <w:rFonts w:hint="eastAsia" w:ascii="宋体" w:hAnsi="宋体"/>
          <w:color w:val="auto"/>
          <w:u w:val="none"/>
        </w:rPr>
        <w:t>（</w:t>
      </w:r>
      <w:r>
        <w:rPr>
          <w:rStyle w:val="39"/>
          <w:rFonts w:ascii="宋体" w:hAnsi="宋体"/>
          <w:color w:val="auto"/>
          <w:u w:val="none"/>
        </w:rPr>
        <w:t>7.2</w:t>
      </w:r>
      <w:r>
        <w:rPr>
          <w:rStyle w:val="39"/>
          <w:rFonts w:hint="eastAsia" w:ascii="宋体" w:hAnsi="宋体"/>
          <w:color w:val="auto"/>
          <w:u w:val="none"/>
        </w:rPr>
        <w:t>）近年财务状况表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"_Toc300678583" </w:instrText>
      </w:r>
      <w:r>
        <w:fldChar w:fldCharType="separate"/>
      </w:r>
      <w:r>
        <w:rPr>
          <w:rStyle w:val="39"/>
          <w:rFonts w:hint="eastAsia" w:ascii="宋体" w:hAnsi="宋体"/>
          <w:color w:val="auto"/>
          <w:u w:val="none"/>
        </w:rPr>
        <w:t>（</w:t>
      </w:r>
      <w:r>
        <w:rPr>
          <w:rStyle w:val="39"/>
          <w:rFonts w:ascii="宋体" w:hAnsi="宋体"/>
          <w:color w:val="auto"/>
          <w:u w:val="none"/>
        </w:rPr>
        <w:t>7.3</w:t>
      </w:r>
      <w:r>
        <w:rPr>
          <w:rStyle w:val="39"/>
          <w:rFonts w:hint="eastAsia" w:ascii="宋体" w:hAnsi="宋体"/>
          <w:color w:val="auto"/>
          <w:u w:val="none"/>
        </w:rPr>
        <w:t>）近年完成的类似项目情况表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"_Toc300678584" </w:instrText>
      </w:r>
      <w:r>
        <w:fldChar w:fldCharType="separate"/>
      </w:r>
      <w:r>
        <w:rPr>
          <w:rStyle w:val="39"/>
          <w:rFonts w:hint="eastAsia" w:ascii="宋体" w:hAnsi="宋体"/>
          <w:color w:val="auto"/>
          <w:u w:val="none"/>
        </w:rPr>
        <w:t>（</w:t>
      </w:r>
      <w:r>
        <w:rPr>
          <w:rStyle w:val="39"/>
          <w:rFonts w:ascii="宋体" w:hAnsi="宋体"/>
          <w:color w:val="auto"/>
          <w:u w:val="none"/>
        </w:rPr>
        <w:t>7.4</w:t>
      </w:r>
      <w:r>
        <w:rPr>
          <w:rStyle w:val="39"/>
          <w:rFonts w:hint="eastAsia" w:ascii="宋体" w:hAnsi="宋体"/>
          <w:color w:val="auto"/>
          <w:u w:val="none"/>
        </w:rPr>
        <w:t>）正在施工的和新承接的项目情况表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"_Toc300678585" </w:instrText>
      </w:r>
      <w:r>
        <w:fldChar w:fldCharType="separate"/>
      </w:r>
      <w:r>
        <w:rPr>
          <w:rStyle w:val="39"/>
          <w:rFonts w:hint="eastAsia" w:ascii="宋体" w:hAnsi="宋体"/>
          <w:color w:val="auto"/>
          <w:u w:val="none"/>
        </w:rPr>
        <w:t>（</w:t>
      </w:r>
      <w:r>
        <w:rPr>
          <w:rStyle w:val="39"/>
          <w:rFonts w:ascii="宋体" w:hAnsi="宋体"/>
          <w:color w:val="auto"/>
          <w:u w:val="none"/>
        </w:rPr>
        <w:t>7.5</w:t>
      </w:r>
      <w:r>
        <w:rPr>
          <w:rStyle w:val="39"/>
          <w:rFonts w:hint="eastAsia" w:ascii="宋体" w:hAnsi="宋体"/>
          <w:color w:val="auto"/>
          <w:u w:val="none"/>
        </w:rPr>
        <w:t>）近年发生的诉讼和仲裁情况表</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"_Toc300678586" </w:instrText>
      </w:r>
      <w:r>
        <w:fldChar w:fldCharType="separate"/>
      </w:r>
      <w:r>
        <w:rPr>
          <w:rStyle w:val="39"/>
          <w:rFonts w:hint="eastAsia" w:ascii="宋体" w:hAnsi="宋体"/>
          <w:color w:val="auto"/>
          <w:u w:val="none"/>
        </w:rPr>
        <w:t>（</w:t>
      </w:r>
      <w:r>
        <w:rPr>
          <w:rStyle w:val="39"/>
          <w:rFonts w:ascii="宋体" w:hAnsi="宋体"/>
          <w:color w:val="auto"/>
          <w:u w:val="none"/>
        </w:rPr>
        <w:t>7.6</w:t>
      </w:r>
      <w:r>
        <w:rPr>
          <w:rStyle w:val="39"/>
          <w:rFonts w:hint="eastAsia" w:ascii="宋体" w:hAnsi="宋体"/>
          <w:color w:val="auto"/>
          <w:u w:val="none"/>
        </w:rPr>
        <w:t>）证件复印件</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"_Toc300678587" </w:instrText>
      </w:r>
      <w:r>
        <w:fldChar w:fldCharType="separate"/>
      </w:r>
      <w:r>
        <w:rPr>
          <w:rStyle w:val="39"/>
          <w:rFonts w:hint="eastAsia" w:ascii="宋体" w:hAnsi="宋体"/>
          <w:color w:val="auto"/>
          <w:u w:val="none"/>
        </w:rPr>
        <w:t>（</w:t>
      </w:r>
      <w:r>
        <w:rPr>
          <w:rStyle w:val="39"/>
          <w:rFonts w:ascii="宋体" w:hAnsi="宋体"/>
          <w:color w:val="auto"/>
          <w:u w:val="none"/>
        </w:rPr>
        <w:t>7.7</w:t>
      </w:r>
      <w:r>
        <w:rPr>
          <w:rStyle w:val="39"/>
          <w:rFonts w:hint="eastAsia" w:ascii="宋体" w:hAnsi="宋体"/>
          <w:color w:val="auto"/>
          <w:u w:val="none"/>
        </w:rPr>
        <w:t>）拟投入本工程的主要施工设备表</w:t>
      </w:r>
      <w:r>
        <w:rPr>
          <w:rStyle w:val="39"/>
          <w:rFonts w:hint="eastAsia" w:ascii="宋体" w:hAnsi="宋体"/>
          <w:color w:val="auto"/>
          <w:u w:val="none"/>
        </w:rPr>
        <w:fldChar w:fldCharType="end"/>
      </w:r>
    </w:p>
    <w:p>
      <w:pPr>
        <w:spacing w:line="276" w:lineRule="auto"/>
        <w:ind w:left="1470" w:leftChars="700"/>
        <w:rPr>
          <w:rFonts w:ascii="宋体" w:hAnsi="宋体"/>
        </w:rPr>
      </w:pPr>
      <w:r>
        <w:fldChar w:fldCharType="begin"/>
      </w:r>
      <w:r>
        <w:instrText xml:space="preserve"> HYPERLINK \l "_Toc300678588" </w:instrText>
      </w:r>
      <w:r>
        <w:fldChar w:fldCharType="separate"/>
      </w:r>
      <w:r>
        <w:rPr>
          <w:rStyle w:val="39"/>
          <w:rFonts w:hint="eastAsia" w:ascii="宋体" w:hAnsi="宋体"/>
          <w:color w:val="auto"/>
          <w:u w:val="none"/>
        </w:rPr>
        <w:t>（</w:t>
      </w:r>
      <w:r>
        <w:rPr>
          <w:rStyle w:val="39"/>
          <w:rFonts w:ascii="宋体" w:hAnsi="宋体"/>
          <w:color w:val="auto"/>
          <w:u w:val="none"/>
        </w:rPr>
        <w:t>7.8</w:t>
      </w:r>
      <w:r>
        <w:rPr>
          <w:rStyle w:val="39"/>
          <w:rFonts w:hint="eastAsia" w:ascii="宋体" w:hAnsi="宋体"/>
          <w:color w:val="auto"/>
          <w:u w:val="none"/>
        </w:rPr>
        <w:t>）企业通过安全认证情况、企业信用情况附有关证明文件复印件</w:t>
      </w:r>
      <w:r>
        <w:rPr>
          <w:rStyle w:val="39"/>
          <w:rFonts w:hint="eastAsia" w:ascii="宋体" w:hAnsi="宋体"/>
          <w:color w:val="auto"/>
          <w:u w:val="none"/>
        </w:rPr>
        <w:fldChar w:fldCharType="end"/>
      </w:r>
    </w:p>
    <w:p>
      <w:pPr>
        <w:spacing w:line="276" w:lineRule="auto"/>
        <w:ind w:left="1470" w:leftChars="700"/>
        <w:rPr>
          <w:rFonts w:ascii="宋体" w:hAnsi="宋体"/>
        </w:rPr>
      </w:pPr>
      <w:r>
        <w:fldChar w:fldCharType="begin"/>
      </w:r>
      <w:r>
        <w:instrText xml:space="preserve"> HYPERLINK \l "_Toc300678589" </w:instrText>
      </w:r>
      <w:r>
        <w:fldChar w:fldCharType="separate"/>
      </w:r>
      <w:r>
        <w:rPr>
          <w:rStyle w:val="39"/>
          <w:rFonts w:hint="eastAsia" w:ascii="宋体" w:hAnsi="宋体"/>
          <w:color w:val="auto"/>
          <w:u w:val="none"/>
        </w:rPr>
        <w:t>（</w:t>
      </w:r>
      <w:r>
        <w:rPr>
          <w:rStyle w:val="39"/>
          <w:rFonts w:ascii="宋体" w:hAnsi="宋体"/>
          <w:color w:val="auto"/>
          <w:u w:val="none"/>
        </w:rPr>
        <w:t>7.9</w:t>
      </w:r>
      <w:r>
        <w:rPr>
          <w:rStyle w:val="39"/>
          <w:rFonts w:hint="eastAsia" w:ascii="宋体" w:hAnsi="宋体"/>
          <w:color w:val="auto"/>
          <w:u w:val="none"/>
        </w:rPr>
        <w:t>）企业及拟任项目负责人所承担工程近</w:t>
      </w:r>
      <w:r>
        <w:rPr>
          <w:rStyle w:val="39"/>
          <w:rFonts w:ascii="宋体" w:hAnsi="宋体"/>
          <w:color w:val="auto"/>
          <w:u w:val="none"/>
        </w:rPr>
        <w:t>3</w:t>
      </w:r>
      <w:r>
        <w:rPr>
          <w:rStyle w:val="39"/>
          <w:rFonts w:hint="eastAsia" w:ascii="宋体" w:hAnsi="宋体"/>
          <w:color w:val="auto"/>
          <w:u w:val="none"/>
        </w:rPr>
        <w:t>年获奖情况</w:t>
      </w:r>
      <w:r>
        <w:rPr>
          <w:rStyle w:val="39"/>
          <w:rFonts w:hint="eastAsia" w:ascii="宋体" w:hAnsi="宋体"/>
          <w:color w:val="auto"/>
          <w:u w:val="none"/>
        </w:rPr>
        <w:fldChar w:fldCharType="end"/>
      </w:r>
    </w:p>
    <w:p>
      <w:pPr>
        <w:spacing w:line="276" w:lineRule="auto"/>
        <w:ind w:firstLine="1470" w:firstLineChars="700"/>
        <w:rPr>
          <w:rFonts w:ascii="宋体" w:hAnsi="宋体"/>
        </w:rPr>
      </w:pPr>
      <w:r>
        <w:fldChar w:fldCharType="begin"/>
      </w:r>
      <w:r>
        <w:instrText xml:space="preserve"> HYPERLINK \l "_Toc300678590" </w:instrText>
      </w:r>
      <w:r>
        <w:fldChar w:fldCharType="separate"/>
      </w:r>
      <w:r>
        <w:rPr>
          <w:rStyle w:val="39"/>
          <w:rFonts w:hint="eastAsia" w:ascii="宋体" w:hAnsi="宋体"/>
          <w:color w:val="auto"/>
          <w:u w:val="none"/>
        </w:rPr>
        <w:t>（</w:t>
      </w:r>
      <w:r>
        <w:rPr>
          <w:rStyle w:val="39"/>
          <w:rFonts w:ascii="宋体" w:hAnsi="宋体"/>
          <w:color w:val="auto"/>
          <w:u w:val="none"/>
        </w:rPr>
        <w:t>7.10</w:t>
      </w:r>
      <w:r>
        <w:rPr>
          <w:rStyle w:val="39"/>
          <w:rFonts w:hint="eastAsia" w:ascii="宋体" w:hAnsi="宋体"/>
          <w:color w:val="auto"/>
          <w:u w:val="none"/>
        </w:rPr>
        <w:t>）企业及拟任项目负责人的不良行为记录发生情况</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"_Toc300678591" </w:instrText>
      </w:r>
      <w:r>
        <w:fldChar w:fldCharType="separate"/>
      </w:r>
      <w:r>
        <w:rPr>
          <w:rStyle w:val="39"/>
          <w:rFonts w:hint="eastAsia" w:ascii="宋体" w:hAnsi="宋体"/>
          <w:color w:val="auto"/>
          <w:u w:val="none"/>
        </w:rPr>
        <w:t>八、其他</w:t>
      </w:r>
      <w:r>
        <w:rPr>
          <w:rStyle w:val="39"/>
          <w:rFonts w:hint="eastAsia" w:ascii="宋体" w:hAnsi="宋体"/>
          <w:color w:val="auto"/>
          <w:u w:val="none"/>
        </w:rPr>
        <w:fldChar w:fldCharType="end"/>
      </w:r>
    </w:p>
    <w:p>
      <w:pPr>
        <w:spacing w:line="276" w:lineRule="auto"/>
        <w:ind w:firstLine="420" w:firstLineChars="200"/>
        <w:rPr>
          <w:rFonts w:ascii="宋体" w:hAnsi="宋体"/>
        </w:rPr>
      </w:pPr>
      <w:r>
        <w:fldChar w:fldCharType="begin"/>
      </w:r>
      <w:r>
        <w:instrText xml:space="preserve"> HYPERLINK \l "_Toc300678592" </w:instrText>
      </w:r>
      <w:r>
        <w:fldChar w:fldCharType="separate"/>
      </w:r>
      <w:r>
        <w:rPr>
          <w:rStyle w:val="39"/>
          <w:rFonts w:hint="eastAsia" w:ascii="宋体" w:hAnsi="宋体"/>
          <w:color w:val="auto"/>
          <w:u w:val="none"/>
        </w:rPr>
        <w:t>九、承诺书</w:t>
      </w:r>
      <w:r>
        <w:rPr>
          <w:rStyle w:val="39"/>
          <w:rFonts w:hint="eastAsia" w:ascii="宋体" w:hAnsi="宋体"/>
          <w:color w:val="auto"/>
          <w:u w:val="none"/>
        </w:rPr>
        <w:fldChar w:fldCharType="end"/>
      </w:r>
    </w:p>
    <w:p>
      <w:pPr>
        <w:spacing w:line="400" w:lineRule="exact"/>
        <w:rPr>
          <w:rFonts w:ascii="宋体" w:hAnsi="宋体"/>
        </w:rPr>
      </w:pPr>
    </w:p>
    <w:p>
      <w:pPr>
        <w:spacing w:line="312" w:lineRule="auto"/>
        <w:rPr>
          <w:rFonts w:ascii="宋体" w:hAnsi="宋体"/>
          <w:sz w:val="18"/>
          <w:szCs w:val="18"/>
        </w:rPr>
      </w:pPr>
      <w:r>
        <w:rPr>
          <w:rFonts w:hint="eastAsia" w:ascii="宋体" w:hAnsi="宋体"/>
          <w:sz w:val="18"/>
          <w:szCs w:val="18"/>
        </w:rPr>
        <w:t>说明：</w:t>
      </w:r>
    </w:p>
    <w:p>
      <w:pPr>
        <w:spacing w:line="312" w:lineRule="auto"/>
        <w:rPr>
          <w:rFonts w:ascii="宋体" w:hAnsi="宋体"/>
          <w:sz w:val="18"/>
          <w:szCs w:val="18"/>
        </w:rPr>
      </w:pPr>
      <w:r>
        <w:rPr>
          <w:rFonts w:hint="eastAsia" w:ascii="宋体" w:hAnsi="宋体"/>
          <w:sz w:val="18"/>
          <w:szCs w:val="18"/>
        </w:rPr>
        <w:t xml:space="preserve">    1.实行开标前资格审查的，且评标办法采用综合评估</w:t>
      </w:r>
      <w:r>
        <w:rPr>
          <w:rFonts w:hint="eastAsia" w:ascii="宋体" w:hAnsi="宋体"/>
          <w:kern w:val="0"/>
          <w:sz w:val="18"/>
          <w:szCs w:val="18"/>
        </w:rPr>
        <w:t>法Ⅰ、Ⅱ的，</w:t>
      </w:r>
      <w:r>
        <w:rPr>
          <w:rFonts w:hint="eastAsia" w:ascii="宋体" w:hAnsi="宋体"/>
          <w:sz w:val="18"/>
          <w:szCs w:val="18"/>
        </w:rPr>
        <w:t>以上第7.1项、第7.2项、第7.4项、第7.5项可不提供。</w:t>
      </w:r>
    </w:p>
    <w:p>
      <w:pPr>
        <w:spacing w:line="312" w:lineRule="auto"/>
        <w:ind w:firstLine="360"/>
        <w:rPr>
          <w:rFonts w:ascii="宋体" w:hAnsi="宋体"/>
          <w:sz w:val="18"/>
          <w:szCs w:val="18"/>
        </w:rPr>
      </w:pPr>
      <w:r>
        <w:rPr>
          <w:rFonts w:hint="eastAsia" w:ascii="宋体" w:hAnsi="宋体"/>
          <w:sz w:val="18"/>
          <w:szCs w:val="18"/>
        </w:rPr>
        <w:t>2.实行开标前资格审查的，且评标办法采用</w:t>
      </w:r>
      <w:r>
        <w:rPr>
          <w:rFonts w:hint="eastAsia" w:ascii="宋体" w:hAnsi="宋体"/>
          <w:kern w:val="0"/>
          <w:sz w:val="18"/>
          <w:szCs w:val="18"/>
        </w:rPr>
        <w:t>评标办法采用经评审的最低投标价法、合理定价评审抽取法、最低投标价法的，</w:t>
      </w:r>
      <w:r>
        <w:rPr>
          <w:rFonts w:hint="eastAsia" w:ascii="宋体" w:hAnsi="宋体"/>
          <w:sz w:val="18"/>
          <w:szCs w:val="18"/>
        </w:rPr>
        <w:t>以上第7.1项至第7.5项、第7.8项至第7.10项可不提供。</w:t>
      </w:r>
    </w:p>
    <w:p>
      <w:pPr>
        <w:spacing w:line="312" w:lineRule="auto"/>
        <w:ind w:firstLine="360"/>
        <w:rPr>
          <w:rFonts w:ascii="宋体" w:hAnsi="宋体"/>
          <w:sz w:val="18"/>
          <w:szCs w:val="18"/>
        </w:rPr>
      </w:pPr>
      <w:r>
        <w:rPr>
          <w:rFonts w:hint="eastAsia" w:ascii="宋体" w:hAnsi="宋体"/>
          <w:sz w:val="18"/>
          <w:szCs w:val="18"/>
        </w:rPr>
        <w:t>3.实行开标后资格审查的，且评标办法采用</w:t>
      </w:r>
      <w:r>
        <w:rPr>
          <w:rFonts w:hint="eastAsia" w:ascii="宋体" w:hAnsi="宋体"/>
          <w:kern w:val="0"/>
          <w:sz w:val="18"/>
          <w:szCs w:val="18"/>
        </w:rPr>
        <w:t>评标办法采用经评审的最低投标价法、合理定价评审抽取法、最低投标价法的，</w:t>
      </w:r>
      <w:r>
        <w:rPr>
          <w:rFonts w:hint="eastAsia" w:ascii="宋体" w:hAnsi="宋体"/>
          <w:sz w:val="18"/>
          <w:szCs w:val="18"/>
        </w:rPr>
        <w:t>以上第7.2项至第7.5项、第7.8项至第7.10项可不提供。</w:t>
      </w:r>
    </w:p>
    <w:p>
      <w:pPr>
        <w:spacing w:line="312" w:lineRule="auto"/>
        <w:ind w:firstLine="360"/>
        <w:rPr>
          <w:rFonts w:ascii="宋体" w:hAnsi="宋体"/>
          <w:sz w:val="18"/>
          <w:szCs w:val="18"/>
        </w:rPr>
      </w:pPr>
    </w:p>
    <w:p>
      <w:pPr>
        <w:spacing w:line="276" w:lineRule="auto"/>
        <w:rPr>
          <w:rStyle w:val="39"/>
          <w:rFonts w:ascii="宋体" w:hAnsi="宋体"/>
          <w:color w:val="auto"/>
          <w:u w:val="none"/>
        </w:rPr>
      </w:pPr>
      <w:bookmarkStart w:id="534" w:name="_Toc300678567"/>
      <w:r>
        <w:rPr>
          <w:rStyle w:val="39"/>
          <w:rFonts w:ascii="宋体" w:hAnsi="宋体"/>
          <w:color w:val="auto"/>
          <w:u w:val="none"/>
        </w:rPr>
        <w:br w:type="page"/>
      </w:r>
    </w:p>
    <w:p>
      <w:pPr>
        <w:pStyle w:val="3"/>
        <w:spacing w:before="0" w:after="0" w:line="360" w:lineRule="auto"/>
        <w:jc w:val="center"/>
        <w:rPr>
          <w:rFonts w:ascii="黑体" w:hAnsi="黑体" w:eastAsia="黑体"/>
          <w:b w:val="0"/>
          <w:bCs w:val="0"/>
          <w:sz w:val="30"/>
        </w:rPr>
      </w:pPr>
      <w:bookmarkStart w:id="535" w:name="_Toc19028"/>
      <w:bookmarkStart w:id="536" w:name="_Toc484015137"/>
      <w:bookmarkStart w:id="537" w:name="_Toc21601"/>
      <w:bookmarkStart w:id="538" w:name="_Toc486318769"/>
      <w:bookmarkStart w:id="539" w:name="_Toc16644"/>
      <w:bookmarkStart w:id="540" w:name="_Toc30155"/>
      <w:r>
        <w:rPr>
          <w:rFonts w:hint="eastAsia" w:ascii="黑体" w:hAnsi="黑体" w:eastAsia="黑体"/>
          <w:b w:val="0"/>
          <w:bCs w:val="0"/>
          <w:sz w:val="30"/>
        </w:rPr>
        <w:t>一、投标函及投标函附录</w:t>
      </w:r>
      <w:bookmarkEnd w:id="534"/>
      <w:bookmarkEnd w:id="535"/>
      <w:bookmarkEnd w:id="536"/>
      <w:bookmarkEnd w:id="537"/>
      <w:bookmarkEnd w:id="538"/>
      <w:bookmarkEnd w:id="539"/>
      <w:bookmarkEnd w:id="540"/>
      <w:bookmarkStart w:id="541" w:name="_Toc300678568"/>
    </w:p>
    <w:p>
      <w:pPr>
        <w:pStyle w:val="6"/>
        <w:spacing w:line="288" w:lineRule="auto"/>
        <w:jc w:val="center"/>
        <w:rPr>
          <w:rFonts w:ascii="黑体" w:hAnsi="黑体" w:eastAsia="黑体"/>
          <w:b w:val="0"/>
          <w:bCs w:val="0"/>
          <w:sz w:val="24"/>
        </w:rPr>
      </w:pPr>
      <w:r>
        <w:rPr>
          <w:rFonts w:hint="eastAsia" w:ascii="黑体" w:hAnsi="黑体" w:eastAsia="黑体"/>
          <w:b w:val="0"/>
          <w:bCs w:val="0"/>
          <w:sz w:val="24"/>
        </w:rPr>
        <w:t>（一）投  标  函</w:t>
      </w:r>
    </w:p>
    <w:p>
      <w:pPr/>
    </w:p>
    <w:p>
      <w:pPr>
        <w:spacing w:line="360" w:lineRule="auto"/>
        <w:rPr>
          <w:rFonts w:ascii="宋体" w:hAnsi="宋体"/>
          <w:szCs w:val="21"/>
        </w:rPr>
      </w:pPr>
      <w:r>
        <w:rPr>
          <w:rFonts w:hint="eastAsia" w:ascii="宋体" w:hAnsi="宋体"/>
          <w:szCs w:val="21"/>
        </w:rPr>
        <w:t>致：（招标人名称）</w:t>
      </w:r>
    </w:p>
    <w:p>
      <w:pPr>
        <w:spacing w:line="360" w:lineRule="auto"/>
        <w:ind w:firstLine="420" w:firstLineChars="200"/>
        <w:rPr>
          <w:rFonts w:ascii="宋体" w:hAnsi="宋体"/>
          <w:szCs w:val="21"/>
        </w:rPr>
      </w:pPr>
      <w:r>
        <w:rPr>
          <w:rFonts w:hint="eastAsia" w:ascii="宋体" w:hAnsi="宋体"/>
          <w:szCs w:val="21"/>
        </w:rPr>
        <w:t>在考察现场并充分研究（项目名称）标段（以下简称“本工程”）施工招标文件的全部内容后，我方兹以：</w:t>
      </w:r>
    </w:p>
    <w:p>
      <w:pPr>
        <w:spacing w:line="360" w:lineRule="auto"/>
        <w:ind w:firstLine="1050" w:firstLineChars="500"/>
        <w:rPr>
          <w:rFonts w:ascii="宋体"/>
          <w:szCs w:val="21"/>
        </w:rPr>
      </w:pPr>
      <w:r>
        <w:rPr>
          <w:rFonts w:hint="eastAsia" w:ascii="宋体" w:hAnsi="宋体"/>
          <w:szCs w:val="21"/>
        </w:rPr>
        <w:t>人民币（大写）：  元</w:t>
      </w:r>
    </w:p>
    <w:p>
      <w:pPr>
        <w:spacing w:line="360" w:lineRule="auto"/>
        <w:ind w:firstLine="1050" w:firstLineChars="500"/>
        <w:rPr>
          <w:rFonts w:ascii="宋体"/>
          <w:szCs w:val="21"/>
        </w:rPr>
      </w:pPr>
      <w:r>
        <w:rPr>
          <w:rFonts w:ascii="宋体" w:hAnsi="宋体"/>
          <w:szCs w:val="21"/>
        </w:rPr>
        <w:t>RMB</w:t>
      </w:r>
      <w:r>
        <w:rPr>
          <w:rFonts w:hint="eastAsia" w:ascii="宋体" w:hAnsi="宋体"/>
          <w:szCs w:val="21"/>
        </w:rPr>
        <w:t>￥：  元</w:t>
      </w:r>
    </w:p>
    <w:p>
      <w:pPr>
        <w:spacing w:line="360" w:lineRule="auto"/>
        <w:rPr>
          <w:rFonts w:ascii="宋体"/>
          <w:szCs w:val="21"/>
        </w:rPr>
      </w:pPr>
      <w:r>
        <w:rPr>
          <w:rFonts w:hint="eastAsia" w:ascii="宋体" w:hAnsi="宋体"/>
          <w:szCs w:val="21"/>
        </w:rPr>
        <w:t>的投标价格和按合同约定有权得到的其它金额，并严格按照合同约定，施工、竣工和交付本工程并维修其中的任何缺陷。</w:t>
      </w:r>
    </w:p>
    <w:p>
      <w:pPr>
        <w:spacing w:line="360" w:lineRule="auto"/>
        <w:ind w:firstLine="420" w:firstLineChars="200"/>
        <w:rPr>
          <w:rFonts w:ascii="宋体"/>
          <w:szCs w:val="21"/>
        </w:rPr>
      </w:pPr>
      <w:r>
        <w:rPr>
          <w:rFonts w:hint="eastAsia" w:ascii="宋体" w:hAnsi="宋体"/>
          <w:szCs w:val="21"/>
        </w:rPr>
        <w:t>在我方的上述投标报价中，包括：</w:t>
      </w:r>
    </w:p>
    <w:p>
      <w:pPr>
        <w:spacing w:line="360" w:lineRule="auto"/>
        <w:ind w:firstLine="1050" w:firstLineChars="500"/>
      </w:pPr>
      <w:r>
        <w:rPr>
          <w:rFonts w:hint="eastAsia"/>
        </w:rPr>
        <w:t>直接费用：</w:t>
      </w:r>
      <w:r>
        <w:rPr>
          <w:rFonts w:ascii="宋体" w:hAnsi="宋体"/>
          <w:szCs w:val="21"/>
        </w:rPr>
        <w:t>RMB</w:t>
      </w:r>
      <w:r>
        <w:rPr>
          <w:rFonts w:hint="eastAsia" w:ascii="宋体" w:hAnsi="宋体"/>
          <w:szCs w:val="21"/>
        </w:rPr>
        <w:t>￥：  元</w:t>
      </w:r>
    </w:p>
    <w:p>
      <w:pPr>
        <w:spacing w:line="360" w:lineRule="auto"/>
        <w:ind w:firstLine="1050" w:firstLineChars="500"/>
        <w:rPr>
          <w:rFonts w:ascii="宋体"/>
          <w:szCs w:val="21"/>
        </w:rPr>
      </w:pPr>
      <w:r>
        <w:rPr>
          <w:rFonts w:hint="eastAsia" w:cs="Arial"/>
        </w:rPr>
        <w:t>费用和利润：</w:t>
      </w:r>
      <w:r>
        <w:rPr>
          <w:rFonts w:ascii="宋体" w:hAnsi="宋体"/>
          <w:szCs w:val="21"/>
        </w:rPr>
        <w:t>RMB</w:t>
      </w:r>
      <w:r>
        <w:rPr>
          <w:rFonts w:hint="eastAsia" w:ascii="宋体" w:hAnsi="宋体"/>
          <w:szCs w:val="21"/>
        </w:rPr>
        <w:t>￥： 元</w:t>
      </w:r>
    </w:p>
    <w:p>
      <w:pPr>
        <w:spacing w:line="360" w:lineRule="auto"/>
        <w:ind w:firstLine="1050" w:firstLineChars="500"/>
        <w:rPr>
          <w:rFonts w:ascii="宋体" w:hAnsi="宋体"/>
        </w:rPr>
      </w:pPr>
      <w:r>
        <w:rPr>
          <w:rFonts w:hint="eastAsia" w:ascii="宋体" w:hAnsi="宋体"/>
          <w:szCs w:val="21"/>
        </w:rPr>
        <w:t>其中：安全文明费</w:t>
      </w:r>
      <w:r>
        <w:rPr>
          <w:rFonts w:ascii="宋体" w:hAnsi="宋体"/>
          <w:szCs w:val="21"/>
        </w:rPr>
        <w:t>RMB</w:t>
      </w:r>
      <w:r>
        <w:rPr>
          <w:rFonts w:hint="eastAsia" w:ascii="宋体" w:hAnsi="宋体"/>
          <w:szCs w:val="21"/>
        </w:rPr>
        <w:t>￥： 元</w:t>
      </w:r>
      <w:r>
        <w:rPr>
          <w:rFonts w:hint="eastAsia" w:ascii="宋体" w:hAnsi="宋体"/>
        </w:rPr>
        <w:t>，</w:t>
      </w:r>
    </w:p>
    <w:p>
      <w:pPr>
        <w:spacing w:line="360" w:lineRule="auto"/>
        <w:ind w:firstLine="1050" w:firstLineChars="500"/>
        <w:rPr>
          <w:rFonts w:ascii="宋体"/>
        </w:rPr>
      </w:pPr>
      <w:r>
        <w:rPr>
          <w:rFonts w:hint="eastAsia" w:ascii="宋体" w:hAnsi="宋体"/>
        </w:rPr>
        <w:t>规费：</w:t>
      </w:r>
      <w:r>
        <w:rPr>
          <w:rFonts w:ascii="宋体" w:hAnsi="宋体"/>
          <w:szCs w:val="21"/>
        </w:rPr>
        <w:t>RMB</w:t>
      </w:r>
      <w:r>
        <w:rPr>
          <w:rFonts w:hint="eastAsia" w:ascii="宋体" w:hAnsi="宋体"/>
          <w:szCs w:val="21"/>
        </w:rPr>
        <w:t>￥：</w:t>
      </w:r>
      <w:r>
        <w:rPr>
          <w:rFonts w:hint="eastAsia" w:ascii="宋体" w:hAnsi="宋体"/>
        </w:rPr>
        <w:t>元，其中社会保险费：</w:t>
      </w:r>
      <w:r>
        <w:rPr>
          <w:rFonts w:ascii="宋体" w:hAnsi="宋体"/>
          <w:szCs w:val="21"/>
        </w:rPr>
        <w:t>RMB</w:t>
      </w:r>
      <w:r>
        <w:rPr>
          <w:rFonts w:hint="eastAsia" w:ascii="宋体" w:hAnsi="宋体"/>
          <w:szCs w:val="21"/>
        </w:rPr>
        <w:t>￥：</w:t>
      </w:r>
      <w:r>
        <w:rPr>
          <w:rFonts w:hint="eastAsia" w:ascii="宋体" w:hAnsi="宋体"/>
        </w:rPr>
        <w:t>元</w:t>
      </w:r>
    </w:p>
    <w:p>
      <w:pPr>
        <w:snapToGrid w:val="0"/>
        <w:spacing w:line="360" w:lineRule="auto"/>
        <w:ind w:firstLine="420" w:firstLineChars="200"/>
        <w:jc w:val="left"/>
        <w:rPr>
          <w:rFonts w:ascii="宋体"/>
          <w:szCs w:val="21"/>
        </w:rPr>
      </w:pPr>
      <w:r>
        <w:rPr>
          <w:rFonts w:hint="eastAsia" w:ascii="宋体" w:hAnsi="宋体"/>
        </w:rPr>
        <w:t>建安费用：</w:t>
      </w:r>
      <w:r>
        <w:rPr>
          <w:rFonts w:hint="eastAsia" w:ascii="宋体" w:hAnsi="宋体"/>
          <w:szCs w:val="21"/>
        </w:rPr>
        <w:t xml:space="preserve"> 元</w:t>
      </w:r>
      <w:r>
        <w:rPr>
          <w:rFonts w:hint="eastAsia" w:ascii="宋体" w:hAnsi="宋体"/>
        </w:rPr>
        <w:t>，</w:t>
      </w:r>
    </w:p>
    <w:p>
      <w:pPr>
        <w:snapToGrid w:val="0"/>
        <w:spacing w:line="360" w:lineRule="auto"/>
        <w:ind w:firstLine="420" w:firstLineChars="200"/>
        <w:jc w:val="left"/>
        <w:rPr>
          <w:rFonts w:ascii="宋体"/>
        </w:rPr>
      </w:pPr>
      <w:r>
        <w:rPr>
          <w:rFonts w:hint="eastAsia" w:ascii="宋体" w:hAnsi="宋体"/>
        </w:rPr>
        <w:t>销项税额</w:t>
      </w:r>
      <w:r>
        <w:rPr>
          <w:rFonts w:ascii="宋体" w:hAnsi="宋体"/>
        </w:rPr>
        <w:t>(</w:t>
      </w:r>
      <w:r>
        <w:rPr>
          <w:rFonts w:hint="eastAsia" w:ascii="宋体" w:hAnsi="宋体"/>
        </w:rPr>
        <w:t>应纳税额</w:t>
      </w:r>
      <w:r>
        <w:rPr>
          <w:rFonts w:ascii="宋体" w:hAnsi="宋体"/>
        </w:rPr>
        <w:t>)</w:t>
      </w:r>
      <w:r>
        <w:rPr>
          <w:rFonts w:hint="eastAsia" w:ascii="宋体" w:hAnsi="宋体"/>
          <w:szCs w:val="21"/>
        </w:rPr>
        <w:t>￥：</w:t>
      </w:r>
      <w:r>
        <w:rPr>
          <w:rFonts w:hint="eastAsia" w:ascii="宋体" w:hAnsi="宋体"/>
        </w:rPr>
        <w:t>元；</w:t>
      </w:r>
    </w:p>
    <w:p>
      <w:pPr>
        <w:snapToGrid w:val="0"/>
        <w:spacing w:line="360" w:lineRule="auto"/>
        <w:ind w:firstLine="420" w:firstLineChars="200"/>
        <w:jc w:val="left"/>
        <w:rPr>
          <w:rFonts w:ascii="宋体"/>
        </w:rPr>
      </w:pPr>
      <w:r>
        <w:rPr>
          <w:rFonts w:hint="eastAsia" w:ascii="宋体" w:hAnsi="宋体"/>
        </w:rPr>
        <w:t>附加税额</w:t>
      </w:r>
      <w:r>
        <w:rPr>
          <w:rFonts w:hint="eastAsia" w:ascii="宋体" w:hAnsi="宋体"/>
          <w:szCs w:val="21"/>
        </w:rPr>
        <w:t>￥：</w:t>
      </w:r>
      <w:r>
        <w:rPr>
          <w:rFonts w:hint="eastAsia" w:ascii="宋体" w:hAnsi="宋体"/>
        </w:rPr>
        <w:t>元；</w:t>
      </w:r>
    </w:p>
    <w:p>
      <w:pPr>
        <w:spacing w:line="360" w:lineRule="auto"/>
        <w:ind w:firstLine="1050" w:firstLineChars="500"/>
        <w:rPr>
          <w:rFonts w:ascii="宋体"/>
          <w:szCs w:val="21"/>
        </w:rPr>
      </w:pPr>
      <w:r>
        <w:rPr>
          <w:rFonts w:hint="eastAsia" w:cs="Arial"/>
        </w:rPr>
        <w:t>其他项目费：</w:t>
      </w:r>
      <w:r>
        <w:rPr>
          <w:rFonts w:ascii="宋体" w:hAnsi="宋体"/>
          <w:szCs w:val="21"/>
        </w:rPr>
        <w:t>RMB</w:t>
      </w:r>
      <w:r>
        <w:rPr>
          <w:rFonts w:hint="eastAsia" w:ascii="宋体" w:hAnsi="宋体"/>
          <w:szCs w:val="21"/>
        </w:rPr>
        <w:t>￥： 元</w:t>
      </w:r>
    </w:p>
    <w:p>
      <w:pPr>
        <w:snapToGrid w:val="0"/>
        <w:spacing w:line="360" w:lineRule="auto"/>
        <w:ind w:firstLine="420" w:firstLineChars="200"/>
        <w:jc w:val="left"/>
        <w:rPr>
          <w:rFonts w:ascii="宋体"/>
        </w:rPr>
      </w:pPr>
      <w:r>
        <w:rPr>
          <w:rFonts w:hint="eastAsia" w:ascii="宋体" w:hAnsi="宋体"/>
        </w:rPr>
        <w:t>（其中专业工程暂估价：</w:t>
      </w:r>
      <w:r>
        <w:rPr>
          <w:rFonts w:hint="eastAsia" w:ascii="宋体" w:hAnsi="宋体"/>
          <w:szCs w:val="21"/>
        </w:rPr>
        <w:t xml:space="preserve"> 元</w:t>
      </w:r>
    </w:p>
    <w:p>
      <w:pPr>
        <w:snapToGrid w:val="0"/>
        <w:spacing w:line="360" w:lineRule="auto"/>
        <w:ind w:firstLine="420" w:firstLineChars="200"/>
        <w:jc w:val="left"/>
        <w:rPr>
          <w:rFonts w:ascii="宋体" w:hAnsi="宋体"/>
          <w:szCs w:val="21"/>
        </w:rPr>
      </w:pPr>
      <w:r>
        <w:rPr>
          <w:rFonts w:hint="eastAsia" w:ascii="宋体" w:hAnsi="宋体"/>
        </w:rPr>
        <w:t>暂列金额：</w:t>
      </w:r>
      <w:r>
        <w:rPr>
          <w:rFonts w:hint="eastAsia" w:ascii="宋体" w:hAnsi="宋体"/>
          <w:szCs w:val="21"/>
        </w:rPr>
        <w:t xml:space="preserve"> 元</w:t>
      </w:r>
    </w:p>
    <w:p>
      <w:pPr>
        <w:snapToGrid w:val="0"/>
        <w:spacing w:line="360" w:lineRule="auto"/>
        <w:ind w:firstLine="420" w:firstLineChars="200"/>
        <w:jc w:val="left"/>
        <w:rPr>
          <w:rFonts w:ascii="宋体"/>
        </w:rPr>
      </w:pPr>
      <w:r>
        <w:rPr>
          <w:rFonts w:ascii="宋体" w:hAnsi="宋体"/>
          <w:u w:val="single"/>
        </w:rPr>
        <w:t>BIM</w:t>
      </w:r>
      <w:r>
        <w:rPr>
          <w:rFonts w:hint="eastAsia" w:ascii="宋体" w:hAnsi="宋体"/>
          <w:u w:val="single"/>
        </w:rPr>
        <w:t>专项费用：</w:t>
      </w:r>
      <w:r>
        <w:rPr>
          <w:rFonts w:hint="eastAsia" w:ascii="宋体" w:hAnsi="宋体"/>
          <w:szCs w:val="21"/>
        </w:rPr>
        <w:t>元</w:t>
      </w:r>
      <w:r>
        <w:rPr>
          <w:rFonts w:hint="eastAsia" w:ascii="宋体" w:hAnsi="宋体"/>
        </w:rPr>
        <w:t>）</w:t>
      </w:r>
    </w:p>
    <w:p>
      <w:pPr>
        <w:spacing w:line="360" w:lineRule="auto"/>
        <w:ind w:firstLine="420" w:firstLineChars="200"/>
        <w:rPr>
          <w:rFonts w:ascii="宋体" w:hAnsi="宋体"/>
          <w:szCs w:val="21"/>
        </w:rPr>
      </w:pPr>
      <w:r>
        <w:rPr>
          <w:rFonts w:hint="eastAsia" w:ascii="宋体" w:hAnsi="宋体"/>
          <w:szCs w:val="21"/>
        </w:rPr>
        <w:t>如果我方中标，我方保证在年月 日或按照合同约定的开工日期开始本工程的施工，  天（日历日）内竣工，并确保工程质量达到  标准。我方同意本投标函在招标文件规定的提交投标文件截止时间后，在招标文件规定的投标有效期期满前对我方具有约束力，且随时准备接受你方发出的中标通知书。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宋体" w:hAnsi="宋体"/>
          <w:szCs w:val="21"/>
        </w:rPr>
      </w:pPr>
      <w:r>
        <w:rPr>
          <w:rFonts w:hint="eastAsia" w:ascii="宋体" w:hAnsi="宋体"/>
          <w:szCs w:val="21"/>
        </w:rPr>
        <w:t>随本投标函递交的投标函附录是本投标函的组成部分，对我方构成约束力。</w:t>
      </w:r>
    </w:p>
    <w:p>
      <w:pPr>
        <w:spacing w:line="360" w:lineRule="auto"/>
        <w:ind w:firstLine="420" w:firstLineChars="200"/>
        <w:rPr>
          <w:rFonts w:ascii="宋体" w:hAnsi="宋体"/>
          <w:szCs w:val="21"/>
        </w:rPr>
      </w:pPr>
      <w:r>
        <w:rPr>
          <w:rFonts w:hint="eastAsia" w:ascii="宋体" w:hAnsi="宋体"/>
          <w:szCs w:val="21"/>
        </w:rPr>
        <w:t>随同本投标函递交投标保证金一份，金额为人民币（大写）：元（￥：元）。</w:t>
      </w:r>
    </w:p>
    <w:p>
      <w:pPr>
        <w:spacing w:line="360" w:lineRule="auto"/>
        <w:ind w:firstLine="420" w:firstLineChars="200"/>
        <w:rPr>
          <w:rFonts w:ascii="宋体" w:hAnsi="宋体"/>
          <w:szCs w:val="21"/>
        </w:rPr>
      </w:pPr>
      <w:r>
        <w:rPr>
          <w:rFonts w:hint="eastAsia" w:ascii="宋体" w:hAnsi="宋体"/>
          <w:szCs w:val="21"/>
        </w:rPr>
        <w:t>我方承诺：若我方中标，承诺在规定时间内提交中标金额</w:t>
      </w:r>
      <w:r>
        <w:rPr>
          <w:rFonts w:hint="eastAsia" w:ascii="宋体" w:hAnsi="宋体"/>
          <w:szCs w:val="21"/>
          <w:u w:val="single"/>
        </w:rPr>
        <w:t xml:space="preserve">    %</w:t>
      </w:r>
      <w:r>
        <w:rPr>
          <w:rFonts w:hint="eastAsia" w:ascii="宋体" w:hAnsi="宋体"/>
          <w:szCs w:val="21"/>
        </w:rPr>
        <w:t>的履约保证金。</w:t>
      </w:r>
    </w:p>
    <w:p>
      <w:pPr>
        <w:spacing w:line="360" w:lineRule="auto"/>
        <w:ind w:firstLine="420" w:firstLineChars="200"/>
        <w:rPr>
          <w:rFonts w:ascii="宋体" w:hAnsi="宋体"/>
          <w:szCs w:val="21"/>
        </w:rPr>
      </w:pPr>
      <w:r>
        <w:rPr>
          <w:rFonts w:hint="eastAsia" w:ascii="宋体" w:hAnsi="宋体"/>
          <w:szCs w:val="21"/>
        </w:rPr>
        <w:t>在签署协议书之前，你方的中标通知书连同本投标函，包括投标函附录，对双方具有约束力。</w:t>
      </w:r>
    </w:p>
    <w:p>
      <w:pPr>
        <w:spacing w:line="360" w:lineRule="auto"/>
        <w:ind w:firstLine="420" w:firstLineChars="200"/>
        <w:rPr>
          <w:rFonts w:ascii="宋体" w:hAnsi="宋体"/>
          <w:szCs w:val="21"/>
          <w:u w:val="single"/>
        </w:rPr>
      </w:pPr>
      <w:r>
        <w:rPr>
          <w:rFonts w:hint="eastAsia" w:ascii="宋体" w:hAnsi="宋体"/>
          <w:szCs w:val="21"/>
        </w:rPr>
        <w:t>投标人（盖章）：</w:t>
      </w:r>
    </w:p>
    <w:p>
      <w:pPr>
        <w:spacing w:line="360" w:lineRule="auto"/>
        <w:ind w:firstLine="420" w:firstLineChars="200"/>
        <w:rPr>
          <w:rFonts w:ascii="宋体" w:hAnsi="宋体"/>
          <w:szCs w:val="21"/>
        </w:rPr>
      </w:pPr>
      <w:r>
        <w:rPr>
          <w:rFonts w:hint="eastAsia" w:ascii="宋体" w:hAnsi="宋体"/>
          <w:szCs w:val="21"/>
        </w:rPr>
        <w:t>法定代表人或委托代理人（签字或盖章）：</w:t>
      </w:r>
    </w:p>
    <w:p>
      <w:pPr>
        <w:spacing w:line="360" w:lineRule="auto"/>
        <w:ind w:firstLine="420" w:firstLineChars="200"/>
        <w:rPr>
          <w:rFonts w:ascii="宋体" w:hAnsi="宋体"/>
          <w:szCs w:val="21"/>
        </w:rPr>
      </w:pPr>
      <w:r>
        <w:rPr>
          <w:rFonts w:hint="eastAsia" w:ascii="宋体" w:hAnsi="宋体"/>
          <w:szCs w:val="21"/>
        </w:rPr>
        <w:t>日期：  年 月  日</w:t>
      </w:r>
    </w:p>
    <w:p>
      <w:pPr>
        <w:rPr>
          <w:rFonts w:ascii="宋体" w:hAnsi="宋体"/>
          <w:b/>
          <w:szCs w:val="21"/>
        </w:rPr>
      </w:pPr>
    </w:p>
    <w:bookmarkEnd w:id="541"/>
    <w:p>
      <w:pPr>
        <w:pStyle w:val="6"/>
        <w:jc w:val="center"/>
        <w:rPr>
          <w:rFonts w:ascii="黑体" w:hAnsi="黑体" w:eastAsia="黑体"/>
          <w:b w:val="0"/>
          <w:bCs w:val="0"/>
          <w:sz w:val="24"/>
        </w:rPr>
      </w:pPr>
      <w:bookmarkStart w:id="542" w:name="_Toc300678569"/>
      <w:r>
        <w:rPr>
          <w:rFonts w:hint="eastAsia" w:ascii="黑体" w:hAnsi="黑体" w:eastAsia="黑体"/>
          <w:b w:val="0"/>
          <w:bCs w:val="0"/>
          <w:sz w:val="24"/>
        </w:rPr>
        <w:t>（二）投标函附录</w:t>
      </w:r>
      <w:bookmarkEnd w:id="542"/>
    </w:p>
    <w:p>
      <w:pPr>
        <w:rPr>
          <w:rFonts w:ascii="宋体" w:hAnsi="宋体"/>
          <w:b/>
          <w:szCs w:val="21"/>
        </w:rPr>
      </w:pPr>
    </w:p>
    <w:p>
      <w:pPr>
        <w:spacing w:afterLines="50"/>
        <w:rPr>
          <w:rFonts w:ascii="宋体" w:hAnsi="宋体"/>
          <w:szCs w:val="21"/>
        </w:rPr>
      </w:pPr>
      <w:r>
        <w:rPr>
          <w:rFonts w:hint="eastAsia" w:ascii="宋体" w:hAnsi="宋体"/>
          <w:bCs/>
          <w:szCs w:val="21"/>
        </w:rPr>
        <w:t>工程名称</w:t>
      </w:r>
      <w:r>
        <w:rPr>
          <w:rFonts w:hint="eastAsia" w:ascii="宋体" w:hAnsi="宋体"/>
          <w:b/>
          <w:szCs w:val="21"/>
        </w:rPr>
        <w:t>：</w:t>
      </w:r>
      <w:r>
        <w:rPr>
          <w:rFonts w:hint="eastAsia" w:ascii="宋体" w:hAnsi="宋体"/>
          <w:szCs w:val="21"/>
        </w:rPr>
        <w:t>（项目名称）</w:t>
      </w:r>
    </w:p>
    <w:tbl>
      <w:tblPr>
        <w:tblStyle w:val="42"/>
        <w:tblW w:w="8326"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350"/>
        <w:gridCol w:w="1278"/>
        <w:gridCol w:w="2975"/>
        <w:gridCol w:w="8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b/>
                <w:sz w:val="18"/>
                <w:szCs w:val="21"/>
              </w:rPr>
            </w:pPr>
            <w:r>
              <w:rPr>
                <w:rFonts w:hint="eastAsia" w:ascii="宋体" w:hAnsi="宋体"/>
                <w:b/>
                <w:sz w:val="18"/>
                <w:szCs w:val="21"/>
              </w:rPr>
              <w:t>序 号</w:t>
            </w:r>
          </w:p>
        </w:tc>
        <w:tc>
          <w:tcPr>
            <w:tcW w:w="2350" w:type="dxa"/>
            <w:vAlign w:val="center"/>
          </w:tcPr>
          <w:p>
            <w:pPr>
              <w:jc w:val="center"/>
              <w:rPr>
                <w:rFonts w:ascii="宋体" w:hAnsi="宋体"/>
                <w:b/>
                <w:sz w:val="18"/>
                <w:szCs w:val="21"/>
              </w:rPr>
            </w:pPr>
            <w:r>
              <w:rPr>
                <w:rFonts w:hint="eastAsia" w:ascii="宋体" w:hAnsi="宋体"/>
                <w:b/>
                <w:sz w:val="18"/>
                <w:szCs w:val="21"/>
              </w:rPr>
              <w:t>条款内容</w:t>
            </w:r>
          </w:p>
        </w:tc>
        <w:tc>
          <w:tcPr>
            <w:tcW w:w="1278" w:type="dxa"/>
            <w:vAlign w:val="center"/>
          </w:tcPr>
          <w:p>
            <w:pPr>
              <w:jc w:val="center"/>
              <w:rPr>
                <w:rFonts w:ascii="宋体" w:hAnsi="宋体"/>
                <w:b/>
                <w:sz w:val="18"/>
                <w:szCs w:val="21"/>
              </w:rPr>
            </w:pPr>
            <w:r>
              <w:rPr>
                <w:rFonts w:hint="eastAsia" w:ascii="宋体" w:hAnsi="宋体"/>
                <w:b/>
                <w:sz w:val="18"/>
                <w:szCs w:val="21"/>
              </w:rPr>
              <w:t>合同条款号</w:t>
            </w:r>
          </w:p>
        </w:tc>
        <w:tc>
          <w:tcPr>
            <w:tcW w:w="2975" w:type="dxa"/>
            <w:vAlign w:val="center"/>
          </w:tcPr>
          <w:p>
            <w:pPr>
              <w:jc w:val="center"/>
              <w:rPr>
                <w:rFonts w:ascii="宋体" w:hAnsi="宋体"/>
                <w:b/>
                <w:sz w:val="18"/>
                <w:szCs w:val="21"/>
              </w:rPr>
            </w:pPr>
            <w:r>
              <w:rPr>
                <w:rFonts w:hint="eastAsia" w:ascii="宋体" w:hAnsi="宋体"/>
                <w:b/>
                <w:sz w:val="18"/>
                <w:szCs w:val="21"/>
              </w:rPr>
              <w:t>约定内容</w:t>
            </w:r>
          </w:p>
        </w:tc>
        <w:tc>
          <w:tcPr>
            <w:tcW w:w="871" w:type="dxa"/>
            <w:vAlign w:val="center"/>
          </w:tcPr>
          <w:p>
            <w:pPr>
              <w:jc w:val="center"/>
              <w:rPr>
                <w:rFonts w:ascii="宋体" w:hAnsi="宋体"/>
                <w:b/>
                <w:sz w:val="18"/>
                <w:szCs w:val="21"/>
              </w:rPr>
            </w:pPr>
            <w:r>
              <w:rPr>
                <w:rFonts w:hint="eastAsia" w:ascii="宋体" w:hAnsi="宋体"/>
                <w:b/>
                <w:sz w:val="18"/>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1</w:t>
            </w:r>
          </w:p>
        </w:tc>
        <w:tc>
          <w:tcPr>
            <w:tcW w:w="2350" w:type="dxa"/>
            <w:vAlign w:val="center"/>
          </w:tcPr>
          <w:p>
            <w:pPr>
              <w:jc w:val="center"/>
              <w:rPr>
                <w:rFonts w:ascii="宋体" w:hAnsi="宋体"/>
                <w:sz w:val="18"/>
                <w:szCs w:val="21"/>
              </w:rPr>
            </w:pPr>
            <w:r>
              <w:rPr>
                <w:rFonts w:hint="eastAsia" w:ascii="宋体" w:hAnsi="宋体"/>
                <w:sz w:val="18"/>
                <w:szCs w:val="21"/>
              </w:rPr>
              <w:t>项目负责人</w:t>
            </w:r>
          </w:p>
        </w:tc>
        <w:tc>
          <w:tcPr>
            <w:tcW w:w="1278" w:type="dxa"/>
            <w:tcMar>
              <w:left w:w="170" w:type="dxa"/>
            </w:tcMar>
            <w:vAlign w:val="center"/>
          </w:tcPr>
          <w:p>
            <w:pPr>
              <w:rPr>
                <w:rFonts w:ascii="宋体" w:hAnsi="宋体"/>
                <w:sz w:val="18"/>
                <w:szCs w:val="21"/>
              </w:rPr>
            </w:pPr>
          </w:p>
        </w:tc>
        <w:tc>
          <w:tcPr>
            <w:tcW w:w="2975" w:type="dxa"/>
            <w:vAlign w:val="center"/>
          </w:tcPr>
          <w:p>
            <w:pPr>
              <w:rPr>
                <w:rFonts w:ascii="宋体" w:hAnsi="宋体"/>
                <w:sz w:val="18"/>
                <w:szCs w:val="21"/>
              </w:rPr>
            </w:pPr>
            <w:r>
              <w:rPr>
                <w:rFonts w:hint="eastAsia" w:ascii="宋体" w:hAnsi="宋体"/>
                <w:sz w:val="18"/>
                <w:szCs w:val="21"/>
              </w:rPr>
              <w:t>姓名：   资质等级</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2</w:t>
            </w:r>
          </w:p>
        </w:tc>
        <w:tc>
          <w:tcPr>
            <w:tcW w:w="2350" w:type="dxa"/>
            <w:vAlign w:val="center"/>
          </w:tcPr>
          <w:p>
            <w:pPr>
              <w:jc w:val="center"/>
              <w:rPr>
                <w:rFonts w:ascii="宋体" w:hAnsi="宋体"/>
                <w:sz w:val="18"/>
                <w:szCs w:val="21"/>
              </w:rPr>
            </w:pPr>
            <w:r>
              <w:rPr>
                <w:rFonts w:hint="eastAsia" w:ascii="宋体" w:hAnsi="宋体"/>
                <w:sz w:val="18"/>
                <w:szCs w:val="21"/>
              </w:rPr>
              <w:t>工期</w:t>
            </w:r>
          </w:p>
        </w:tc>
        <w:tc>
          <w:tcPr>
            <w:tcW w:w="1278" w:type="dxa"/>
            <w:tcMar>
              <w:left w:w="170" w:type="dxa"/>
            </w:tcMar>
            <w:vAlign w:val="center"/>
          </w:tcPr>
          <w:p>
            <w:pPr>
              <w:rPr>
                <w:rFonts w:ascii="宋体" w:hAnsi="宋体"/>
                <w:sz w:val="18"/>
                <w:szCs w:val="21"/>
              </w:rPr>
            </w:pPr>
          </w:p>
        </w:tc>
        <w:tc>
          <w:tcPr>
            <w:tcW w:w="2975" w:type="dxa"/>
            <w:vAlign w:val="center"/>
          </w:tcPr>
          <w:p>
            <w:pPr>
              <w:rPr>
                <w:rFonts w:ascii="宋体" w:hAnsi="宋体"/>
                <w:sz w:val="18"/>
                <w:szCs w:val="21"/>
              </w:rPr>
            </w:pPr>
            <w:r>
              <w:rPr>
                <w:rFonts w:hint="eastAsia" w:ascii="宋体" w:hAnsi="宋体"/>
                <w:sz w:val="18"/>
                <w:szCs w:val="21"/>
              </w:rPr>
              <w:t>天数： 日历天</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3</w:t>
            </w:r>
          </w:p>
        </w:tc>
        <w:tc>
          <w:tcPr>
            <w:tcW w:w="2350" w:type="dxa"/>
            <w:vAlign w:val="center"/>
          </w:tcPr>
          <w:p>
            <w:pPr>
              <w:jc w:val="center"/>
              <w:rPr>
                <w:rFonts w:ascii="宋体" w:hAnsi="宋体"/>
                <w:sz w:val="18"/>
                <w:szCs w:val="21"/>
              </w:rPr>
            </w:pPr>
            <w:r>
              <w:rPr>
                <w:rFonts w:hint="eastAsia" w:ascii="宋体" w:hAnsi="宋体"/>
                <w:sz w:val="18"/>
                <w:szCs w:val="21"/>
              </w:rPr>
              <w:t>质量标准</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u w:val="single"/>
              </w:rPr>
            </w:pPr>
            <w:r>
              <w:rPr>
                <w:rFonts w:hint="eastAsia" w:ascii="宋体" w:hAnsi="宋体"/>
                <w:sz w:val="18"/>
                <w:szCs w:val="21"/>
                <w:u w:val="single"/>
              </w:rPr>
              <w:t>符合《工程施工质量验收规范》要求，达到合格工程标准</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4</w:t>
            </w:r>
          </w:p>
        </w:tc>
        <w:tc>
          <w:tcPr>
            <w:tcW w:w="2350" w:type="dxa"/>
            <w:vAlign w:val="center"/>
          </w:tcPr>
          <w:p>
            <w:pPr>
              <w:jc w:val="center"/>
              <w:rPr>
                <w:rFonts w:ascii="宋体" w:hAnsi="宋体"/>
                <w:sz w:val="18"/>
                <w:szCs w:val="21"/>
              </w:rPr>
            </w:pPr>
            <w:r>
              <w:rPr>
                <w:rFonts w:hint="eastAsia" w:ascii="宋体" w:hAnsi="宋体"/>
                <w:sz w:val="18"/>
                <w:szCs w:val="21"/>
              </w:rPr>
              <w:t>保修要求</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u w:val="single"/>
              </w:rPr>
            </w:pPr>
            <w:r>
              <w:rPr>
                <w:rFonts w:hint="eastAsia" w:ascii="宋体" w:hAnsi="宋体"/>
                <w:sz w:val="18"/>
                <w:szCs w:val="21"/>
                <w:u w:val="single"/>
              </w:rPr>
              <w:t>按照建设部</w:t>
            </w:r>
            <w:r>
              <w:rPr>
                <w:rFonts w:ascii="宋体" w:hAnsi="宋体"/>
                <w:sz w:val="18"/>
                <w:szCs w:val="21"/>
                <w:u w:val="single"/>
              </w:rPr>
              <w:t>80</w:t>
            </w:r>
            <w:r>
              <w:rPr>
                <w:rFonts w:hint="eastAsia" w:ascii="宋体" w:hAnsi="宋体"/>
                <w:sz w:val="18"/>
                <w:szCs w:val="21"/>
                <w:u w:val="single"/>
              </w:rPr>
              <w:t>号令</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5</w:t>
            </w:r>
          </w:p>
        </w:tc>
        <w:tc>
          <w:tcPr>
            <w:tcW w:w="2350" w:type="dxa"/>
            <w:vAlign w:val="center"/>
          </w:tcPr>
          <w:p>
            <w:pPr>
              <w:jc w:val="center"/>
              <w:rPr>
                <w:rFonts w:ascii="宋体" w:hAnsi="宋体"/>
                <w:sz w:val="18"/>
                <w:szCs w:val="21"/>
              </w:rPr>
            </w:pPr>
            <w:r>
              <w:rPr>
                <w:rFonts w:hint="eastAsia" w:ascii="宋体" w:hAnsi="宋体"/>
                <w:sz w:val="18"/>
                <w:szCs w:val="21"/>
              </w:rPr>
              <w:t>承包人履约担保金额</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u w:val="single"/>
              </w:rPr>
            </w:pPr>
            <w:r>
              <w:rPr>
                <w:rFonts w:hint="eastAsia" w:ascii="宋体" w:hAnsi="宋体"/>
                <w:sz w:val="18"/>
                <w:szCs w:val="21"/>
                <w:u w:val="single"/>
              </w:rPr>
              <w:t xml:space="preserve">合同金额的10﹪ </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6</w:t>
            </w:r>
          </w:p>
        </w:tc>
        <w:tc>
          <w:tcPr>
            <w:tcW w:w="2350" w:type="dxa"/>
            <w:vAlign w:val="center"/>
          </w:tcPr>
          <w:p>
            <w:pPr>
              <w:jc w:val="center"/>
              <w:rPr>
                <w:rFonts w:ascii="宋体" w:hAnsi="宋体"/>
                <w:sz w:val="18"/>
                <w:szCs w:val="21"/>
              </w:rPr>
            </w:pPr>
            <w:r>
              <w:rPr>
                <w:rFonts w:hint="eastAsia" w:ascii="宋体" w:hAnsi="宋体"/>
                <w:sz w:val="18"/>
                <w:szCs w:val="21"/>
              </w:rPr>
              <w:t>分包</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u w:val="single"/>
              </w:rPr>
            </w:pP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7</w:t>
            </w:r>
          </w:p>
        </w:tc>
        <w:tc>
          <w:tcPr>
            <w:tcW w:w="2350" w:type="dxa"/>
            <w:vAlign w:val="center"/>
          </w:tcPr>
          <w:p>
            <w:pPr>
              <w:jc w:val="center"/>
              <w:rPr>
                <w:rFonts w:ascii="宋体" w:hAnsi="宋体"/>
                <w:sz w:val="18"/>
                <w:szCs w:val="21"/>
              </w:rPr>
            </w:pPr>
            <w:r>
              <w:rPr>
                <w:rFonts w:hint="eastAsia" w:ascii="宋体" w:hAnsi="宋体"/>
                <w:sz w:val="18"/>
                <w:szCs w:val="21"/>
              </w:rPr>
              <w:t>逾期竣工违约金</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rPr>
            </w:pPr>
            <w:r>
              <w:rPr>
                <w:rFonts w:hint="eastAsia" w:ascii="宋体" w:hAnsi="宋体"/>
                <w:sz w:val="18"/>
                <w:szCs w:val="21"/>
                <w:u w:val="single"/>
              </w:rPr>
              <w:t>合同总价的万分之五</w:t>
            </w:r>
            <w:r>
              <w:rPr>
                <w:rFonts w:ascii="宋体" w:hAnsi="宋体"/>
                <w:sz w:val="18"/>
                <w:szCs w:val="21"/>
                <w:u w:val="single"/>
              </w:rPr>
              <w:t>/天</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8</w:t>
            </w:r>
          </w:p>
        </w:tc>
        <w:tc>
          <w:tcPr>
            <w:tcW w:w="2350" w:type="dxa"/>
            <w:vAlign w:val="center"/>
          </w:tcPr>
          <w:p>
            <w:pPr>
              <w:jc w:val="center"/>
              <w:rPr>
                <w:rFonts w:ascii="宋体" w:hAnsi="宋体"/>
                <w:sz w:val="18"/>
                <w:szCs w:val="21"/>
              </w:rPr>
            </w:pPr>
            <w:r>
              <w:rPr>
                <w:rFonts w:hint="eastAsia" w:ascii="宋体" w:hAnsi="宋体"/>
                <w:sz w:val="18"/>
                <w:szCs w:val="21"/>
              </w:rPr>
              <w:t>逾期竣工违约金最高限额</w:t>
            </w:r>
          </w:p>
        </w:tc>
        <w:tc>
          <w:tcPr>
            <w:tcW w:w="1278" w:type="dxa"/>
            <w:tcMar>
              <w:left w:w="170" w:type="dxa"/>
            </w:tcMar>
            <w:vAlign w:val="center"/>
          </w:tcPr>
          <w:p>
            <w:pPr>
              <w:rPr>
                <w:rFonts w:ascii="宋体" w:hAnsi="宋体"/>
                <w:sz w:val="18"/>
                <w:szCs w:val="21"/>
              </w:rPr>
            </w:pPr>
          </w:p>
        </w:tc>
        <w:tc>
          <w:tcPr>
            <w:tcW w:w="2975" w:type="dxa"/>
            <w:vAlign w:val="center"/>
          </w:tcPr>
          <w:p>
            <w:pPr>
              <w:ind w:firstLine="720" w:firstLineChars="400"/>
              <w:rPr>
                <w:rFonts w:ascii="宋体" w:hAnsi="宋体"/>
                <w:sz w:val="18"/>
                <w:szCs w:val="21"/>
              </w:rPr>
            </w:pPr>
            <w:r>
              <w:rPr>
                <w:rFonts w:hint="eastAsia" w:ascii="宋体" w:hAnsi="宋体"/>
                <w:sz w:val="18"/>
                <w:szCs w:val="21"/>
                <w:u w:val="single"/>
              </w:rPr>
              <w:t>合同金额的10﹪</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9</w:t>
            </w:r>
          </w:p>
        </w:tc>
        <w:tc>
          <w:tcPr>
            <w:tcW w:w="2350" w:type="dxa"/>
            <w:vAlign w:val="center"/>
          </w:tcPr>
          <w:p>
            <w:pPr>
              <w:jc w:val="center"/>
              <w:rPr>
                <w:rFonts w:ascii="宋体" w:hAnsi="宋体"/>
                <w:sz w:val="18"/>
                <w:szCs w:val="21"/>
              </w:rPr>
            </w:pPr>
            <w:r>
              <w:rPr>
                <w:rFonts w:hint="eastAsia" w:ascii="宋体" w:hAnsi="宋体"/>
                <w:sz w:val="18"/>
                <w:szCs w:val="21"/>
              </w:rPr>
              <w:t>预付款额度</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rPr>
            </w:pPr>
            <w:r>
              <w:rPr>
                <w:rFonts w:hint="eastAsia" w:ascii="宋体" w:hAnsi="宋体"/>
                <w:sz w:val="18"/>
                <w:szCs w:val="21"/>
                <w:u w:val="single"/>
              </w:rPr>
              <w:t>合同约定</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10</w:t>
            </w:r>
          </w:p>
        </w:tc>
        <w:tc>
          <w:tcPr>
            <w:tcW w:w="2350" w:type="dxa"/>
            <w:vAlign w:val="center"/>
          </w:tcPr>
          <w:p>
            <w:pPr>
              <w:jc w:val="center"/>
              <w:rPr>
                <w:rFonts w:ascii="宋体" w:hAnsi="宋体"/>
                <w:sz w:val="18"/>
                <w:szCs w:val="21"/>
              </w:rPr>
            </w:pPr>
            <w:r>
              <w:rPr>
                <w:rFonts w:hint="eastAsia" w:ascii="宋体" w:hAnsi="宋体"/>
                <w:sz w:val="18"/>
                <w:szCs w:val="21"/>
              </w:rPr>
              <w:t>质量保证金额度</w:t>
            </w: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rPr>
            </w:pPr>
            <w:r>
              <w:rPr>
                <w:rFonts w:hint="eastAsia" w:ascii="宋体" w:hAnsi="宋体"/>
                <w:sz w:val="18"/>
                <w:szCs w:val="21"/>
                <w:u w:val="single"/>
              </w:rPr>
              <w:t>合同金额的3﹪</w:t>
            </w: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11</w:t>
            </w:r>
          </w:p>
        </w:tc>
        <w:tc>
          <w:tcPr>
            <w:tcW w:w="2350" w:type="dxa"/>
            <w:vAlign w:val="center"/>
          </w:tcPr>
          <w:p>
            <w:pPr>
              <w:jc w:val="center"/>
              <w:rPr>
                <w:rFonts w:ascii="宋体" w:hAnsi="宋体"/>
                <w:sz w:val="18"/>
                <w:szCs w:val="21"/>
              </w:rPr>
            </w:pP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rPr>
            </w:pP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p>
        </w:tc>
        <w:tc>
          <w:tcPr>
            <w:tcW w:w="2350" w:type="dxa"/>
            <w:vAlign w:val="center"/>
          </w:tcPr>
          <w:p>
            <w:pPr>
              <w:rPr>
                <w:rFonts w:ascii="宋体" w:hAnsi="宋体"/>
                <w:sz w:val="18"/>
                <w:szCs w:val="21"/>
              </w:rPr>
            </w:pPr>
          </w:p>
        </w:tc>
        <w:tc>
          <w:tcPr>
            <w:tcW w:w="1278" w:type="dxa"/>
            <w:tcMar>
              <w:left w:w="170" w:type="dxa"/>
            </w:tcMar>
            <w:vAlign w:val="center"/>
          </w:tcPr>
          <w:p>
            <w:pPr>
              <w:rPr>
                <w:rFonts w:ascii="宋体" w:hAnsi="宋体"/>
                <w:sz w:val="18"/>
                <w:szCs w:val="21"/>
              </w:rPr>
            </w:pPr>
          </w:p>
        </w:tc>
        <w:tc>
          <w:tcPr>
            <w:tcW w:w="2975" w:type="dxa"/>
            <w:vAlign w:val="center"/>
          </w:tcPr>
          <w:p>
            <w:pPr>
              <w:jc w:val="center"/>
              <w:rPr>
                <w:rFonts w:ascii="宋体" w:hAnsi="宋体"/>
                <w:sz w:val="18"/>
                <w:szCs w:val="21"/>
              </w:rPr>
            </w:pP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852" w:type="dxa"/>
            <w:vAlign w:val="center"/>
          </w:tcPr>
          <w:p>
            <w:pPr>
              <w:jc w:val="center"/>
              <w:rPr>
                <w:rFonts w:ascii="宋体" w:hAnsi="宋体"/>
                <w:sz w:val="18"/>
                <w:szCs w:val="21"/>
              </w:rPr>
            </w:pPr>
            <w:r>
              <w:rPr>
                <w:rFonts w:hint="eastAsia" w:ascii="宋体" w:hAnsi="宋体"/>
                <w:sz w:val="18"/>
                <w:szCs w:val="21"/>
              </w:rPr>
              <w:t>……</w:t>
            </w:r>
          </w:p>
        </w:tc>
        <w:tc>
          <w:tcPr>
            <w:tcW w:w="2350" w:type="dxa"/>
            <w:vAlign w:val="center"/>
          </w:tcPr>
          <w:p>
            <w:pPr>
              <w:jc w:val="center"/>
              <w:rPr>
                <w:rFonts w:ascii="宋体" w:hAnsi="宋体"/>
                <w:sz w:val="18"/>
                <w:szCs w:val="21"/>
              </w:rPr>
            </w:pPr>
            <w:r>
              <w:rPr>
                <w:rFonts w:hint="eastAsia" w:ascii="宋体" w:hAnsi="宋体"/>
                <w:sz w:val="18"/>
                <w:szCs w:val="21"/>
              </w:rPr>
              <w:t>……</w:t>
            </w:r>
          </w:p>
        </w:tc>
        <w:tc>
          <w:tcPr>
            <w:tcW w:w="1278" w:type="dxa"/>
            <w:vAlign w:val="center"/>
          </w:tcPr>
          <w:p>
            <w:pPr>
              <w:jc w:val="center"/>
              <w:rPr>
                <w:rFonts w:ascii="宋体" w:hAnsi="宋体"/>
                <w:sz w:val="18"/>
                <w:szCs w:val="21"/>
              </w:rPr>
            </w:pPr>
          </w:p>
        </w:tc>
        <w:tc>
          <w:tcPr>
            <w:tcW w:w="2975" w:type="dxa"/>
            <w:vAlign w:val="center"/>
          </w:tcPr>
          <w:p>
            <w:pPr>
              <w:jc w:val="center"/>
              <w:rPr>
                <w:rFonts w:ascii="宋体" w:hAnsi="宋体"/>
                <w:sz w:val="18"/>
                <w:szCs w:val="21"/>
              </w:rPr>
            </w:pPr>
          </w:p>
        </w:tc>
        <w:tc>
          <w:tcPr>
            <w:tcW w:w="87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0" w:hRule="atLeast"/>
          <w:jc w:val="center"/>
        </w:trPr>
        <w:tc>
          <w:tcPr>
            <w:tcW w:w="8326" w:type="dxa"/>
            <w:gridSpan w:val="5"/>
            <w:vAlign w:val="center"/>
          </w:tcPr>
          <w:p>
            <w:pPr>
              <w:rPr>
                <w:rFonts w:ascii="宋体" w:hAnsi="宋体"/>
                <w:sz w:val="18"/>
                <w:szCs w:val="21"/>
              </w:rPr>
            </w:pPr>
            <w:r>
              <w:rPr>
                <w:rFonts w:hint="eastAsia" w:ascii="宋体" w:hAnsi="宋体"/>
                <w:sz w:val="18"/>
                <w:szCs w:val="21"/>
              </w:rPr>
              <w:t>备注：投标人在响应招标文件中规定的实质性要求和条件的基础上，可做出其他有利于招标人的承诺。此类承诺可在本表中予以补充填写。</w:t>
            </w:r>
          </w:p>
        </w:tc>
      </w:tr>
    </w:tbl>
    <w:p>
      <w:pPr>
        <w:spacing w:line="480" w:lineRule="exact"/>
        <w:ind w:firstLine="420" w:firstLineChars="200"/>
        <w:rPr>
          <w:rFonts w:ascii="宋体" w:hAnsi="宋体"/>
          <w:bCs/>
          <w:szCs w:val="21"/>
        </w:rPr>
      </w:pPr>
    </w:p>
    <w:p>
      <w:pPr>
        <w:spacing w:line="480" w:lineRule="exact"/>
        <w:ind w:firstLine="420" w:firstLineChars="200"/>
        <w:rPr>
          <w:rFonts w:ascii="宋体" w:hAnsi="宋体"/>
          <w:szCs w:val="21"/>
          <w:u w:val="single"/>
        </w:rPr>
      </w:pPr>
      <w:r>
        <w:rPr>
          <w:rFonts w:hint="eastAsia" w:ascii="宋体" w:hAnsi="宋体"/>
          <w:bCs/>
          <w:szCs w:val="21"/>
        </w:rPr>
        <w:t>投标人</w:t>
      </w:r>
      <w:r>
        <w:rPr>
          <w:rFonts w:hint="eastAsia" w:ascii="宋体" w:hAnsi="宋体"/>
          <w:szCs w:val="21"/>
        </w:rPr>
        <w:t>（盖章）：</w:t>
      </w:r>
    </w:p>
    <w:p>
      <w:pPr>
        <w:spacing w:line="480" w:lineRule="exact"/>
        <w:ind w:firstLine="422" w:firstLineChars="200"/>
        <w:rPr>
          <w:rFonts w:ascii="宋体" w:hAnsi="宋体"/>
          <w:b/>
          <w:szCs w:val="21"/>
        </w:rPr>
      </w:pPr>
    </w:p>
    <w:p>
      <w:pPr>
        <w:spacing w:line="480" w:lineRule="exact"/>
        <w:ind w:firstLine="420" w:firstLineChars="200"/>
        <w:rPr>
          <w:rFonts w:ascii="宋体" w:hAnsi="宋体"/>
          <w:szCs w:val="21"/>
          <w:u w:val="single"/>
        </w:rPr>
      </w:pPr>
      <w:r>
        <w:rPr>
          <w:rFonts w:hint="eastAsia" w:ascii="宋体" w:hAnsi="宋体"/>
          <w:bCs/>
          <w:szCs w:val="21"/>
        </w:rPr>
        <w:t>法定代表人或委托代理人</w:t>
      </w:r>
      <w:r>
        <w:rPr>
          <w:rFonts w:hint="eastAsia" w:ascii="宋体" w:hAnsi="宋体"/>
          <w:szCs w:val="21"/>
        </w:rPr>
        <w:t>（签字或盖章）：</w:t>
      </w:r>
    </w:p>
    <w:p>
      <w:pPr>
        <w:spacing w:line="480" w:lineRule="exact"/>
        <w:ind w:firstLine="422" w:firstLineChars="200"/>
        <w:rPr>
          <w:rFonts w:ascii="宋体" w:hAnsi="宋体"/>
          <w:b/>
          <w:szCs w:val="21"/>
        </w:rPr>
      </w:pPr>
    </w:p>
    <w:p>
      <w:pPr>
        <w:spacing w:line="480" w:lineRule="exact"/>
        <w:ind w:firstLine="420" w:firstLineChars="200"/>
        <w:rPr>
          <w:rFonts w:ascii="宋体" w:hAnsi="宋体"/>
          <w:b/>
          <w:szCs w:val="21"/>
        </w:rPr>
      </w:pPr>
      <w:r>
        <w:rPr>
          <w:rFonts w:hint="eastAsia" w:ascii="宋体" w:hAnsi="宋体"/>
          <w:bCs/>
          <w:szCs w:val="21"/>
        </w:rPr>
        <w:t xml:space="preserve">                                             日期：年月日</w:t>
      </w:r>
    </w:p>
    <w:p>
      <w:pPr>
        <w:widowControl/>
        <w:spacing w:line="400" w:lineRule="atLeast"/>
        <w:rPr>
          <w:kern w:val="0"/>
          <w:szCs w:val="21"/>
        </w:rPr>
      </w:pPr>
      <w:r>
        <w:rPr>
          <w:rFonts w:ascii="宋体" w:hAnsi="宋体"/>
          <w:szCs w:val="21"/>
        </w:rPr>
        <w:br w:type="page"/>
      </w:r>
      <w:bookmarkStart w:id="543" w:name="_Toc300678570"/>
    </w:p>
    <w:p>
      <w:pPr>
        <w:pStyle w:val="3"/>
        <w:jc w:val="center"/>
        <w:rPr>
          <w:rFonts w:ascii="黑体" w:hAnsi="黑体" w:eastAsia="黑体"/>
          <w:b w:val="0"/>
          <w:bCs w:val="0"/>
          <w:sz w:val="30"/>
        </w:rPr>
      </w:pPr>
      <w:bookmarkStart w:id="544" w:name="_Toc19329"/>
      <w:bookmarkStart w:id="545" w:name="_Toc3048"/>
      <w:bookmarkStart w:id="546" w:name="_Toc28916"/>
      <w:bookmarkStart w:id="547" w:name="_Toc17597"/>
      <w:bookmarkStart w:id="548" w:name="_Toc484015138"/>
      <w:bookmarkStart w:id="549" w:name="_Toc15056"/>
      <w:bookmarkStart w:id="550" w:name="_Toc486318770"/>
      <w:r>
        <w:rPr>
          <w:rFonts w:hint="eastAsia" w:ascii="黑体" w:hAnsi="黑体" w:eastAsia="黑体"/>
          <w:b w:val="0"/>
          <w:bCs w:val="0"/>
          <w:sz w:val="30"/>
        </w:rPr>
        <w:t>二、法定代表人身份证明</w:t>
      </w:r>
      <w:bookmarkEnd w:id="544"/>
      <w:bookmarkEnd w:id="545"/>
      <w:bookmarkEnd w:id="546"/>
    </w:p>
    <w:p>
      <w:pPr>
        <w:widowControl/>
        <w:spacing w:line="400" w:lineRule="atLeast"/>
        <w:rPr>
          <w:kern w:val="0"/>
          <w:szCs w:val="21"/>
        </w:rPr>
      </w:pPr>
    </w:p>
    <w:p>
      <w:pPr>
        <w:widowControl/>
        <w:topLinePunct/>
        <w:spacing w:line="600" w:lineRule="atLeast"/>
        <w:ind w:firstLine="420"/>
        <w:rPr>
          <w:rFonts w:ascii="宋体" w:hAnsi="宋体"/>
          <w:kern w:val="0"/>
          <w:szCs w:val="21"/>
          <w:u w:val="single"/>
        </w:rPr>
      </w:pPr>
      <w:r>
        <w:rPr>
          <w:rFonts w:hint="eastAsia" w:ascii="宋体" w:hAnsi="宋体"/>
          <w:kern w:val="0"/>
          <w:szCs w:val="21"/>
        </w:rPr>
        <w:t>投标人名称：</w:t>
      </w:r>
    </w:p>
    <w:p>
      <w:pPr>
        <w:widowControl/>
        <w:topLinePunct/>
        <w:spacing w:line="600" w:lineRule="atLeast"/>
        <w:ind w:firstLine="420"/>
        <w:rPr>
          <w:rFonts w:ascii="宋体" w:hAnsi="宋体"/>
          <w:kern w:val="0"/>
          <w:szCs w:val="21"/>
        </w:rPr>
      </w:pPr>
      <w:r>
        <w:rPr>
          <w:rFonts w:hint="eastAsia" w:ascii="宋体" w:hAnsi="宋体"/>
          <w:kern w:val="0"/>
          <w:szCs w:val="21"/>
        </w:rPr>
        <w:t>单位性质：</w:t>
      </w:r>
    </w:p>
    <w:p>
      <w:pPr>
        <w:widowControl/>
        <w:topLinePunct/>
        <w:spacing w:line="600" w:lineRule="atLeast"/>
        <w:ind w:firstLine="420"/>
        <w:rPr>
          <w:rFonts w:ascii="宋体" w:hAnsi="宋体"/>
          <w:kern w:val="0"/>
          <w:szCs w:val="21"/>
        </w:rPr>
      </w:pPr>
      <w:r>
        <w:rPr>
          <w:rFonts w:hint="eastAsia" w:ascii="宋体" w:hAnsi="宋体"/>
          <w:kern w:val="0"/>
          <w:szCs w:val="21"/>
        </w:rPr>
        <w:t>成立时间：年月日</w:t>
      </w:r>
    </w:p>
    <w:p>
      <w:pPr>
        <w:widowControl/>
        <w:topLinePunct/>
        <w:spacing w:line="600" w:lineRule="atLeast"/>
        <w:ind w:firstLine="420"/>
        <w:rPr>
          <w:rFonts w:ascii="宋体" w:hAnsi="宋体"/>
          <w:kern w:val="0"/>
          <w:szCs w:val="21"/>
        </w:rPr>
      </w:pPr>
      <w:r>
        <w:rPr>
          <w:rFonts w:hint="eastAsia" w:ascii="宋体" w:hAnsi="宋体"/>
          <w:kern w:val="0"/>
          <w:szCs w:val="21"/>
        </w:rPr>
        <w:t>经营期限：</w:t>
      </w:r>
    </w:p>
    <w:p>
      <w:pPr>
        <w:widowControl/>
        <w:topLinePunct/>
        <w:spacing w:line="600" w:lineRule="atLeast"/>
        <w:ind w:firstLine="420"/>
        <w:rPr>
          <w:rFonts w:ascii="宋体" w:hAnsi="宋体"/>
          <w:kern w:val="0"/>
          <w:szCs w:val="21"/>
          <w:u w:val="single"/>
        </w:rPr>
      </w:pPr>
      <w:r>
        <w:rPr>
          <w:rFonts w:hint="eastAsia" w:ascii="宋体" w:hAnsi="宋体"/>
          <w:kern w:val="0"/>
          <w:szCs w:val="21"/>
        </w:rPr>
        <w:t>姓名：性别：年龄：职务：</w:t>
      </w:r>
    </w:p>
    <w:p>
      <w:pPr>
        <w:widowControl/>
        <w:topLinePunct/>
        <w:spacing w:line="600" w:lineRule="atLeast"/>
        <w:ind w:firstLine="420"/>
        <w:rPr>
          <w:rFonts w:ascii="宋体" w:hAnsi="宋体"/>
          <w:kern w:val="0"/>
          <w:szCs w:val="21"/>
        </w:rPr>
      </w:pPr>
      <w:r>
        <w:rPr>
          <w:rFonts w:hint="eastAsia" w:ascii="宋体" w:hAnsi="宋体"/>
          <w:kern w:val="0"/>
          <w:szCs w:val="21"/>
        </w:rPr>
        <w:t>系（投标人名称）的法定代表人。</w:t>
      </w:r>
    </w:p>
    <w:p>
      <w:pPr>
        <w:widowControl/>
        <w:topLinePunct/>
        <w:spacing w:line="600" w:lineRule="atLeast"/>
        <w:ind w:firstLine="420"/>
        <w:rPr>
          <w:rFonts w:ascii="宋体" w:hAnsi="宋体"/>
          <w:kern w:val="0"/>
          <w:szCs w:val="21"/>
        </w:rPr>
      </w:pPr>
      <w:r>
        <w:rPr>
          <w:rFonts w:hint="eastAsia" w:ascii="宋体" w:hAnsi="宋体"/>
          <w:kern w:val="0"/>
          <w:szCs w:val="21"/>
        </w:rPr>
        <w:t xml:space="preserve">    特此证明。</w:t>
      </w:r>
    </w:p>
    <w:p>
      <w:pPr>
        <w:widowControl/>
        <w:topLinePunct/>
        <w:spacing w:line="440" w:lineRule="atLeast"/>
        <w:rPr>
          <w:rFonts w:ascii="宋体" w:hAnsi="宋体"/>
          <w:kern w:val="0"/>
          <w:szCs w:val="21"/>
        </w:rPr>
      </w:pPr>
    </w:p>
    <w:p>
      <w:pPr>
        <w:widowControl/>
        <w:topLinePunct/>
        <w:spacing w:line="440" w:lineRule="atLeast"/>
        <w:rPr>
          <w:rFonts w:ascii="宋体" w:hAnsi="宋体"/>
          <w:kern w:val="0"/>
          <w:szCs w:val="21"/>
        </w:rPr>
      </w:pPr>
    </w:p>
    <w:p>
      <w:pPr>
        <w:widowControl/>
        <w:topLinePunct/>
        <w:spacing w:line="440" w:lineRule="atLeast"/>
        <w:rPr>
          <w:rFonts w:ascii="宋体" w:hAnsi="宋体"/>
          <w:kern w:val="0"/>
          <w:szCs w:val="21"/>
        </w:rPr>
      </w:pPr>
      <w:r>
        <w:rPr>
          <w:rFonts w:hint="eastAsia" w:ascii="宋体" w:hAnsi="宋体"/>
          <w:kern w:val="0"/>
          <w:szCs w:val="21"/>
        </w:rPr>
        <w:t xml:space="preserve">                             投标人：（盖单位章）</w:t>
      </w:r>
    </w:p>
    <w:p>
      <w:pPr>
        <w:widowControl/>
        <w:topLinePunct/>
        <w:spacing w:line="440" w:lineRule="atLeast"/>
        <w:rPr>
          <w:rFonts w:ascii="宋体" w:hAnsi="宋体"/>
          <w:kern w:val="0"/>
          <w:szCs w:val="21"/>
        </w:rPr>
      </w:pPr>
    </w:p>
    <w:p>
      <w:pPr>
        <w:widowControl/>
        <w:topLinePunct/>
        <w:spacing w:line="440" w:lineRule="atLeast"/>
        <w:ind w:firstLine="3150" w:firstLineChars="1500"/>
        <w:rPr>
          <w:rFonts w:ascii="宋体" w:hAnsi="宋体"/>
          <w:kern w:val="0"/>
          <w:szCs w:val="21"/>
        </w:rPr>
      </w:pPr>
      <w:r>
        <w:rPr>
          <w:rFonts w:hint="eastAsia" w:ascii="宋体" w:hAnsi="宋体"/>
          <w:kern w:val="0"/>
          <w:szCs w:val="21"/>
        </w:rPr>
        <w:t>年月日</w:t>
      </w:r>
    </w:p>
    <w:p>
      <w:pPr>
        <w:widowControl/>
        <w:topLinePunct/>
        <w:spacing w:line="440" w:lineRule="atLeast"/>
        <w:rPr>
          <w:kern w:val="0"/>
          <w:szCs w:val="21"/>
        </w:rPr>
      </w:pPr>
      <w:r>
        <w:rPr>
          <w:rFonts w:ascii="宋体" w:hAnsi="宋体"/>
          <w:kern w:val="0"/>
          <w:szCs w:val="21"/>
        </w:rPr>
        <w:br w:type="page"/>
      </w:r>
    </w:p>
    <w:p>
      <w:pPr>
        <w:pStyle w:val="3"/>
        <w:jc w:val="center"/>
        <w:rPr>
          <w:rFonts w:ascii="黑体" w:hAnsi="黑体" w:eastAsia="黑体"/>
          <w:b w:val="0"/>
          <w:bCs w:val="0"/>
          <w:sz w:val="30"/>
        </w:rPr>
      </w:pPr>
      <w:bookmarkStart w:id="551" w:name="_Toc19512"/>
      <w:bookmarkStart w:id="552" w:name="_Toc20455"/>
      <w:bookmarkStart w:id="553" w:name="_Toc488"/>
      <w:r>
        <w:rPr>
          <w:rFonts w:hint="eastAsia" w:ascii="黑体" w:hAnsi="黑体" w:eastAsia="黑体"/>
          <w:b w:val="0"/>
          <w:bCs w:val="0"/>
          <w:sz w:val="30"/>
        </w:rPr>
        <w:t>二、授权委托书</w:t>
      </w:r>
      <w:bookmarkEnd w:id="551"/>
      <w:bookmarkEnd w:id="552"/>
      <w:bookmarkEnd w:id="553"/>
    </w:p>
    <w:p>
      <w:pPr>
        <w:widowControl/>
        <w:spacing w:line="400" w:lineRule="atLeast"/>
        <w:rPr>
          <w:kern w:val="0"/>
          <w:szCs w:val="21"/>
        </w:rPr>
      </w:pPr>
    </w:p>
    <w:p>
      <w:pPr>
        <w:widowControl/>
        <w:topLinePunct/>
        <w:spacing w:line="460" w:lineRule="atLeast"/>
        <w:ind w:firstLine="420" w:firstLineChars="200"/>
        <w:rPr>
          <w:kern w:val="0"/>
          <w:szCs w:val="21"/>
        </w:rPr>
      </w:pPr>
      <w:r>
        <w:rPr>
          <w:kern w:val="0"/>
          <w:szCs w:val="21"/>
        </w:rPr>
        <w:t>本人（姓名）系（投标人名称）的法定代表人，现委托（姓名）为我方代理人。代理人根据授权，以我方名义签署、澄清、</w:t>
      </w:r>
      <w:r>
        <w:rPr>
          <w:rFonts w:hint="eastAsia"/>
          <w:kern w:val="0"/>
          <w:szCs w:val="21"/>
        </w:rPr>
        <w:t>说明、补正、</w:t>
      </w:r>
      <w:r>
        <w:rPr>
          <w:kern w:val="0"/>
          <w:szCs w:val="21"/>
        </w:rPr>
        <w:t>递交、撤回、修改（项目名称）</w:t>
      </w:r>
      <w:r>
        <w:rPr>
          <w:rFonts w:hint="eastAsia"/>
          <w:kern w:val="0"/>
          <w:szCs w:val="21"/>
        </w:rPr>
        <w:t>标段施工</w:t>
      </w:r>
      <w:r>
        <w:rPr>
          <w:rFonts w:hint="eastAsia" w:ascii="宋体" w:hAnsi="宋体"/>
          <w:kern w:val="0"/>
          <w:szCs w:val="21"/>
        </w:rPr>
        <w:t>招标</w:t>
      </w:r>
      <w:r>
        <w:rPr>
          <w:rFonts w:hint="eastAsia"/>
          <w:kern w:val="0"/>
          <w:szCs w:val="21"/>
        </w:rPr>
        <w:t>投标</w:t>
      </w:r>
      <w:r>
        <w:rPr>
          <w:kern w:val="0"/>
          <w:szCs w:val="21"/>
        </w:rPr>
        <w:t>文件，其法律后果由我方承担。</w:t>
      </w:r>
    </w:p>
    <w:p>
      <w:pPr>
        <w:widowControl/>
        <w:topLinePunct/>
        <w:spacing w:line="460" w:lineRule="atLeast"/>
        <w:ind w:firstLine="420" w:firstLineChars="200"/>
        <w:rPr>
          <w:kern w:val="0"/>
          <w:szCs w:val="21"/>
          <w:u w:val="single"/>
        </w:rPr>
      </w:pPr>
      <w:r>
        <w:rPr>
          <w:kern w:val="0"/>
          <w:szCs w:val="21"/>
        </w:rPr>
        <w:t>委托期限：</w:t>
      </w:r>
      <w:r>
        <w:rPr>
          <w:rFonts w:hint="eastAsia" w:ascii="宋体" w:hAnsi="宋体"/>
          <w:kern w:val="0"/>
          <w:szCs w:val="21"/>
        </w:rPr>
        <w:t>。</w:t>
      </w:r>
    </w:p>
    <w:p>
      <w:pPr>
        <w:widowControl/>
        <w:topLinePunct/>
        <w:spacing w:line="460" w:lineRule="atLeast"/>
        <w:ind w:firstLine="420" w:firstLineChars="200"/>
        <w:rPr>
          <w:rFonts w:ascii="宋体" w:hAnsi="宋体"/>
          <w:kern w:val="0"/>
          <w:szCs w:val="21"/>
        </w:rPr>
      </w:pPr>
      <w:r>
        <w:rPr>
          <w:kern w:val="0"/>
          <w:szCs w:val="21"/>
        </w:rPr>
        <w:t>代理人无转委托权。</w:t>
      </w:r>
    </w:p>
    <w:p>
      <w:pPr>
        <w:widowControl/>
        <w:topLinePunct/>
        <w:spacing w:line="460" w:lineRule="atLeast"/>
        <w:ind w:firstLine="420" w:firstLineChars="200"/>
        <w:rPr>
          <w:rFonts w:ascii="宋体" w:hAnsi="宋体"/>
          <w:kern w:val="0"/>
          <w:szCs w:val="21"/>
        </w:rPr>
      </w:pPr>
      <w:r>
        <w:rPr>
          <w:rFonts w:hint="eastAsia" w:ascii="宋体" w:hAnsi="宋体"/>
          <w:kern w:val="0"/>
          <w:szCs w:val="21"/>
        </w:rPr>
        <w:t>附：法定代表人及委托代理人身份证明</w:t>
      </w:r>
    </w:p>
    <w:p>
      <w:pPr>
        <w:widowControl/>
        <w:topLinePunct/>
        <w:spacing w:line="440" w:lineRule="atLeast"/>
        <w:ind w:firstLine="610"/>
        <w:rPr>
          <w:kern w:val="0"/>
          <w:szCs w:val="21"/>
        </w:rPr>
      </w:pPr>
    </w:p>
    <w:p>
      <w:pPr>
        <w:widowControl/>
        <w:topLinePunct/>
        <w:spacing w:line="440" w:lineRule="atLeast"/>
        <w:ind w:firstLine="610"/>
        <w:rPr>
          <w:kern w:val="0"/>
          <w:szCs w:val="21"/>
        </w:rPr>
      </w:pPr>
    </w:p>
    <w:tbl>
      <w:tblPr>
        <w:tblStyle w:val="42"/>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szCs w:val="21"/>
              </w:rPr>
            </w:pPr>
            <w:r>
              <w:rPr>
                <w:rFonts w:hint="eastAsia" w:ascii="宋体" w:hAnsi="宋体"/>
                <w:szCs w:val="21"/>
              </w:rPr>
              <w:t>法定代表人二代身份证复印件</w:t>
            </w:r>
          </w:p>
        </w:tc>
        <w:tc>
          <w:tcPr>
            <w:tcW w:w="4047" w:type="dxa"/>
            <w:vAlign w:val="center"/>
          </w:tcPr>
          <w:p>
            <w:pPr>
              <w:snapToGrid w:val="0"/>
              <w:spacing w:line="360" w:lineRule="auto"/>
              <w:jc w:val="center"/>
              <w:rPr>
                <w:rFonts w:ascii="宋体" w:hAnsi="宋体"/>
                <w:szCs w:val="21"/>
              </w:rPr>
            </w:pPr>
            <w:r>
              <w:rPr>
                <w:rFonts w:hint="eastAsia" w:ascii="宋体" w:hAnsi="宋体"/>
                <w:szCs w:val="21"/>
              </w:rPr>
              <w:t>委托代理人二代身份证复印件</w:t>
            </w:r>
          </w:p>
        </w:tc>
      </w:tr>
    </w:tbl>
    <w:p>
      <w:pPr>
        <w:widowControl/>
        <w:topLinePunct/>
        <w:spacing w:line="440" w:lineRule="atLeast"/>
        <w:ind w:firstLine="2879"/>
        <w:rPr>
          <w:kern w:val="0"/>
          <w:szCs w:val="21"/>
        </w:rPr>
      </w:pPr>
    </w:p>
    <w:p>
      <w:pPr>
        <w:widowControl/>
        <w:topLinePunct/>
        <w:spacing w:line="440" w:lineRule="atLeast"/>
        <w:ind w:firstLine="2879"/>
        <w:rPr>
          <w:kern w:val="0"/>
          <w:szCs w:val="21"/>
        </w:rPr>
      </w:pPr>
    </w:p>
    <w:p>
      <w:pPr>
        <w:widowControl/>
        <w:topLinePunct/>
        <w:spacing w:line="440" w:lineRule="atLeast"/>
        <w:ind w:firstLine="2879"/>
        <w:rPr>
          <w:kern w:val="0"/>
          <w:szCs w:val="21"/>
        </w:rPr>
      </w:pPr>
    </w:p>
    <w:p>
      <w:pPr>
        <w:widowControl/>
        <w:topLinePunct/>
        <w:spacing w:line="440" w:lineRule="atLeast"/>
        <w:ind w:firstLine="2879"/>
        <w:rPr>
          <w:kern w:val="0"/>
          <w:szCs w:val="21"/>
        </w:rPr>
      </w:pPr>
      <w:r>
        <w:rPr>
          <w:kern w:val="0"/>
          <w:szCs w:val="21"/>
        </w:rPr>
        <w:t>投标人：（盖单位章）</w:t>
      </w:r>
    </w:p>
    <w:p>
      <w:pPr>
        <w:widowControl/>
        <w:topLinePunct/>
        <w:spacing w:line="440" w:lineRule="atLeast"/>
        <w:ind w:firstLine="2879"/>
        <w:rPr>
          <w:kern w:val="0"/>
          <w:szCs w:val="21"/>
        </w:rPr>
      </w:pPr>
    </w:p>
    <w:p>
      <w:pPr>
        <w:widowControl/>
        <w:topLinePunct/>
        <w:spacing w:line="440" w:lineRule="atLeast"/>
        <w:ind w:firstLine="2879"/>
        <w:rPr>
          <w:kern w:val="0"/>
          <w:szCs w:val="21"/>
        </w:rPr>
      </w:pPr>
      <w:r>
        <w:rPr>
          <w:kern w:val="0"/>
          <w:szCs w:val="21"/>
        </w:rPr>
        <w:t>法定代表人：（签字）</w:t>
      </w:r>
    </w:p>
    <w:p>
      <w:pPr>
        <w:widowControl/>
        <w:topLinePunct/>
        <w:spacing w:line="440" w:lineRule="atLeast"/>
        <w:ind w:firstLine="2879"/>
        <w:rPr>
          <w:kern w:val="0"/>
          <w:szCs w:val="21"/>
        </w:rPr>
      </w:pPr>
    </w:p>
    <w:p>
      <w:pPr>
        <w:widowControl/>
        <w:topLinePunct/>
        <w:spacing w:line="440" w:lineRule="atLeast"/>
        <w:ind w:firstLine="2879"/>
        <w:rPr>
          <w:rFonts w:ascii="宋体" w:hAnsi="宋体"/>
          <w:kern w:val="0"/>
          <w:szCs w:val="21"/>
        </w:rPr>
      </w:pPr>
      <w:r>
        <w:rPr>
          <w:kern w:val="0"/>
          <w:szCs w:val="21"/>
        </w:rPr>
        <w:t>委托代理人：（签字）</w:t>
      </w:r>
    </w:p>
    <w:p>
      <w:pPr>
        <w:widowControl/>
        <w:topLinePunct/>
        <w:spacing w:line="440" w:lineRule="atLeast"/>
        <w:ind w:left="4117" w:firstLine="2879"/>
        <w:rPr>
          <w:kern w:val="0"/>
          <w:szCs w:val="21"/>
        </w:rPr>
      </w:pPr>
    </w:p>
    <w:p>
      <w:pPr>
        <w:widowControl/>
        <w:topLinePunct/>
        <w:spacing w:line="440" w:lineRule="atLeast"/>
        <w:ind w:firstLine="2879"/>
        <w:rPr>
          <w:kern w:val="0"/>
          <w:szCs w:val="21"/>
        </w:rPr>
      </w:pPr>
    </w:p>
    <w:p>
      <w:pPr>
        <w:widowControl/>
        <w:topLinePunct/>
        <w:spacing w:line="440" w:lineRule="atLeast"/>
        <w:ind w:left="1836" w:firstLine="3204"/>
        <w:jc w:val="left"/>
        <w:rPr>
          <w:kern w:val="0"/>
        </w:rPr>
      </w:pPr>
      <w:r>
        <w:rPr>
          <w:kern w:val="0"/>
          <w:szCs w:val="21"/>
        </w:rPr>
        <w:t>年月日</w:t>
      </w:r>
    </w:p>
    <w:p>
      <w:pPr>
        <w:widowControl/>
        <w:topLinePunct/>
        <w:spacing w:line="440" w:lineRule="atLeast"/>
        <w:jc w:val="left"/>
        <w:rPr>
          <w:kern w:val="0"/>
        </w:rPr>
      </w:pPr>
    </w:p>
    <w:bookmarkEnd w:id="543"/>
    <w:bookmarkEnd w:id="547"/>
    <w:bookmarkEnd w:id="548"/>
    <w:bookmarkEnd w:id="549"/>
    <w:bookmarkEnd w:id="550"/>
    <w:p>
      <w:pPr>
        <w:pStyle w:val="3"/>
        <w:spacing w:before="0" w:after="0" w:line="360" w:lineRule="auto"/>
        <w:jc w:val="center"/>
        <w:rPr>
          <w:rFonts w:ascii="黑体" w:hAnsi="黑体" w:eastAsia="黑体"/>
          <w:b w:val="0"/>
          <w:bCs w:val="0"/>
          <w:sz w:val="30"/>
        </w:rPr>
      </w:pPr>
      <w:bookmarkStart w:id="554" w:name="_Toc13141"/>
      <w:bookmarkStart w:id="555" w:name="_Toc486318772"/>
      <w:bookmarkStart w:id="556" w:name="_Toc300678572"/>
      <w:bookmarkStart w:id="557" w:name="_Toc18845"/>
      <w:bookmarkStart w:id="558" w:name="_Toc484015140"/>
    </w:p>
    <w:p>
      <w:pPr>
        <w:pStyle w:val="3"/>
        <w:spacing w:before="0" w:after="0" w:line="360" w:lineRule="auto"/>
        <w:jc w:val="center"/>
        <w:rPr>
          <w:rFonts w:ascii="黑体" w:hAnsi="黑体" w:eastAsia="黑体"/>
          <w:b w:val="0"/>
          <w:bCs w:val="0"/>
          <w:sz w:val="30"/>
        </w:rPr>
      </w:pPr>
      <w:bookmarkStart w:id="559" w:name="_Toc13403"/>
      <w:bookmarkStart w:id="560" w:name="_Toc8106"/>
      <w:r>
        <w:rPr>
          <w:rFonts w:hint="eastAsia" w:ascii="黑体" w:hAnsi="黑体" w:eastAsia="黑体"/>
          <w:b w:val="0"/>
          <w:bCs w:val="0"/>
          <w:sz w:val="30"/>
        </w:rPr>
        <w:t>三、联合体协议书</w:t>
      </w:r>
      <w:bookmarkEnd w:id="554"/>
      <w:bookmarkEnd w:id="555"/>
      <w:bookmarkEnd w:id="556"/>
      <w:bookmarkEnd w:id="557"/>
      <w:bookmarkEnd w:id="558"/>
      <w:bookmarkEnd w:id="559"/>
      <w:bookmarkEnd w:id="560"/>
    </w:p>
    <w:p>
      <w:pPr>
        <w:spacing w:line="360" w:lineRule="auto"/>
        <w:jc w:val="center"/>
        <w:rPr>
          <w:rFonts w:ascii="黑体" w:hAnsi="宋体" w:eastAsia="黑体"/>
          <w:sz w:val="48"/>
          <w:szCs w:val="48"/>
        </w:rPr>
      </w:pPr>
      <w:bookmarkStart w:id="561" w:name="_Toc300678573"/>
      <w:r>
        <w:rPr>
          <w:rFonts w:hint="eastAsia" w:ascii="黑体" w:hAnsi="宋体" w:eastAsia="黑体"/>
          <w:sz w:val="48"/>
          <w:szCs w:val="48"/>
        </w:rPr>
        <w:t>无</w:t>
      </w: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宋体" w:eastAsia="黑体"/>
          <w:sz w:val="48"/>
          <w:szCs w:val="48"/>
        </w:rPr>
      </w:pPr>
    </w:p>
    <w:p>
      <w:pPr>
        <w:spacing w:line="360" w:lineRule="auto"/>
        <w:jc w:val="center"/>
        <w:rPr>
          <w:rFonts w:ascii="黑体" w:hAnsi="黑体" w:eastAsia="黑体"/>
          <w:sz w:val="30"/>
        </w:rPr>
      </w:pPr>
      <w:bookmarkStart w:id="562" w:name="_Toc484015141"/>
      <w:bookmarkStart w:id="563" w:name="_Toc486318773"/>
      <w:bookmarkStart w:id="564" w:name="_Toc13268"/>
      <w:bookmarkStart w:id="565" w:name="_Toc29130"/>
      <w:r>
        <w:rPr>
          <w:rFonts w:hint="eastAsia" w:ascii="黑体" w:hAnsi="黑体" w:eastAsia="黑体"/>
          <w:sz w:val="30"/>
        </w:rPr>
        <w:t>四、投标保证金</w:t>
      </w:r>
      <w:bookmarkEnd w:id="561"/>
      <w:bookmarkEnd w:id="562"/>
      <w:bookmarkEnd w:id="563"/>
      <w:bookmarkEnd w:id="564"/>
      <w:bookmarkEnd w:id="565"/>
    </w:p>
    <w:p>
      <w:pPr>
        <w:spacing w:line="360" w:lineRule="auto"/>
        <w:jc w:val="left"/>
      </w:pPr>
    </w:p>
    <w:p>
      <w:pPr>
        <w:widowControl/>
        <w:jc w:val="center"/>
      </w:pPr>
      <w:r>
        <w:rPr>
          <w:rFonts w:hint="eastAsia"/>
        </w:rPr>
        <w:t>附投标人基本账户开户许可证和本项目投标保证金银行进账单复印件</w:t>
      </w:r>
    </w:p>
    <w:p>
      <w:pPr>
        <w:spacing w:line="360" w:lineRule="auto"/>
        <w:jc w:val="left"/>
        <w:rPr>
          <w:rFonts w:ascii="黑体" w:hAnsi="黑体" w:eastAsia="黑体"/>
          <w:b/>
          <w:bCs/>
        </w:rPr>
      </w:pPr>
    </w:p>
    <w:p>
      <w:pPr>
        <w:spacing w:line="360" w:lineRule="auto"/>
        <w:jc w:val="left"/>
        <w:rPr>
          <w:rFonts w:ascii="黑体" w:hAnsi="黑体" w:eastAsia="黑体"/>
          <w:b/>
          <w:bCs/>
        </w:rPr>
      </w:pPr>
    </w:p>
    <w:p>
      <w:pPr>
        <w:pStyle w:val="3"/>
        <w:jc w:val="center"/>
        <w:rPr>
          <w:rFonts w:ascii="黑体" w:hAnsi="黑体" w:eastAsia="黑体"/>
          <w:b w:val="0"/>
          <w:bCs w:val="0"/>
          <w:sz w:val="30"/>
        </w:rPr>
      </w:pPr>
      <w:bookmarkStart w:id="566" w:name="_Toc21921"/>
      <w:bookmarkStart w:id="567" w:name="_Toc484015142"/>
      <w:bookmarkStart w:id="568" w:name="_Toc30877"/>
      <w:bookmarkStart w:id="569" w:name="_Toc9938"/>
      <w:bookmarkStart w:id="570" w:name="_Toc300678574"/>
      <w:bookmarkStart w:id="571" w:name="_Toc10313"/>
      <w:bookmarkStart w:id="572" w:name="_Toc486318774"/>
      <w:r>
        <w:rPr>
          <w:rFonts w:hint="eastAsia" w:ascii="黑体" w:hAnsi="黑体" w:eastAsia="黑体"/>
          <w:b w:val="0"/>
          <w:bCs w:val="0"/>
          <w:sz w:val="30"/>
        </w:rPr>
        <w:t>五、项目管理机构</w:t>
      </w:r>
      <w:bookmarkEnd w:id="566"/>
      <w:bookmarkEnd w:id="567"/>
      <w:bookmarkEnd w:id="568"/>
      <w:bookmarkEnd w:id="569"/>
      <w:bookmarkEnd w:id="570"/>
      <w:bookmarkEnd w:id="571"/>
      <w:bookmarkEnd w:id="572"/>
    </w:p>
    <w:p>
      <w:pPr>
        <w:pStyle w:val="4"/>
        <w:rPr>
          <w:rFonts w:ascii="黑体" w:hAnsi="黑体" w:eastAsia="黑体"/>
          <w:b w:val="0"/>
          <w:bCs w:val="0"/>
          <w:sz w:val="28"/>
        </w:rPr>
      </w:pPr>
      <w:bookmarkStart w:id="573" w:name="_Toc300678575"/>
      <w:bookmarkStart w:id="574" w:name="_Toc32414"/>
      <w:bookmarkStart w:id="575" w:name="_Toc484015143"/>
      <w:bookmarkStart w:id="576" w:name="_Toc17576"/>
      <w:bookmarkStart w:id="577" w:name="_Toc14695"/>
      <w:bookmarkStart w:id="578" w:name="_Toc16588"/>
      <w:bookmarkStart w:id="579" w:name="_Toc486318775"/>
      <w:r>
        <w:rPr>
          <w:rFonts w:hint="eastAsia" w:ascii="黑体" w:hAnsi="黑体" w:eastAsia="黑体"/>
          <w:b w:val="0"/>
          <w:bCs w:val="0"/>
          <w:sz w:val="28"/>
        </w:rPr>
        <w:t>（一）项目管理机构组成表</w:t>
      </w:r>
      <w:bookmarkEnd w:id="573"/>
      <w:bookmarkEnd w:id="574"/>
      <w:bookmarkEnd w:id="575"/>
      <w:bookmarkEnd w:id="576"/>
      <w:bookmarkEnd w:id="577"/>
      <w:bookmarkEnd w:id="578"/>
      <w:bookmarkEnd w:id="579"/>
    </w:p>
    <w:tbl>
      <w:tblPr>
        <w:tblStyle w:val="42"/>
        <w:tblW w:w="834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7"/>
        <w:gridCol w:w="639"/>
        <w:gridCol w:w="1065"/>
        <w:gridCol w:w="808"/>
        <w:gridCol w:w="852"/>
        <w:gridCol w:w="724"/>
        <w:gridCol w:w="2127"/>
        <w:gridCol w:w="15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Merge w:val="restart"/>
            <w:vAlign w:val="center"/>
          </w:tcPr>
          <w:p>
            <w:pPr>
              <w:jc w:val="center"/>
              <w:rPr>
                <w:rFonts w:ascii="宋体" w:hAnsi="宋体"/>
                <w:sz w:val="18"/>
                <w:szCs w:val="21"/>
              </w:rPr>
            </w:pPr>
            <w:r>
              <w:rPr>
                <w:rFonts w:hint="eastAsia" w:ascii="宋体" w:hAnsi="宋体"/>
                <w:sz w:val="18"/>
                <w:szCs w:val="21"/>
              </w:rPr>
              <w:t>姓名</w:t>
            </w:r>
          </w:p>
        </w:tc>
        <w:tc>
          <w:tcPr>
            <w:tcW w:w="639" w:type="dxa"/>
            <w:vMerge w:val="restart"/>
            <w:vAlign w:val="center"/>
          </w:tcPr>
          <w:p>
            <w:pPr>
              <w:jc w:val="center"/>
              <w:rPr>
                <w:rFonts w:ascii="宋体" w:hAnsi="宋体"/>
                <w:sz w:val="18"/>
                <w:szCs w:val="21"/>
              </w:rPr>
            </w:pPr>
            <w:r>
              <w:rPr>
                <w:rFonts w:hint="eastAsia" w:ascii="宋体" w:hAnsi="宋体"/>
                <w:sz w:val="18"/>
                <w:szCs w:val="21"/>
              </w:rPr>
              <w:t>性别</w:t>
            </w:r>
          </w:p>
        </w:tc>
        <w:tc>
          <w:tcPr>
            <w:tcW w:w="5576" w:type="dxa"/>
            <w:gridSpan w:val="5"/>
            <w:vAlign w:val="center"/>
          </w:tcPr>
          <w:p>
            <w:pPr>
              <w:jc w:val="center"/>
              <w:rPr>
                <w:rFonts w:ascii="宋体" w:hAnsi="宋体"/>
                <w:sz w:val="18"/>
                <w:szCs w:val="21"/>
              </w:rPr>
            </w:pPr>
            <w:r>
              <w:rPr>
                <w:rFonts w:hint="eastAsia" w:ascii="宋体" w:hAnsi="宋体"/>
                <w:sz w:val="18"/>
                <w:szCs w:val="21"/>
              </w:rPr>
              <w:t>执业或岗位资格证明</w:t>
            </w:r>
          </w:p>
        </w:tc>
        <w:tc>
          <w:tcPr>
            <w:tcW w:w="1510" w:type="dxa"/>
            <w:vMerge w:val="restart"/>
            <w:vAlign w:val="center"/>
          </w:tcPr>
          <w:p>
            <w:pPr>
              <w:jc w:val="center"/>
              <w:rPr>
                <w:rFonts w:ascii="宋体" w:hAnsi="宋体"/>
                <w:sz w:val="18"/>
                <w:szCs w:val="21"/>
              </w:rPr>
            </w:pPr>
            <w:r>
              <w:rPr>
                <w:rFonts w:hint="eastAsia" w:ascii="宋体" w:hAnsi="宋体"/>
                <w:sz w:val="18"/>
                <w:szCs w:val="21"/>
              </w:rPr>
              <w:t>拟在本项目担任的工作岗位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Merge w:val="continue"/>
            <w:vAlign w:val="center"/>
          </w:tcPr>
          <w:p>
            <w:pPr>
              <w:jc w:val="center"/>
              <w:rPr>
                <w:rFonts w:ascii="宋体" w:hAnsi="宋体"/>
                <w:szCs w:val="21"/>
              </w:rPr>
            </w:pPr>
          </w:p>
        </w:tc>
        <w:tc>
          <w:tcPr>
            <w:tcW w:w="639" w:type="dxa"/>
            <w:vMerge w:val="continue"/>
            <w:vAlign w:val="center"/>
          </w:tcPr>
          <w:p>
            <w:pPr>
              <w:jc w:val="center"/>
              <w:rPr>
                <w:rFonts w:ascii="宋体" w:hAnsi="宋体"/>
                <w:szCs w:val="21"/>
              </w:rPr>
            </w:pPr>
          </w:p>
        </w:tc>
        <w:tc>
          <w:tcPr>
            <w:tcW w:w="1065" w:type="dxa"/>
            <w:vAlign w:val="center"/>
          </w:tcPr>
          <w:p>
            <w:pPr>
              <w:jc w:val="center"/>
              <w:rPr>
                <w:rFonts w:ascii="宋体" w:hAnsi="宋体"/>
                <w:sz w:val="18"/>
                <w:szCs w:val="21"/>
              </w:rPr>
            </w:pPr>
            <w:r>
              <w:rPr>
                <w:rFonts w:hint="eastAsia" w:ascii="宋体" w:hAnsi="宋体"/>
                <w:sz w:val="18"/>
                <w:szCs w:val="21"/>
              </w:rPr>
              <w:t>证书名称</w:t>
            </w:r>
          </w:p>
        </w:tc>
        <w:tc>
          <w:tcPr>
            <w:tcW w:w="808" w:type="dxa"/>
            <w:vAlign w:val="center"/>
          </w:tcPr>
          <w:p>
            <w:pPr>
              <w:jc w:val="center"/>
              <w:rPr>
                <w:rFonts w:ascii="宋体" w:hAnsi="宋体"/>
                <w:sz w:val="18"/>
                <w:szCs w:val="21"/>
              </w:rPr>
            </w:pPr>
            <w:r>
              <w:rPr>
                <w:rFonts w:hint="eastAsia" w:ascii="宋体" w:hAnsi="宋体"/>
                <w:sz w:val="18"/>
                <w:szCs w:val="21"/>
              </w:rPr>
              <w:t>级别</w:t>
            </w:r>
          </w:p>
        </w:tc>
        <w:tc>
          <w:tcPr>
            <w:tcW w:w="852" w:type="dxa"/>
            <w:vAlign w:val="center"/>
          </w:tcPr>
          <w:p>
            <w:pPr>
              <w:jc w:val="center"/>
              <w:rPr>
                <w:rFonts w:ascii="宋体" w:hAnsi="宋体"/>
                <w:sz w:val="18"/>
                <w:szCs w:val="21"/>
              </w:rPr>
            </w:pPr>
            <w:r>
              <w:rPr>
                <w:rFonts w:hint="eastAsia" w:ascii="宋体" w:hAnsi="宋体"/>
                <w:sz w:val="18"/>
                <w:szCs w:val="21"/>
              </w:rPr>
              <w:t>证号</w:t>
            </w:r>
          </w:p>
        </w:tc>
        <w:tc>
          <w:tcPr>
            <w:tcW w:w="724" w:type="dxa"/>
            <w:vAlign w:val="center"/>
          </w:tcPr>
          <w:p>
            <w:pPr>
              <w:jc w:val="center"/>
              <w:rPr>
                <w:rFonts w:ascii="宋体" w:hAnsi="宋体"/>
                <w:sz w:val="18"/>
                <w:szCs w:val="21"/>
              </w:rPr>
            </w:pPr>
            <w:r>
              <w:rPr>
                <w:rFonts w:hint="eastAsia" w:ascii="宋体" w:hAnsi="宋体"/>
                <w:sz w:val="18"/>
                <w:szCs w:val="21"/>
              </w:rPr>
              <w:t>专业</w:t>
            </w:r>
          </w:p>
        </w:tc>
        <w:tc>
          <w:tcPr>
            <w:tcW w:w="2127" w:type="dxa"/>
            <w:vAlign w:val="center"/>
          </w:tcPr>
          <w:p>
            <w:pPr>
              <w:jc w:val="center"/>
              <w:rPr>
                <w:rFonts w:ascii="宋体" w:hAnsi="宋体"/>
                <w:sz w:val="18"/>
                <w:szCs w:val="21"/>
              </w:rPr>
            </w:pPr>
            <w:r>
              <w:rPr>
                <w:rFonts w:hint="eastAsia" w:ascii="宋体" w:hAnsi="宋体"/>
                <w:sz w:val="18"/>
                <w:szCs w:val="21"/>
              </w:rPr>
              <w:t>身份证号码</w:t>
            </w:r>
          </w:p>
        </w:tc>
        <w:tc>
          <w:tcPr>
            <w:tcW w:w="1510" w:type="dxa"/>
            <w:vMerge w:val="continue"/>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617"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808" w:type="dxa"/>
            <w:vAlign w:val="center"/>
          </w:tcPr>
          <w:p>
            <w:pPr>
              <w:jc w:val="center"/>
              <w:rPr>
                <w:rFonts w:ascii="宋体" w:hAnsi="宋体"/>
                <w:szCs w:val="21"/>
              </w:rPr>
            </w:pPr>
          </w:p>
        </w:tc>
        <w:tc>
          <w:tcPr>
            <w:tcW w:w="852" w:type="dxa"/>
            <w:vAlign w:val="center"/>
          </w:tcPr>
          <w:p>
            <w:pPr>
              <w:jc w:val="center"/>
              <w:rPr>
                <w:rFonts w:ascii="宋体" w:hAnsi="宋体"/>
                <w:szCs w:val="21"/>
              </w:rPr>
            </w:pPr>
          </w:p>
        </w:tc>
        <w:tc>
          <w:tcPr>
            <w:tcW w:w="724" w:type="dxa"/>
            <w:vAlign w:val="center"/>
          </w:tcPr>
          <w:p>
            <w:pPr>
              <w:jc w:val="center"/>
              <w:rPr>
                <w:rFonts w:ascii="宋体" w:hAnsi="宋体"/>
                <w:szCs w:val="21"/>
              </w:rPr>
            </w:pPr>
          </w:p>
        </w:tc>
        <w:tc>
          <w:tcPr>
            <w:tcW w:w="2127" w:type="dxa"/>
            <w:vAlign w:val="center"/>
          </w:tcPr>
          <w:p>
            <w:pPr>
              <w:jc w:val="center"/>
              <w:rPr>
                <w:rFonts w:ascii="宋体" w:hAnsi="宋体"/>
                <w:szCs w:val="21"/>
              </w:rPr>
            </w:pPr>
          </w:p>
        </w:tc>
        <w:tc>
          <w:tcPr>
            <w:tcW w:w="1510" w:type="dxa"/>
            <w:vAlign w:val="center"/>
          </w:tcPr>
          <w:p>
            <w:pPr>
              <w:jc w:val="center"/>
              <w:rPr>
                <w:rFonts w:ascii="宋体" w:hAnsi="宋体"/>
                <w:szCs w:val="21"/>
              </w:rPr>
            </w:pPr>
          </w:p>
        </w:tc>
      </w:tr>
    </w:tbl>
    <w:p>
      <w:pPr>
        <w:spacing w:line="360" w:lineRule="auto"/>
        <w:rPr>
          <w:rFonts w:ascii="黑体" w:hAnsi="黑体" w:eastAsia="黑体"/>
          <w:b/>
          <w:bCs/>
          <w:sz w:val="28"/>
        </w:rPr>
      </w:pPr>
      <w:r>
        <w:rPr>
          <w:rFonts w:hint="eastAsia" w:ascii="黑体" w:hAnsi="黑体" w:eastAsia="黑体"/>
          <w:b/>
          <w:bCs/>
          <w:sz w:val="28"/>
        </w:rPr>
        <w:t>备注：</w:t>
      </w:r>
    </w:p>
    <w:p>
      <w:pPr>
        <w:spacing w:line="360" w:lineRule="auto"/>
        <w:rPr>
          <w:rFonts w:ascii="宋体" w:hAnsi="宋体"/>
          <w:szCs w:val="21"/>
        </w:rPr>
      </w:pPr>
      <w:r>
        <w:rPr>
          <w:rFonts w:hint="eastAsia" w:ascii="黑体" w:hAnsi="黑体" w:eastAsia="黑体"/>
          <w:b/>
          <w:bCs/>
          <w:sz w:val="28"/>
        </w:rPr>
        <w:t>投标申请人在提交投标文件时</w:t>
      </w:r>
      <w:bookmarkStart w:id="580" w:name="OLE_LINK22"/>
      <w:bookmarkStart w:id="581" w:name="OLE_LINK23"/>
      <w:r>
        <w:rPr>
          <w:rFonts w:hint="eastAsia" w:ascii="黑体" w:hAnsi="黑体" w:eastAsia="黑体"/>
          <w:b/>
          <w:bCs/>
          <w:sz w:val="28"/>
        </w:rPr>
        <w:t>必须</w:t>
      </w:r>
      <w:bookmarkEnd w:id="580"/>
      <w:bookmarkEnd w:id="581"/>
      <w:r>
        <w:rPr>
          <w:rFonts w:hint="eastAsia" w:ascii="黑体" w:hAnsi="黑体" w:eastAsia="黑体"/>
          <w:b/>
          <w:bCs/>
          <w:sz w:val="28"/>
        </w:rPr>
        <w:t>单独提供一份加盖投标单位公章的</w:t>
      </w:r>
      <w:bookmarkStart w:id="582" w:name="OLE_LINK15"/>
      <w:r>
        <w:rPr>
          <w:rFonts w:hint="eastAsia" w:ascii="黑体" w:hAnsi="黑体" w:eastAsia="黑体"/>
          <w:b/>
          <w:bCs/>
          <w:sz w:val="28"/>
        </w:rPr>
        <w:t>项目管理机构组成表</w:t>
      </w:r>
      <w:bookmarkEnd w:id="582"/>
      <w:r>
        <w:rPr>
          <w:rFonts w:hint="eastAsia" w:ascii="黑体" w:hAnsi="黑体" w:eastAsia="黑体"/>
          <w:b/>
          <w:bCs/>
          <w:sz w:val="28"/>
        </w:rPr>
        <w:t>（项目管理机构组成表提供时不须密封），项目管理机构组成内容</w:t>
      </w:r>
      <w:bookmarkStart w:id="583" w:name="OLE_LINK26"/>
      <w:r>
        <w:rPr>
          <w:rFonts w:hint="eastAsia" w:ascii="黑体" w:hAnsi="黑体" w:eastAsia="黑体"/>
          <w:b/>
          <w:bCs/>
          <w:sz w:val="28"/>
        </w:rPr>
        <w:t>须</w:t>
      </w:r>
      <w:bookmarkEnd w:id="583"/>
      <w:r>
        <w:rPr>
          <w:rFonts w:hint="eastAsia" w:ascii="黑体" w:hAnsi="黑体" w:eastAsia="黑体"/>
          <w:b/>
          <w:bCs/>
          <w:sz w:val="28"/>
        </w:rPr>
        <w:t>最少提供项目负责人、项目技术负责人、施工员、安全员、质量员的</w:t>
      </w:r>
      <w:bookmarkStart w:id="584" w:name="OLE_LINK24"/>
      <w:bookmarkStart w:id="585" w:name="OLE_LINK25"/>
      <w:r>
        <w:rPr>
          <w:rFonts w:hint="eastAsia" w:ascii="黑体" w:hAnsi="黑体" w:eastAsia="黑体"/>
          <w:b/>
          <w:bCs/>
          <w:sz w:val="28"/>
        </w:rPr>
        <w:t>姓名和身份证号码</w:t>
      </w:r>
      <w:bookmarkEnd w:id="584"/>
      <w:bookmarkEnd w:id="585"/>
      <w:r>
        <w:rPr>
          <w:rFonts w:hint="eastAsia" w:ascii="黑体" w:hAnsi="黑体" w:eastAsia="黑体"/>
          <w:b/>
          <w:bCs/>
          <w:sz w:val="28"/>
        </w:rPr>
        <w:t>且提供的人员姓名和身份证号码必须和岗位人员证件原件一致，否则，其提交的投标文件按照废标处理。</w:t>
      </w:r>
      <w:r>
        <w:rPr>
          <w:rFonts w:ascii="宋体" w:hAnsi="宋体"/>
          <w:szCs w:val="21"/>
        </w:rPr>
        <w:br w:type="page"/>
      </w:r>
      <w:bookmarkStart w:id="586" w:name="_Toc300678576"/>
    </w:p>
    <w:p>
      <w:pPr>
        <w:pStyle w:val="4"/>
        <w:rPr>
          <w:rFonts w:ascii="黑体" w:hAnsi="黑体" w:eastAsia="黑体"/>
          <w:b w:val="0"/>
          <w:bCs w:val="0"/>
          <w:sz w:val="28"/>
        </w:rPr>
      </w:pPr>
      <w:bookmarkStart w:id="587" w:name="_Toc10254"/>
      <w:bookmarkStart w:id="588" w:name="_Toc484015144"/>
      <w:bookmarkStart w:id="589" w:name="_Toc486318776"/>
      <w:bookmarkStart w:id="590" w:name="_Toc24230"/>
      <w:bookmarkStart w:id="591" w:name="_Toc25408"/>
      <w:bookmarkStart w:id="592" w:name="_Toc22879"/>
      <w:r>
        <w:rPr>
          <w:rFonts w:hint="eastAsia" w:ascii="黑体" w:hAnsi="黑体" w:eastAsia="黑体"/>
          <w:b w:val="0"/>
          <w:bCs w:val="0"/>
          <w:sz w:val="28"/>
        </w:rPr>
        <w:t>（二）主要人员简历表</w:t>
      </w:r>
      <w:bookmarkEnd w:id="586"/>
      <w:bookmarkEnd w:id="587"/>
      <w:bookmarkEnd w:id="588"/>
      <w:bookmarkEnd w:id="589"/>
      <w:bookmarkEnd w:id="590"/>
      <w:bookmarkEnd w:id="591"/>
      <w:bookmarkEnd w:id="592"/>
    </w:p>
    <w:p>
      <w:pPr>
        <w:pStyle w:val="6"/>
        <w:rPr>
          <w:rFonts w:ascii="黑体" w:hAnsi="黑体" w:eastAsia="黑体"/>
          <w:b w:val="0"/>
          <w:bCs w:val="0"/>
          <w:sz w:val="24"/>
        </w:rPr>
      </w:pPr>
      <w:bookmarkStart w:id="593" w:name="_Toc300678577"/>
      <w:r>
        <w:rPr>
          <w:rFonts w:hint="eastAsia" w:ascii="黑体" w:hAnsi="黑体" w:eastAsia="黑体"/>
          <w:b w:val="0"/>
          <w:bCs w:val="0"/>
          <w:sz w:val="24"/>
        </w:rPr>
        <w:t>附1：项目负责人简历表</w:t>
      </w:r>
      <w:bookmarkEnd w:id="593"/>
    </w:p>
    <w:p>
      <w:pPr>
        <w:spacing w:line="360" w:lineRule="auto"/>
        <w:ind w:firstLine="420" w:firstLineChars="200"/>
        <w:rPr>
          <w:rFonts w:ascii="宋体" w:hAnsi="宋体"/>
          <w:szCs w:val="21"/>
        </w:rPr>
      </w:pPr>
      <w:r>
        <w:rPr>
          <w:rFonts w:hint="eastAsia" w:ascii="宋体" w:hAnsi="宋体"/>
          <w:szCs w:val="21"/>
        </w:rPr>
        <w:t>项目负责人应附建造师注册证书、</w:t>
      </w:r>
      <w:r>
        <w:rPr>
          <w:rFonts w:hint="eastAsia" w:ascii="宋体" w:hAnsi="宋体"/>
          <w:szCs w:val="21"/>
          <w:u w:val="single"/>
        </w:rPr>
        <w:t>项目负责人安全生产考核合格证书</w:t>
      </w:r>
      <w:r>
        <w:rPr>
          <w:rFonts w:hint="eastAsia" w:ascii="宋体" w:hAnsi="宋体"/>
          <w:szCs w:val="21"/>
        </w:rPr>
        <w:t>、身份证、养老保险证明复印件，管理过的项目业绩</w:t>
      </w:r>
      <w:r>
        <w:rPr>
          <w:rFonts w:hint="eastAsia" w:ascii="宋体" w:hAnsi="宋体"/>
        </w:rPr>
        <w:t>招标工程应同时提供中标通知书、合同协议书和和竣工验收备案登记表的复印件；非招标工程应同时提供合同协议书和和竣工验收备案登记表的</w:t>
      </w:r>
      <w:r>
        <w:rPr>
          <w:rFonts w:hint="eastAsia" w:ascii="宋体" w:hAnsi="宋体"/>
          <w:szCs w:val="21"/>
        </w:rPr>
        <w:t>复印件。类似项目限于以项目负责人身份参与的项目。</w:t>
      </w:r>
    </w:p>
    <w:tbl>
      <w:tblPr>
        <w:tblStyle w:val="42"/>
        <w:tblW w:w="832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035"/>
        <w:gridCol w:w="1134"/>
        <w:gridCol w:w="1275"/>
        <w:gridCol w:w="1843"/>
        <w:gridCol w:w="18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65" w:type="dxa"/>
            <w:vAlign w:val="center"/>
          </w:tcPr>
          <w:p>
            <w:pPr>
              <w:jc w:val="center"/>
              <w:rPr>
                <w:rFonts w:ascii="宋体" w:hAnsi="宋体"/>
                <w:sz w:val="18"/>
                <w:szCs w:val="21"/>
              </w:rPr>
            </w:pPr>
            <w:r>
              <w:rPr>
                <w:rFonts w:hint="eastAsia" w:ascii="宋体" w:hAnsi="宋体"/>
                <w:sz w:val="18"/>
                <w:szCs w:val="21"/>
              </w:rPr>
              <w:t>姓  名</w:t>
            </w:r>
          </w:p>
        </w:tc>
        <w:tc>
          <w:tcPr>
            <w:tcW w:w="2169" w:type="dxa"/>
            <w:gridSpan w:val="2"/>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r>
              <w:rPr>
                <w:rFonts w:hint="eastAsia" w:ascii="宋体" w:hAnsi="宋体"/>
                <w:sz w:val="18"/>
                <w:szCs w:val="21"/>
              </w:rPr>
              <w:t>职  称</w:t>
            </w:r>
          </w:p>
        </w:tc>
        <w:tc>
          <w:tcPr>
            <w:tcW w:w="3715"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65" w:type="dxa"/>
            <w:vAlign w:val="center"/>
          </w:tcPr>
          <w:p>
            <w:pPr>
              <w:jc w:val="center"/>
              <w:rPr>
                <w:rFonts w:ascii="宋体" w:hAnsi="宋体"/>
                <w:sz w:val="18"/>
                <w:szCs w:val="21"/>
              </w:rPr>
            </w:pPr>
            <w:r>
              <w:rPr>
                <w:rFonts w:hint="eastAsia" w:ascii="宋体" w:hAnsi="宋体"/>
                <w:sz w:val="18"/>
                <w:szCs w:val="21"/>
              </w:rPr>
              <w:t>职  务</w:t>
            </w: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r>
              <w:rPr>
                <w:rFonts w:hint="eastAsia" w:ascii="宋体" w:hAnsi="宋体"/>
                <w:sz w:val="18"/>
                <w:szCs w:val="21"/>
              </w:rPr>
              <w:t>年龄</w:t>
            </w: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r>
              <w:rPr>
                <w:rFonts w:hint="eastAsia" w:ascii="宋体" w:hAnsi="宋体"/>
                <w:sz w:val="18"/>
                <w:szCs w:val="21"/>
              </w:rPr>
              <w:t>拟在本工程任职</w:t>
            </w:r>
          </w:p>
        </w:tc>
        <w:tc>
          <w:tcPr>
            <w:tcW w:w="1872" w:type="dxa"/>
            <w:vAlign w:val="center"/>
          </w:tcPr>
          <w:p>
            <w:pPr>
              <w:jc w:val="center"/>
              <w:rPr>
                <w:rFonts w:ascii="宋体" w:hAnsi="宋体"/>
                <w:sz w:val="18"/>
                <w:szCs w:val="21"/>
              </w:rPr>
            </w:pPr>
            <w:r>
              <w:rPr>
                <w:rFonts w:hint="eastAsia" w:ascii="宋体" w:hAnsi="宋体"/>
                <w:sz w:val="18"/>
                <w:szCs w:val="21"/>
              </w:rPr>
              <w:t>项目负责人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334" w:type="dxa"/>
            <w:gridSpan w:val="3"/>
            <w:vAlign w:val="center"/>
          </w:tcPr>
          <w:p>
            <w:pPr>
              <w:jc w:val="center"/>
              <w:rPr>
                <w:rFonts w:ascii="宋体" w:hAnsi="宋体"/>
                <w:sz w:val="18"/>
                <w:szCs w:val="21"/>
              </w:rPr>
            </w:pPr>
            <w:r>
              <w:rPr>
                <w:rFonts w:hint="eastAsia" w:ascii="宋体" w:hAnsi="宋体"/>
                <w:sz w:val="18"/>
                <w:szCs w:val="21"/>
              </w:rPr>
              <w:t>注册建造师执业资格等级</w:t>
            </w:r>
          </w:p>
        </w:tc>
        <w:tc>
          <w:tcPr>
            <w:tcW w:w="1275" w:type="dxa"/>
            <w:vAlign w:val="center"/>
          </w:tcPr>
          <w:p>
            <w:pPr>
              <w:jc w:val="center"/>
              <w:rPr>
                <w:rFonts w:ascii="宋体" w:hAnsi="宋体"/>
                <w:sz w:val="18"/>
                <w:szCs w:val="21"/>
              </w:rPr>
            </w:pPr>
            <w:r>
              <w:rPr>
                <w:rFonts w:hint="eastAsia" w:ascii="宋体" w:hAnsi="宋体"/>
                <w:sz w:val="18"/>
                <w:szCs w:val="21"/>
              </w:rPr>
              <w:t xml:space="preserve">      级</w:t>
            </w:r>
          </w:p>
        </w:tc>
        <w:tc>
          <w:tcPr>
            <w:tcW w:w="1843" w:type="dxa"/>
            <w:vAlign w:val="center"/>
          </w:tcPr>
          <w:p>
            <w:pPr>
              <w:jc w:val="center"/>
              <w:rPr>
                <w:rFonts w:ascii="宋体" w:hAnsi="宋体"/>
                <w:sz w:val="18"/>
                <w:szCs w:val="21"/>
              </w:rPr>
            </w:pPr>
            <w:r>
              <w:rPr>
                <w:rFonts w:hint="eastAsia" w:ascii="宋体" w:hAnsi="宋体"/>
                <w:sz w:val="18"/>
                <w:szCs w:val="21"/>
              </w:rPr>
              <w:t>建造师专业</w:t>
            </w: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334" w:type="dxa"/>
            <w:gridSpan w:val="3"/>
            <w:vAlign w:val="center"/>
          </w:tcPr>
          <w:p>
            <w:pPr>
              <w:jc w:val="center"/>
              <w:rPr>
                <w:rFonts w:ascii="宋体" w:hAnsi="宋体"/>
                <w:sz w:val="18"/>
                <w:szCs w:val="21"/>
              </w:rPr>
            </w:pPr>
            <w:r>
              <w:rPr>
                <w:rFonts w:hint="eastAsia" w:ascii="宋体" w:hAnsi="宋体"/>
                <w:sz w:val="18"/>
                <w:szCs w:val="21"/>
              </w:rPr>
              <w:t>安全生产考核合格证书证号</w:t>
            </w:r>
          </w:p>
        </w:tc>
        <w:tc>
          <w:tcPr>
            <w:tcW w:w="4990" w:type="dxa"/>
            <w:gridSpan w:val="3"/>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324" w:type="dxa"/>
            <w:gridSpan w:val="6"/>
            <w:vAlign w:val="center"/>
          </w:tcPr>
          <w:p>
            <w:pPr>
              <w:jc w:val="center"/>
              <w:rPr>
                <w:rFonts w:ascii="宋体" w:hAnsi="宋体"/>
                <w:sz w:val="18"/>
                <w:szCs w:val="21"/>
              </w:rPr>
            </w:pPr>
            <w:r>
              <w:rPr>
                <w:rFonts w:hint="eastAsia" w:ascii="宋体" w:hAnsi="宋体"/>
                <w:sz w:val="18"/>
                <w:szCs w:val="21"/>
              </w:rPr>
              <w:t>主要工作经历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65" w:type="dxa"/>
            <w:vAlign w:val="center"/>
          </w:tcPr>
          <w:p>
            <w:pPr>
              <w:jc w:val="center"/>
              <w:rPr>
                <w:rFonts w:ascii="宋体" w:hAnsi="宋体"/>
                <w:sz w:val="18"/>
                <w:szCs w:val="21"/>
              </w:rPr>
            </w:pPr>
            <w:r>
              <w:rPr>
                <w:rFonts w:hint="eastAsia" w:ascii="宋体" w:hAnsi="宋体"/>
                <w:sz w:val="18"/>
                <w:szCs w:val="21"/>
              </w:rPr>
              <w:t>时  间</w:t>
            </w:r>
          </w:p>
        </w:tc>
        <w:tc>
          <w:tcPr>
            <w:tcW w:w="3444" w:type="dxa"/>
            <w:gridSpan w:val="3"/>
            <w:vAlign w:val="center"/>
          </w:tcPr>
          <w:p>
            <w:pPr>
              <w:jc w:val="center"/>
              <w:rPr>
                <w:rFonts w:ascii="宋体" w:hAnsi="宋体"/>
                <w:sz w:val="18"/>
                <w:szCs w:val="21"/>
              </w:rPr>
            </w:pPr>
            <w:r>
              <w:rPr>
                <w:rFonts w:hint="eastAsia" w:ascii="宋体" w:hAnsi="宋体"/>
                <w:sz w:val="18"/>
                <w:szCs w:val="21"/>
              </w:rPr>
              <w:t>参加过的类似项目名称</w:t>
            </w:r>
          </w:p>
        </w:tc>
        <w:tc>
          <w:tcPr>
            <w:tcW w:w="1843" w:type="dxa"/>
            <w:vAlign w:val="center"/>
          </w:tcPr>
          <w:p>
            <w:pPr>
              <w:jc w:val="center"/>
              <w:rPr>
                <w:rFonts w:ascii="宋体" w:hAnsi="宋体"/>
                <w:sz w:val="18"/>
                <w:szCs w:val="21"/>
              </w:rPr>
            </w:pPr>
            <w:r>
              <w:rPr>
                <w:rFonts w:hint="eastAsia" w:ascii="宋体" w:hAnsi="宋体"/>
                <w:sz w:val="18"/>
                <w:szCs w:val="21"/>
              </w:rPr>
              <w:t>工程概况说明</w:t>
            </w:r>
          </w:p>
        </w:tc>
        <w:tc>
          <w:tcPr>
            <w:tcW w:w="1872" w:type="dxa"/>
            <w:vAlign w:val="center"/>
          </w:tcPr>
          <w:p>
            <w:pPr>
              <w:jc w:val="center"/>
              <w:rPr>
                <w:rFonts w:ascii="宋体" w:hAnsi="宋体"/>
                <w:sz w:val="18"/>
                <w:szCs w:val="21"/>
              </w:rPr>
            </w:pPr>
            <w:r>
              <w:rPr>
                <w:rFonts w:hint="eastAsia" w:ascii="宋体" w:hAnsi="宋体"/>
                <w:sz w:val="18"/>
                <w:szCs w:val="21"/>
              </w:rPr>
              <w:t>发包人及联系电话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165" w:type="dxa"/>
            <w:vAlign w:val="center"/>
          </w:tcPr>
          <w:p>
            <w:pPr>
              <w:jc w:val="center"/>
              <w:rPr>
                <w:rFonts w:ascii="宋体" w:hAnsi="宋体"/>
                <w:sz w:val="18"/>
                <w:szCs w:val="21"/>
              </w:rPr>
            </w:pPr>
          </w:p>
        </w:tc>
        <w:tc>
          <w:tcPr>
            <w:tcW w:w="1035" w:type="dxa"/>
            <w:vAlign w:val="center"/>
          </w:tcPr>
          <w:p>
            <w:pPr>
              <w:jc w:val="center"/>
              <w:rPr>
                <w:rFonts w:ascii="宋体" w:hAnsi="宋体"/>
                <w:sz w:val="18"/>
                <w:szCs w:val="21"/>
              </w:rPr>
            </w:pPr>
          </w:p>
        </w:tc>
        <w:tc>
          <w:tcPr>
            <w:tcW w:w="1134" w:type="dxa"/>
            <w:vAlign w:val="center"/>
          </w:tcPr>
          <w:p>
            <w:pPr>
              <w:jc w:val="center"/>
              <w:rPr>
                <w:rFonts w:ascii="宋体" w:hAnsi="宋体"/>
                <w:sz w:val="18"/>
                <w:szCs w:val="21"/>
              </w:rPr>
            </w:pPr>
          </w:p>
        </w:tc>
        <w:tc>
          <w:tcPr>
            <w:tcW w:w="1275" w:type="dxa"/>
            <w:vAlign w:val="center"/>
          </w:tcPr>
          <w:p>
            <w:pPr>
              <w:jc w:val="center"/>
              <w:rPr>
                <w:rFonts w:ascii="宋体" w:hAnsi="宋体"/>
                <w:sz w:val="18"/>
                <w:szCs w:val="21"/>
              </w:rPr>
            </w:pPr>
          </w:p>
        </w:tc>
        <w:tc>
          <w:tcPr>
            <w:tcW w:w="1843" w:type="dxa"/>
            <w:vAlign w:val="center"/>
          </w:tcPr>
          <w:p>
            <w:pPr>
              <w:jc w:val="center"/>
              <w:rPr>
                <w:rFonts w:ascii="宋体" w:hAnsi="宋体"/>
                <w:sz w:val="18"/>
                <w:szCs w:val="21"/>
              </w:rPr>
            </w:pPr>
          </w:p>
        </w:tc>
        <w:tc>
          <w:tcPr>
            <w:tcW w:w="1872" w:type="dxa"/>
            <w:vAlign w:val="center"/>
          </w:tcPr>
          <w:p>
            <w:pPr>
              <w:jc w:val="center"/>
              <w:rPr>
                <w:rFonts w:ascii="宋体" w:hAnsi="宋体"/>
                <w:sz w:val="18"/>
                <w:szCs w:val="21"/>
              </w:rPr>
            </w:pPr>
          </w:p>
        </w:tc>
      </w:tr>
    </w:tbl>
    <w:p>
      <w:pPr>
        <w:spacing w:line="300" w:lineRule="auto"/>
        <w:jc w:val="left"/>
        <w:rPr>
          <w:rFonts w:ascii="宋体" w:hAnsi="宋体"/>
          <w:color w:val="000000"/>
          <w:kern w:val="0"/>
          <w:sz w:val="18"/>
          <w:szCs w:val="18"/>
        </w:rPr>
      </w:pPr>
      <w:r>
        <w:rPr>
          <w:rFonts w:hint="eastAsia" w:ascii="宋体" w:hAnsi="宋体"/>
          <w:kern w:val="0"/>
          <w:sz w:val="18"/>
          <w:szCs w:val="18"/>
        </w:rPr>
        <w:t xml:space="preserve">    注：项目负责人在建项目情况：省内企业项目负责人在建工程情况和省外企业项目负责人在湖南省内在建工程情况以湖南省建筑工程监管信息平台查询为准；</w:t>
      </w:r>
    </w:p>
    <w:p>
      <w:pPr>
        <w:spacing w:line="300" w:lineRule="auto"/>
        <w:jc w:val="left"/>
        <w:rPr>
          <w:rFonts w:ascii="宋体" w:hAnsi="宋体"/>
          <w:color w:val="000000"/>
          <w:kern w:val="0"/>
          <w:sz w:val="18"/>
          <w:szCs w:val="18"/>
        </w:rPr>
      </w:pPr>
      <w:r>
        <w:rPr>
          <w:rFonts w:hint="eastAsia" w:ascii="宋体" w:hAnsi="宋体"/>
          <w:color w:val="000000"/>
          <w:kern w:val="0"/>
          <w:sz w:val="18"/>
          <w:szCs w:val="18"/>
        </w:rPr>
        <w:t>省外企业应提供由企业所在地地（市）级及以上建设行政主管部门出具的项目负责人无在建工程证明复印件（如不能提供无在建证明的，则提供其官方查询网址及结果），附于本表后。</w:t>
      </w:r>
    </w:p>
    <w:p>
      <w:pPr>
        <w:widowControl/>
        <w:spacing w:line="300" w:lineRule="auto"/>
        <w:rPr>
          <w:rFonts w:ascii="宋体" w:hAnsi="宋体"/>
          <w:b/>
          <w:bCs/>
          <w:kern w:val="0"/>
          <w:sz w:val="18"/>
          <w:szCs w:val="18"/>
        </w:rPr>
      </w:pPr>
      <w:r>
        <w:rPr>
          <w:rFonts w:ascii="宋体" w:hAnsi="宋体"/>
          <w:kern w:val="0"/>
          <w:sz w:val="18"/>
          <w:szCs w:val="18"/>
        </w:rPr>
        <w:br w:type="page"/>
      </w:r>
    </w:p>
    <w:p>
      <w:pPr>
        <w:pStyle w:val="6"/>
        <w:rPr>
          <w:rFonts w:ascii="黑体" w:hAnsi="黑体" w:eastAsia="黑体"/>
          <w:b w:val="0"/>
          <w:bCs w:val="0"/>
          <w:sz w:val="24"/>
        </w:rPr>
      </w:pPr>
      <w:bookmarkStart w:id="594" w:name="_Toc300678578"/>
      <w:r>
        <w:rPr>
          <w:rFonts w:hint="eastAsia" w:ascii="黑体" w:hAnsi="黑体" w:eastAsia="黑体"/>
          <w:b w:val="0"/>
          <w:bCs w:val="0"/>
          <w:sz w:val="24"/>
        </w:rPr>
        <w:t>附2：主要项目管理人员简历表</w:t>
      </w:r>
      <w:bookmarkEnd w:id="594"/>
    </w:p>
    <w:p>
      <w:pPr>
        <w:spacing w:line="360" w:lineRule="auto"/>
        <w:ind w:firstLine="422" w:firstLineChars="200"/>
        <w:rPr>
          <w:rFonts w:ascii="宋体" w:hAnsi="宋体"/>
          <w:b/>
          <w:bCs/>
          <w:szCs w:val="21"/>
        </w:rPr>
      </w:pPr>
      <w:r>
        <w:rPr>
          <w:rFonts w:hint="eastAsia" w:ascii="宋体" w:hAnsi="宋体"/>
          <w:b/>
          <w:bCs/>
          <w:szCs w:val="21"/>
        </w:rPr>
        <w:t>主要项目管理人员指项目技术负责人、施工员、安全员、质量员岗位人员。应附技术负责人、施工员、安全员、质量员身份证、养老保险证明复印件；项目技术负责人还须附学历证和职称证，主要业绩</w:t>
      </w:r>
      <w:r>
        <w:rPr>
          <w:rFonts w:hint="eastAsia" w:ascii="宋体" w:hAnsi="宋体"/>
          <w:b/>
          <w:bCs/>
        </w:rPr>
        <w:t>招标工程应同时提供中标通知书、合同协议书和竣工验收备案登记表的复印件；非招标工程应同时提供合同协议书和竣工验收备案登记表的</w:t>
      </w:r>
      <w:r>
        <w:rPr>
          <w:rFonts w:hint="eastAsia" w:ascii="宋体" w:hAnsi="宋体"/>
          <w:b/>
          <w:bCs/>
          <w:szCs w:val="21"/>
        </w:rPr>
        <w:t>复印件；安全员还须附安全生产考核合格证书C证复印件，施工员、质量员还须附岗位资格证书。</w:t>
      </w:r>
    </w:p>
    <w:tbl>
      <w:tblPr>
        <w:tblStyle w:val="42"/>
        <w:tblW w:w="8835"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28"/>
        <w:gridCol w:w="2264"/>
        <w:gridCol w:w="2264"/>
        <w:gridCol w:w="2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6" w:hRule="atLeast"/>
          <w:jc w:val="center"/>
        </w:trPr>
        <w:tc>
          <w:tcPr>
            <w:tcW w:w="1928" w:type="dxa"/>
            <w:vAlign w:val="center"/>
          </w:tcPr>
          <w:p>
            <w:pPr>
              <w:snapToGrid w:val="0"/>
              <w:ind w:left="-2" w:firstLine="10" w:firstLineChars="5"/>
              <w:jc w:val="center"/>
              <w:rPr>
                <w:rFonts w:ascii="宋体" w:hAnsi="宋体"/>
              </w:rPr>
            </w:pPr>
            <w:r>
              <w:rPr>
                <w:rFonts w:hint="eastAsia" w:ascii="宋体" w:hAnsi="宋体"/>
              </w:rPr>
              <w:t>岗位名称</w:t>
            </w:r>
          </w:p>
        </w:tc>
        <w:tc>
          <w:tcPr>
            <w:tcW w:w="6907" w:type="dxa"/>
            <w:gridSpan w:val="3"/>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66" w:hRule="atLeast"/>
          <w:jc w:val="center"/>
        </w:trPr>
        <w:tc>
          <w:tcPr>
            <w:tcW w:w="1928" w:type="dxa"/>
            <w:vAlign w:val="center"/>
          </w:tcPr>
          <w:p>
            <w:pPr>
              <w:snapToGrid w:val="0"/>
              <w:ind w:left="-2" w:firstLine="10" w:firstLineChars="5"/>
              <w:jc w:val="center"/>
              <w:rPr>
                <w:rFonts w:ascii="宋体" w:hAnsi="宋体"/>
              </w:rPr>
            </w:pPr>
            <w:r>
              <w:rPr>
                <w:rFonts w:hint="eastAsia" w:ascii="宋体" w:hAnsi="宋体"/>
              </w:rPr>
              <w:t>姓    名</w:t>
            </w:r>
          </w:p>
        </w:tc>
        <w:tc>
          <w:tcPr>
            <w:tcW w:w="2264" w:type="dxa"/>
            <w:vAlign w:val="center"/>
          </w:tcPr>
          <w:p>
            <w:pPr>
              <w:snapToGrid w:val="0"/>
              <w:ind w:firstLine="420" w:firstLineChars="200"/>
              <w:jc w:val="center"/>
              <w:rPr>
                <w:rFonts w:ascii="宋体" w:hAnsi="宋体"/>
              </w:rPr>
            </w:pPr>
          </w:p>
        </w:tc>
        <w:tc>
          <w:tcPr>
            <w:tcW w:w="2264" w:type="dxa"/>
            <w:vAlign w:val="center"/>
          </w:tcPr>
          <w:p>
            <w:pPr>
              <w:snapToGrid w:val="0"/>
              <w:ind w:left="-2" w:firstLine="10" w:firstLineChars="5"/>
              <w:jc w:val="center"/>
              <w:rPr>
                <w:rFonts w:ascii="宋体" w:hAnsi="宋体"/>
              </w:rPr>
            </w:pPr>
            <w:r>
              <w:rPr>
                <w:rFonts w:hint="eastAsia" w:ascii="宋体" w:hAnsi="宋体"/>
              </w:rPr>
              <w:t>年    龄</w:t>
            </w:r>
          </w:p>
        </w:tc>
        <w:tc>
          <w:tcPr>
            <w:tcW w:w="2379"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1" w:hRule="atLeast"/>
          <w:jc w:val="center"/>
        </w:trPr>
        <w:tc>
          <w:tcPr>
            <w:tcW w:w="1928" w:type="dxa"/>
            <w:vAlign w:val="center"/>
          </w:tcPr>
          <w:p>
            <w:pPr>
              <w:snapToGrid w:val="0"/>
              <w:ind w:left="-2" w:firstLine="10" w:firstLineChars="5"/>
              <w:jc w:val="center"/>
              <w:rPr>
                <w:rFonts w:ascii="宋体" w:hAnsi="宋体"/>
              </w:rPr>
            </w:pPr>
            <w:r>
              <w:rPr>
                <w:rFonts w:hint="eastAsia" w:ascii="宋体" w:hAnsi="宋体"/>
              </w:rPr>
              <w:t>性    别</w:t>
            </w:r>
          </w:p>
        </w:tc>
        <w:tc>
          <w:tcPr>
            <w:tcW w:w="2264" w:type="dxa"/>
            <w:vAlign w:val="center"/>
          </w:tcPr>
          <w:p>
            <w:pPr>
              <w:snapToGrid w:val="0"/>
              <w:ind w:firstLine="420" w:firstLineChars="200"/>
              <w:jc w:val="center"/>
              <w:rPr>
                <w:rFonts w:ascii="宋体" w:hAnsi="宋体"/>
              </w:rPr>
            </w:pPr>
          </w:p>
        </w:tc>
        <w:tc>
          <w:tcPr>
            <w:tcW w:w="2264" w:type="dxa"/>
            <w:vAlign w:val="center"/>
          </w:tcPr>
          <w:p>
            <w:pPr>
              <w:snapToGrid w:val="0"/>
              <w:ind w:left="-2" w:firstLine="10" w:firstLineChars="5"/>
              <w:jc w:val="center"/>
              <w:rPr>
                <w:rFonts w:ascii="宋体" w:hAnsi="宋体"/>
              </w:rPr>
            </w:pPr>
            <w:r>
              <w:rPr>
                <w:rFonts w:hint="eastAsia" w:ascii="宋体" w:hAnsi="宋体"/>
              </w:rPr>
              <w:t>毕业</w:t>
            </w:r>
            <w:r>
              <w:rPr>
                <w:rFonts w:hint="eastAsia" w:ascii="宋体" w:hAnsi="宋体"/>
                <w:szCs w:val="21"/>
              </w:rPr>
              <w:t>学校</w:t>
            </w:r>
          </w:p>
        </w:tc>
        <w:tc>
          <w:tcPr>
            <w:tcW w:w="2379"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1" w:hRule="atLeast"/>
          <w:jc w:val="center"/>
        </w:trPr>
        <w:tc>
          <w:tcPr>
            <w:tcW w:w="1928" w:type="dxa"/>
            <w:vAlign w:val="center"/>
          </w:tcPr>
          <w:p>
            <w:pPr>
              <w:snapToGrid w:val="0"/>
              <w:ind w:left="-2" w:firstLine="10" w:firstLineChars="5"/>
              <w:jc w:val="center"/>
              <w:rPr>
                <w:rFonts w:ascii="宋体" w:hAnsi="宋体"/>
              </w:rPr>
            </w:pPr>
            <w:r>
              <w:rPr>
                <w:rFonts w:hint="eastAsia" w:ascii="宋体" w:hAnsi="宋体"/>
              </w:rPr>
              <w:t>拥有的</w:t>
            </w:r>
            <w:r>
              <w:rPr>
                <w:rFonts w:hint="eastAsia" w:ascii="宋体" w:hAnsi="宋体"/>
                <w:szCs w:val="21"/>
              </w:rPr>
              <w:t>岗位</w:t>
            </w:r>
            <w:r>
              <w:rPr>
                <w:rFonts w:hint="eastAsia" w:ascii="宋体" w:hAnsi="宋体"/>
              </w:rPr>
              <w:t>资格</w:t>
            </w:r>
          </w:p>
        </w:tc>
        <w:tc>
          <w:tcPr>
            <w:tcW w:w="2264" w:type="dxa"/>
            <w:vAlign w:val="center"/>
          </w:tcPr>
          <w:p>
            <w:pPr>
              <w:snapToGrid w:val="0"/>
              <w:ind w:firstLine="420" w:firstLineChars="200"/>
              <w:jc w:val="center"/>
              <w:rPr>
                <w:rFonts w:ascii="宋体" w:hAnsi="宋体"/>
              </w:rPr>
            </w:pPr>
          </w:p>
        </w:tc>
        <w:tc>
          <w:tcPr>
            <w:tcW w:w="2264" w:type="dxa"/>
            <w:vAlign w:val="center"/>
          </w:tcPr>
          <w:p>
            <w:pPr>
              <w:snapToGrid w:val="0"/>
              <w:ind w:left="-2" w:firstLine="10" w:firstLineChars="5"/>
              <w:jc w:val="center"/>
              <w:rPr>
                <w:rFonts w:ascii="宋体" w:hAnsi="宋体"/>
              </w:rPr>
            </w:pPr>
            <w:r>
              <w:rPr>
                <w:rFonts w:hint="eastAsia" w:ascii="宋体" w:hAnsi="宋体"/>
              </w:rPr>
              <w:t>专业</w:t>
            </w:r>
            <w:r>
              <w:rPr>
                <w:rFonts w:hint="eastAsia" w:ascii="宋体" w:hAnsi="宋体"/>
                <w:szCs w:val="21"/>
              </w:rPr>
              <w:t>职称</w:t>
            </w:r>
          </w:p>
        </w:tc>
        <w:tc>
          <w:tcPr>
            <w:tcW w:w="2379"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1" w:hRule="atLeast"/>
          <w:jc w:val="center"/>
        </w:trPr>
        <w:tc>
          <w:tcPr>
            <w:tcW w:w="1928" w:type="dxa"/>
            <w:vAlign w:val="center"/>
          </w:tcPr>
          <w:p>
            <w:pPr>
              <w:snapToGrid w:val="0"/>
              <w:ind w:left="-2" w:firstLine="10" w:firstLineChars="5"/>
              <w:jc w:val="center"/>
              <w:rPr>
                <w:rFonts w:ascii="宋体" w:hAnsi="宋体"/>
              </w:rPr>
            </w:pPr>
            <w:r>
              <w:rPr>
                <w:rFonts w:hint="eastAsia" w:ascii="宋体" w:hAnsi="宋体"/>
              </w:rPr>
              <w:t>岗位资格</w:t>
            </w:r>
            <w:r>
              <w:rPr>
                <w:rFonts w:hint="eastAsia" w:ascii="宋体" w:hAnsi="宋体"/>
                <w:szCs w:val="21"/>
              </w:rPr>
              <w:t>证</w:t>
            </w:r>
            <w:r>
              <w:rPr>
                <w:rFonts w:hint="eastAsia" w:ascii="宋体" w:hAnsi="宋体"/>
              </w:rPr>
              <w:t>书编号</w:t>
            </w:r>
          </w:p>
        </w:tc>
        <w:tc>
          <w:tcPr>
            <w:tcW w:w="2264" w:type="dxa"/>
            <w:vAlign w:val="center"/>
          </w:tcPr>
          <w:p>
            <w:pPr>
              <w:snapToGrid w:val="0"/>
              <w:ind w:firstLine="420" w:firstLineChars="200"/>
              <w:jc w:val="center"/>
              <w:rPr>
                <w:rFonts w:ascii="宋体" w:hAnsi="宋体"/>
              </w:rPr>
            </w:pPr>
          </w:p>
        </w:tc>
        <w:tc>
          <w:tcPr>
            <w:tcW w:w="2264" w:type="dxa"/>
            <w:vAlign w:val="center"/>
          </w:tcPr>
          <w:p>
            <w:pPr>
              <w:snapToGrid w:val="0"/>
              <w:ind w:left="-2" w:firstLine="10" w:firstLineChars="5"/>
              <w:jc w:val="center"/>
              <w:rPr>
                <w:rFonts w:ascii="宋体" w:hAnsi="宋体"/>
              </w:rPr>
            </w:pPr>
            <w:r>
              <w:rPr>
                <w:rFonts w:hint="eastAsia" w:ascii="宋体" w:hAnsi="宋体"/>
              </w:rPr>
              <w:t>工作年限</w:t>
            </w:r>
          </w:p>
        </w:tc>
        <w:tc>
          <w:tcPr>
            <w:tcW w:w="2379" w:type="dxa"/>
            <w:vAlign w:val="center"/>
          </w:tcPr>
          <w:p>
            <w:pPr>
              <w:snapToGrid w:val="0"/>
              <w:ind w:firstLine="420" w:firstLineChars="200"/>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29" w:hRule="atLeast"/>
          <w:jc w:val="center"/>
        </w:trPr>
        <w:tc>
          <w:tcPr>
            <w:tcW w:w="1928" w:type="dxa"/>
            <w:vAlign w:val="center"/>
          </w:tcPr>
          <w:p>
            <w:pPr>
              <w:snapToGrid w:val="0"/>
              <w:ind w:left="-2" w:firstLine="10" w:firstLineChars="5"/>
              <w:jc w:val="center"/>
              <w:rPr>
                <w:rFonts w:ascii="宋体" w:hAnsi="宋体"/>
                <w:szCs w:val="21"/>
              </w:rPr>
            </w:pPr>
          </w:p>
          <w:p>
            <w:pPr>
              <w:snapToGrid w:val="0"/>
              <w:ind w:left="-2" w:firstLine="10" w:firstLineChars="5"/>
              <w:jc w:val="center"/>
              <w:rPr>
                <w:rFonts w:ascii="宋体" w:hAnsi="宋体"/>
                <w:szCs w:val="21"/>
              </w:rPr>
            </w:pPr>
          </w:p>
          <w:p>
            <w:pPr>
              <w:snapToGrid w:val="0"/>
              <w:ind w:left="-2" w:firstLine="10" w:firstLineChars="5"/>
              <w:jc w:val="center"/>
              <w:rPr>
                <w:rFonts w:ascii="宋体" w:hAnsi="宋体"/>
                <w:szCs w:val="21"/>
              </w:rPr>
            </w:pPr>
            <w:r>
              <w:rPr>
                <w:rFonts w:hint="eastAsia" w:ascii="宋体" w:hAnsi="宋体"/>
                <w:szCs w:val="21"/>
              </w:rPr>
              <w:t>主</w:t>
            </w:r>
          </w:p>
          <w:p>
            <w:pPr>
              <w:snapToGrid w:val="0"/>
              <w:ind w:left="-2" w:firstLine="10" w:firstLineChars="5"/>
              <w:jc w:val="center"/>
              <w:rPr>
                <w:rFonts w:ascii="宋体" w:hAnsi="宋体"/>
                <w:szCs w:val="21"/>
              </w:rPr>
            </w:pPr>
            <w:r>
              <w:rPr>
                <w:rFonts w:hint="eastAsia" w:ascii="宋体" w:hAnsi="宋体"/>
                <w:szCs w:val="21"/>
              </w:rPr>
              <w:t>要</w:t>
            </w:r>
          </w:p>
          <w:p>
            <w:pPr>
              <w:snapToGrid w:val="0"/>
              <w:ind w:left="-2" w:firstLine="10" w:firstLineChars="5"/>
              <w:jc w:val="center"/>
              <w:rPr>
                <w:rFonts w:ascii="宋体" w:hAnsi="宋体"/>
                <w:szCs w:val="21"/>
              </w:rPr>
            </w:pPr>
            <w:r>
              <w:rPr>
                <w:rFonts w:hint="eastAsia" w:ascii="宋体" w:hAnsi="宋体"/>
                <w:szCs w:val="21"/>
              </w:rPr>
              <w:t>工</w:t>
            </w:r>
          </w:p>
          <w:p>
            <w:pPr>
              <w:snapToGrid w:val="0"/>
              <w:ind w:left="-2" w:firstLine="10" w:firstLineChars="5"/>
              <w:jc w:val="center"/>
              <w:rPr>
                <w:rFonts w:ascii="宋体" w:hAnsi="宋体"/>
                <w:szCs w:val="21"/>
              </w:rPr>
            </w:pPr>
            <w:r>
              <w:rPr>
                <w:rFonts w:hint="eastAsia" w:ascii="宋体" w:hAnsi="宋体"/>
                <w:szCs w:val="21"/>
              </w:rPr>
              <w:t>作</w:t>
            </w:r>
          </w:p>
          <w:p>
            <w:pPr>
              <w:snapToGrid w:val="0"/>
              <w:ind w:left="-2" w:firstLine="10" w:firstLineChars="5"/>
              <w:jc w:val="center"/>
              <w:rPr>
                <w:rFonts w:ascii="宋体" w:hAnsi="宋体"/>
                <w:szCs w:val="21"/>
              </w:rPr>
            </w:pPr>
            <w:r>
              <w:rPr>
                <w:rFonts w:hint="eastAsia" w:ascii="宋体" w:hAnsi="宋体"/>
                <w:szCs w:val="21"/>
              </w:rPr>
              <w:t>业</w:t>
            </w:r>
          </w:p>
          <w:p>
            <w:pPr>
              <w:snapToGrid w:val="0"/>
              <w:ind w:left="-2" w:firstLine="10" w:firstLineChars="5"/>
              <w:jc w:val="center"/>
              <w:rPr>
                <w:rFonts w:ascii="宋体" w:hAnsi="宋体"/>
                <w:szCs w:val="21"/>
              </w:rPr>
            </w:pPr>
            <w:r>
              <w:rPr>
                <w:rFonts w:hint="eastAsia" w:ascii="宋体" w:hAnsi="宋体"/>
                <w:szCs w:val="21"/>
              </w:rPr>
              <w:t>绩</w:t>
            </w:r>
          </w:p>
          <w:p>
            <w:pPr>
              <w:snapToGrid w:val="0"/>
              <w:ind w:left="-2" w:firstLine="10" w:firstLineChars="5"/>
              <w:jc w:val="center"/>
              <w:rPr>
                <w:rFonts w:ascii="宋体" w:hAnsi="宋体"/>
                <w:szCs w:val="21"/>
              </w:rPr>
            </w:pPr>
            <w:r>
              <w:rPr>
                <w:rFonts w:hint="eastAsia" w:ascii="宋体" w:hAnsi="宋体"/>
                <w:szCs w:val="21"/>
              </w:rPr>
              <w:t>及</w:t>
            </w:r>
          </w:p>
          <w:p>
            <w:pPr>
              <w:snapToGrid w:val="0"/>
              <w:ind w:left="-2" w:firstLine="10" w:firstLineChars="5"/>
              <w:jc w:val="center"/>
              <w:rPr>
                <w:rFonts w:ascii="宋体" w:hAnsi="宋体"/>
                <w:szCs w:val="21"/>
              </w:rPr>
            </w:pPr>
            <w:r>
              <w:rPr>
                <w:rFonts w:hint="eastAsia" w:ascii="宋体" w:hAnsi="宋体"/>
                <w:szCs w:val="21"/>
              </w:rPr>
              <w:t>担</w:t>
            </w:r>
          </w:p>
          <w:p>
            <w:pPr>
              <w:snapToGrid w:val="0"/>
              <w:ind w:left="-2" w:firstLine="10" w:firstLineChars="5"/>
              <w:jc w:val="center"/>
              <w:rPr>
                <w:rFonts w:ascii="宋体" w:hAnsi="宋体"/>
                <w:szCs w:val="21"/>
              </w:rPr>
            </w:pPr>
            <w:r>
              <w:rPr>
                <w:rFonts w:hint="eastAsia" w:ascii="宋体" w:hAnsi="宋体"/>
                <w:szCs w:val="21"/>
              </w:rPr>
              <w:t>任</w:t>
            </w:r>
          </w:p>
          <w:p>
            <w:pPr>
              <w:snapToGrid w:val="0"/>
              <w:ind w:left="-2" w:firstLine="10" w:firstLineChars="5"/>
              <w:jc w:val="center"/>
              <w:rPr>
                <w:rFonts w:ascii="宋体" w:hAnsi="宋体"/>
                <w:szCs w:val="21"/>
              </w:rPr>
            </w:pPr>
            <w:r>
              <w:rPr>
                <w:rFonts w:hint="eastAsia" w:ascii="宋体" w:hAnsi="宋体"/>
                <w:szCs w:val="21"/>
              </w:rPr>
              <w:t>的</w:t>
            </w:r>
          </w:p>
          <w:p>
            <w:pPr>
              <w:snapToGrid w:val="0"/>
              <w:ind w:left="-2" w:firstLine="10" w:firstLineChars="5"/>
              <w:jc w:val="center"/>
              <w:rPr>
                <w:rFonts w:ascii="宋体" w:hAnsi="宋体"/>
                <w:szCs w:val="21"/>
              </w:rPr>
            </w:pPr>
            <w:r>
              <w:rPr>
                <w:rFonts w:hint="eastAsia" w:ascii="宋体" w:hAnsi="宋体"/>
                <w:szCs w:val="21"/>
              </w:rPr>
              <w:t>主</w:t>
            </w:r>
          </w:p>
          <w:p>
            <w:pPr>
              <w:snapToGrid w:val="0"/>
              <w:ind w:left="-2" w:firstLine="10" w:firstLineChars="5"/>
              <w:jc w:val="center"/>
              <w:rPr>
                <w:rFonts w:ascii="宋体" w:hAnsi="宋体"/>
                <w:szCs w:val="21"/>
              </w:rPr>
            </w:pPr>
            <w:r>
              <w:rPr>
                <w:rFonts w:hint="eastAsia" w:ascii="宋体" w:hAnsi="宋体"/>
                <w:szCs w:val="21"/>
              </w:rPr>
              <w:t>要</w:t>
            </w:r>
          </w:p>
          <w:p>
            <w:pPr>
              <w:snapToGrid w:val="0"/>
              <w:ind w:left="-2" w:firstLine="10" w:firstLineChars="5"/>
              <w:jc w:val="center"/>
              <w:rPr>
                <w:rFonts w:ascii="宋体" w:hAnsi="宋体"/>
                <w:szCs w:val="21"/>
              </w:rPr>
            </w:pPr>
            <w:r>
              <w:rPr>
                <w:rFonts w:hint="eastAsia" w:ascii="宋体" w:hAnsi="宋体"/>
                <w:szCs w:val="21"/>
              </w:rPr>
              <w:t>工</w:t>
            </w:r>
          </w:p>
          <w:p>
            <w:pPr>
              <w:snapToGrid w:val="0"/>
              <w:ind w:left="-2" w:firstLine="10" w:firstLineChars="5"/>
              <w:jc w:val="center"/>
              <w:rPr>
                <w:rFonts w:ascii="宋体" w:hAnsi="宋体"/>
                <w:szCs w:val="21"/>
              </w:rPr>
            </w:pPr>
            <w:r>
              <w:rPr>
                <w:rFonts w:hint="eastAsia" w:ascii="宋体" w:hAnsi="宋体"/>
                <w:szCs w:val="21"/>
              </w:rPr>
              <w:t>作</w:t>
            </w:r>
          </w:p>
          <w:p>
            <w:pPr>
              <w:snapToGrid w:val="0"/>
              <w:ind w:left="-2" w:firstLine="10" w:firstLineChars="5"/>
              <w:jc w:val="center"/>
              <w:rPr>
                <w:rFonts w:ascii="宋体" w:hAnsi="宋体"/>
                <w:szCs w:val="21"/>
              </w:rPr>
            </w:pPr>
          </w:p>
          <w:p>
            <w:pPr>
              <w:snapToGrid w:val="0"/>
              <w:rPr>
                <w:rFonts w:ascii="宋体" w:hAnsi="宋体"/>
                <w:szCs w:val="21"/>
              </w:rPr>
            </w:pPr>
          </w:p>
          <w:p>
            <w:pPr>
              <w:snapToGrid w:val="0"/>
              <w:ind w:left="-2" w:firstLine="10" w:firstLineChars="5"/>
              <w:jc w:val="center"/>
              <w:rPr>
                <w:rFonts w:ascii="宋体" w:hAnsi="宋体"/>
                <w:szCs w:val="21"/>
              </w:rPr>
            </w:pPr>
          </w:p>
        </w:tc>
        <w:tc>
          <w:tcPr>
            <w:tcW w:w="6907" w:type="dxa"/>
            <w:gridSpan w:val="3"/>
            <w:vAlign w:val="center"/>
          </w:tcPr>
          <w:p>
            <w:pPr>
              <w:snapToGrid w:val="0"/>
              <w:ind w:firstLine="420" w:firstLineChars="200"/>
              <w:jc w:val="center"/>
              <w:rPr>
                <w:rFonts w:ascii="宋体" w:hAnsi="宋体"/>
              </w:rPr>
            </w:pPr>
          </w:p>
          <w:p>
            <w:pPr>
              <w:snapToGrid w:val="0"/>
              <w:ind w:firstLine="643"/>
              <w:rPr>
                <w:rFonts w:ascii="宋体" w:hAnsi="宋体"/>
                <w:b/>
                <w:bCs/>
                <w:sz w:val="32"/>
              </w:rPr>
            </w:pPr>
          </w:p>
        </w:tc>
      </w:tr>
    </w:tbl>
    <w:p>
      <w:pPr>
        <w:spacing w:line="300" w:lineRule="auto"/>
        <w:jc w:val="left"/>
        <w:rPr>
          <w:rFonts w:ascii="宋体" w:hAnsi="宋体"/>
          <w:color w:val="000000"/>
          <w:kern w:val="0"/>
          <w:sz w:val="18"/>
          <w:szCs w:val="18"/>
        </w:rPr>
      </w:pPr>
      <w:r>
        <w:rPr>
          <w:rFonts w:hint="eastAsia" w:ascii="宋体" w:hAnsi="宋体"/>
          <w:kern w:val="0"/>
          <w:sz w:val="18"/>
          <w:szCs w:val="18"/>
        </w:rPr>
        <w:t>注：1.施工项目部关键岗位人员（除项目负责人）在建项目情况：省内企业关键岗位人员在建工程情况和省外企业关键岗位人员在湖南省内在建工程情况以湖南省建筑工程监管信息平台查询为准；</w:t>
      </w:r>
    </w:p>
    <w:p>
      <w:pPr>
        <w:spacing w:line="300" w:lineRule="auto"/>
        <w:jc w:val="left"/>
        <w:rPr>
          <w:rFonts w:ascii="宋体" w:hAnsi="宋体"/>
          <w:color w:val="000000"/>
          <w:kern w:val="0"/>
          <w:sz w:val="18"/>
          <w:szCs w:val="18"/>
        </w:rPr>
      </w:pPr>
      <w:r>
        <w:rPr>
          <w:rFonts w:hint="eastAsia" w:ascii="宋体" w:hAnsi="宋体"/>
          <w:color w:val="000000"/>
          <w:kern w:val="0"/>
          <w:sz w:val="18"/>
          <w:szCs w:val="18"/>
        </w:rPr>
        <w:t>省外企业应提供由企业所在地地（市）级及以上建设行政主管部门出具的施工项目部关键岗位人员无在建工程证明复印件（如不能提供无在建证明的，则提供其</w:t>
      </w:r>
      <w:r>
        <w:rPr>
          <w:rFonts w:hint="eastAsia" w:ascii="宋体" w:hAnsi="宋体"/>
          <w:sz w:val="18"/>
        </w:rPr>
        <w:t>官方</w:t>
      </w:r>
      <w:r>
        <w:rPr>
          <w:rFonts w:hint="eastAsia" w:ascii="宋体" w:hAnsi="宋体"/>
          <w:color w:val="000000"/>
          <w:kern w:val="0"/>
          <w:sz w:val="18"/>
          <w:szCs w:val="18"/>
        </w:rPr>
        <w:t>查询网址及结果），附于本表后。</w:t>
      </w:r>
    </w:p>
    <w:p>
      <w:pPr>
        <w:spacing w:line="300" w:lineRule="auto"/>
        <w:jc w:val="left"/>
        <w:rPr>
          <w:rFonts w:ascii="宋体" w:hAnsi="宋体"/>
          <w:kern w:val="0"/>
          <w:sz w:val="18"/>
          <w:szCs w:val="18"/>
        </w:rPr>
      </w:pPr>
      <w:r>
        <w:rPr>
          <w:rFonts w:hint="eastAsia" w:ascii="宋体" w:hAnsi="宋体"/>
          <w:kern w:val="0"/>
          <w:sz w:val="18"/>
          <w:szCs w:val="18"/>
        </w:rPr>
        <w:t xml:space="preserve">  2.</w:t>
      </w:r>
      <w:r>
        <w:rPr>
          <w:rFonts w:hint="eastAsia" w:ascii="宋体" w:hAnsi="宋体"/>
          <w:sz w:val="18"/>
          <w:szCs w:val="18"/>
        </w:rPr>
        <w:t>省外企业关键岗位人员如持有外省住房和城乡建设主管部门颁发的岗位资格证书，</w:t>
      </w:r>
      <w:r>
        <w:rPr>
          <w:rFonts w:hint="eastAsia" w:ascii="宋体" w:hAnsi="宋体"/>
          <w:color w:val="000000"/>
          <w:kern w:val="0"/>
          <w:sz w:val="18"/>
          <w:szCs w:val="18"/>
        </w:rPr>
        <w:t>，应提供由省级住房和城乡建设主管部门出具的证书真实性证明复印件（如不能提供真实性证明的，则提供证书真伪查询官方查询网址及结果），附于本表后。</w:t>
      </w:r>
      <w:bookmarkStart w:id="595" w:name="_Toc300678579"/>
      <w:r>
        <w:rPr>
          <w:rFonts w:ascii="宋体" w:hAnsi="宋体"/>
          <w:kern w:val="0"/>
          <w:sz w:val="18"/>
          <w:szCs w:val="18"/>
        </w:rPr>
        <w:br w:type="page"/>
      </w:r>
    </w:p>
    <w:p>
      <w:pPr>
        <w:pStyle w:val="3"/>
        <w:jc w:val="center"/>
        <w:rPr>
          <w:rFonts w:ascii="黑体" w:hAnsi="黑体" w:eastAsia="黑体"/>
          <w:b w:val="0"/>
          <w:bCs w:val="0"/>
          <w:sz w:val="30"/>
          <w:szCs w:val="30"/>
        </w:rPr>
      </w:pPr>
      <w:bookmarkStart w:id="596" w:name="_Toc26778"/>
      <w:bookmarkStart w:id="597" w:name="_Toc5590"/>
      <w:bookmarkStart w:id="598" w:name="_Toc486318777"/>
      <w:bookmarkStart w:id="599" w:name="_Toc27657"/>
      <w:bookmarkStart w:id="600" w:name="_Toc31904"/>
      <w:bookmarkStart w:id="601" w:name="_Toc484015145"/>
      <w:r>
        <w:rPr>
          <w:rFonts w:hint="eastAsia" w:ascii="黑体" w:hAnsi="黑体" w:eastAsia="黑体"/>
          <w:b w:val="0"/>
          <w:bCs w:val="0"/>
          <w:sz w:val="30"/>
          <w:szCs w:val="30"/>
        </w:rPr>
        <w:t>六、拟分包计划表</w:t>
      </w:r>
      <w:bookmarkEnd w:id="595"/>
      <w:bookmarkEnd w:id="596"/>
      <w:bookmarkEnd w:id="597"/>
      <w:bookmarkEnd w:id="598"/>
      <w:bookmarkEnd w:id="599"/>
      <w:bookmarkEnd w:id="600"/>
      <w:bookmarkEnd w:id="601"/>
    </w:p>
    <w:tbl>
      <w:tblPr>
        <w:tblStyle w:val="42"/>
        <w:tblW w:w="8307"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915"/>
        <w:gridCol w:w="751"/>
        <w:gridCol w:w="950"/>
        <w:gridCol w:w="1070"/>
        <w:gridCol w:w="1065"/>
        <w:gridCol w:w="1065"/>
        <w:gridCol w:w="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restart"/>
            <w:tcMar>
              <w:left w:w="108" w:type="dxa"/>
              <w:right w:w="108" w:type="dxa"/>
            </w:tcMar>
            <w:vAlign w:val="center"/>
          </w:tcPr>
          <w:p>
            <w:pPr>
              <w:jc w:val="center"/>
              <w:rPr>
                <w:rFonts w:ascii="宋体" w:hAnsi="宋体"/>
                <w:sz w:val="18"/>
                <w:szCs w:val="21"/>
              </w:rPr>
            </w:pPr>
            <w:r>
              <w:rPr>
                <w:rFonts w:hint="eastAsia" w:ascii="宋体" w:hAnsi="宋体"/>
                <w:sz w:val="18"/>
                <w:szCs w:val="21"/>
              </w:rPr>
              <w:t>序号</w:t>
            </w:r>
          </w:p>
        </w:tc>
        <w:tc>
          <w:tcPr>
            <w:tcW w:w="1915" w:type="dxa"/>
            <w:vMerge w:val="restart"/>
            <w:vAlign w:val="center"/>
          </w:tcPr>
          <w:p>
            <w:pPr>
              <w:jc w:val="center"/>
              <w:rPr>
                <w:rFonts w:ascii="宋体" w:hAnsi="宋体"/>
                <w:sz w:val="18"/>
                <w:szCs w:val="21"/>
              </w:rPr>
            </w:pPr>
            <w:r>
              <w:rPr>
                <w:rFonts w:hint="eastAsia" w:ascii="宋体" w:hAnsi="宋体"/>
                <w:sz w:val="18"/>
                <w:szCs w:val="21"/>
              </w:rPr>
              <w:t>拟分包项目名称、范围及理由</w:t>
            </w:r>
          </w:p>
        </w:tc>
        <w:tc>
          <w:tcPr>
            <w:tcW w:w="4901" w:type="dxa"/>
            <w:gridSpan w:val="5"/>
            <w:vAlign w:val="center"/>
          </w:tcPr>
          <w:p>
            <w:pPr>
              <w:jc w:val="center"/>
              <w:rPr>
                <w:rFonts w:ascii="宋体" w:hAnsi="宋体"/>
                <w:sz w:val="18"/>
                <w:szCs w:val="21"/>
              </w:rPr>
            </w:pPr>
            <w:r>
              <w:rPr>
                <w:rFonts w:hint="eastAsia" w:ascii="宋体" w:hAnsi="宋体"/>
                <w:sz w:val="18"/>
                <w:szCs w:val="21"/>
              </w:rPr>
              <w:t>拟选分包人</w:t>
            </w:r>
          </w:p>
        </w:tc>
        <w:tc>
          <w:tcPr>
            <w:tcW w:w="639" w:type="dxa"/>
            <w:vMerge w:val="restart"/>
            <w:vAlign w:val="center"/>
          </w:tcPr>
          <w:p>
            <w:pPr>
              <w:jc w:val="center"/>
              <w:rPr>
                <w:rFonts w:ascii="宋体" w:hAnsi="宋体"/>
                <w:sz w:val="18"/>
                <w:szCs w:val="21"/>
              </w:rPr>
            </w:pPr>
            <w:r>
              <w:rPr>
                <w:rFonts w:hint="eastAsia" w:ascii="宋体" w:hAnsi="宋体"/>
                <w:sz w:val="18"/>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1701" w:type="dxa"/>
            <w:gridSpan w:val="2"/>
            <w:vAlign w:val="center"/>
          </w:tcPr>
          <w:p>
            <w:pPr>
              <w:jc w:val="center"/>
              <w:rPr>
                <w:rFonts w:ascii="宋体" w:hAnsi="宋体"/>
                <w:sz w:val="18"/>
                <w:szCs w:val="21"/>
              </w:rPr>
            </w:pPr>
            <w:r>
              <w:rPr>
                <w:rFonts w:hint="eastAsia" w:ascii="宋体" w:hAnsi="宋体"/>
                <w:sz w:val="18"/>
                <w:szCs w:val="21"/>
              </w:rPr>
              <w:t>拟选分包人名称</w:t>
            </w:r>
          </w:p>
        </w:tc>
        <w:tc>
          <w:tcPr>
            <w:tcW w:w="1070" w:type="dxa"/>
            <w:vAlign w:val="center"/>
          </w:tcPr>
          <w:p>
            <w:pPr>
              <w:jc w:val="center"/>
              <w:rPr>
                <w:rFonts w:ascii="宋体" w:hAnsi="宋体"/>
                <w:sz w:val="18"/>
                <w:szCs w:val="21"/>
              </w:rPr>
            </w:pPr>
            <w:r>
              <w:rPr>
                <w:rFonts w:hint="eastAsia" w:ascii="宋体" w:hAnsi="宋体"/>
                <w:sz w:val="18"/>
                <w:szCs w:val="21"/>
              </w:rPr>
              <w:t>注册地点</w:t>
            </w:r>
          </w:p>
        </w:tc>
        <w:tc>
          <w:tcPr>
            <w:tcW w:w="1065" w:type="dxa"/>
            <w:vAlign w:val="center"/>
          </w:tcPr>
          <w:p>
            <w:pPr>
              <w:jc w:val="center"/>
              <w:rPr>
                <w:rFonts w:ascii="宋体" w:hAnsi="宋体"/>
                <w:sz w:val="18"/>
                <w:szCs w:val="21"/>
              </w:rPr>
            </w:pPr>
            <w:r>
              <w:rPr>
                <w:rFonts w:hint="eastAsia" w:ascii="宋体" w:hAnsi="宋体"/>
                <w:sz w:val="18"/>
                <w:szCs w:val="21"/>
              </w:rPr>
              <w:t>企业资质</w:t>
            </w:r>
          </w:p>
        </w:tc>
        <w:tc>
          <w:tcPr>
            <w:tcW w:w="1065" w:type="dxa"/>
            <w:vAlign w:val="center"/>
          </w:tcPr>
          <w:p>
            <w:pPr>
              <w:jc w:val="center"/>
              <w:rPr>
                <w:rFonts w:ascii="宋体" w:hAnsi="宋体"/>
                <w:sz w:val="18"/>
                <w:szCs w:val="21"/>
              </w:rPr>
            </w:pPr>
            <w:r>
              <w:rPr>
                <w:rFonts w:hint="eastAsia" w:ascii="宋体" w:hAnsi="宋体"/>
                <w:sz w:val="18"/>
                <w:szCs w:val="21"/>
              </w:rPr>
              <w:t>有关业绩</w:t>
            </w:r>
          </w:p>
        </w:tc>
        <w:tc>
          <w:tcPr>
            <w:tcW w:w="639" w:type="dxa"/>
            <w:vMerge w:val="continue"/>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restart"/>
            <w:tcMar>
              <w:left w:w="108" w:type="dxa"/>
              <w:right w:w="108" w:type="dxa"/>
            </w:tcMar>
            <w:vAlign w:val="center"/>
          </w:tcPr>
          <w:p>
            <w:pPr>
              <w:jc w:val="center"/>
              <w:rPr>
                <w:rFonts w:ascii="宋体" w:hAnsi="宋体"/>
                <w:sz w:val="18"/>
                <w:szCs w:val="21"/>
              </w:rPr>
            </w:pPr>
          </w:p>
        </w:tc>
        <w:tc>
          <w:tcPr>
            <w:tcW w:w="1915" w:type="dxa"/>
            <w:vMerge w:val="restart"/>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1</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2</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3</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restart"/>
            <w:tcMar>
              <w:left w:w="108" w:type="dxa"/>
              <w:right w:w="108" w:type="dxa"/>
            </w:tcMar>
            <w:vAlign w:val="center"/>
          </w:tcPr>
          <w:p>
            <w:pPr>
              <w:jc w:val="center"/>
              <w:rPr>
                <w:rFonts w:ascii="宋体" w:hAnsi="宋体"/>
                <w:sz w:val="18"/>
                <w:szCs w:val="21"/>
              </w:rPr>
            </w:pPr>
          </w:p>
        </w:tc>
        <w:tc>
          <w:tcPr>
            <w:tcW w:w="1915" w:type="dxa"/>
            <w:vMerge w:val="restart"/>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1</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2</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3</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Layout w:type="fixed"/>
          <w:tblCellMar>
            <w:top w:w="0" w:type="dxa"/>
            <w:left w:w="108" w:type="dxa"/>
            <w:bottom w:w="0" w:type="dxa"/>
            <w:right w:w="108" w:type="dxa"/>
          </w:tblCellMar>
        </w:tblPrEx>
        <w:trPr>
          <w:trHeight w:val="454" w:hRule="atLeast"/>
          <w:jc w:val="center"/>
        </w:trPr>
        <w:tc>
          <w:tcPr>
            <w:tcW w:w="852" w:type="dxa"/>
            <w:vMerge w:val="restart"/>
            <w:tcMar>
              <w:left w:w="108" w:type="dxa"/>
              <w:right w:w="108" w:type="dxa"/>
            </w:tcMar>
            <w:vAlign w:val="center"/>
          </w:tcPr>
          <w:p>
            <w:pPr>
              <w:jc w:val="center"/>
              <w:rPr>
                <w:rFonts w:ascii="宋体" w:hAnsi="宋体"/>
                <w:sz w:val="18"/>
                <w:szCs w:val="21"/>
              </w:rPr>
            </w:pPr>
          </w:p>
        </w:tc>
        <w:tc>
          <w:tcPr>
            <w:tcW w:w="1915" w:type="dxa"/>
            <w:vMerge w:val="restart"/>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1</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2</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3</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restart"/>
            <w:tcMar>
              <w:left w:w="108" w:type="dxa"/>
              <w:right w:w="108" w:type="dxa"/>
            </w:tcMar>
            <w:vAlign w:val="center"/>
          </w:tcPr>
          <w:p>
            <w:pPr>
              <w:jc w:val="center"/>
              <w:rPr>
                <w:rFonts w:ascii="宋体" w:hAnsi="宋体"/>
                <w:sz w:val="18"/>
                <w:szCs w:val="21"/>
              </w:rPr>
            </w:pPr>
          </w:p>
        </w:tc>
        <w:tc>
          <w:tcPr>
            <w:tcW w:w="1915" w:type="dxa"/>
            <w:vMerge w:val="restart"/>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1</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2</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52" w:type="dxa"/>
            <w:vMerge w:val="continue"/>
            <w:tcMar>
              <w:left w:w="108" w:type="dxa"/>
              <w:right w:w="108" w:type="dxa"/>
            </w:tcMar>
            <w:vAlign w:val="center"/>
          </w:tcPr>
          <w:p>
            <w:pPr>
              <w:jc w:val="center"/>
              <w:rPr>
                <w:rFonts w:ascii="宋体" w:hAnsi="宋体"/>
                <w:sz w:val="18"/>
                <w:szCs w:val="21"/>
              </w:rPr>
            </w:pPr>
          </w:p>
        </w:tc>
        <w:tc>
          <w:tcPr>
            <w:tcW w:w="1915" w:type="dxa"/>
            <w:vMerge w:val="continue"/>
            <w:vAlign w:val="center"/>
          </w:tcPr>
          <w:p>
            <w:pPr>
              <w:jc w:val="center"/>
              <w:rPr>
                <w:rFonts w:ascii="宋体" w:hAnsi="宋体"/>
                <w:sz w:val="18"/>
                <w:szCs w:val="21"/>
              </w:rPr>
            </w:pPr>
          </w:p>
        </w:tc>
        <w:tc>
          <w:tcPr>
            <w:tcW w:w="751" w:type="dxa"/>
            <w:vAlign w:val="center"/>
          </w:tcPr>
          <w:p>
            <w:pPr>
              <w:jc w:val="center"/>
              <w:rPr>
                <w:rFonts w:ascii="宋体" w:hAnsi="宋体"/>
                <w:sz w:val="18"/>
                <w:szCs w:val="21"/>
              </w:rPr>
            </w:pPr>
            <w:r>
              <w:rPr>
                <w:rFonts w:hint="eastAsia" w:ascii="宋体" w:hAnsi="宋体"/>
                <w:sz w:val="18"/>
                <w:szCs w:val="21"/>
              </w:rPr>
              <w:t>3</w:t>
            </w:r>
          </w:p>
        </w:tc>
        <w:tc>
          <w:tcPr>
            <w:tcW w:w="950" w:type="dxa"/>
            <w:vAlign w:val="center"/>
          </w:tcPr>
          <w:p>
            <w:pPr>
              <w:jc w:val="center"/>
              <w:rPr>
                <w:rFonts w:ascii="宋体" w:hAnsi="宋体"/>
                <w:sz w:val="18"/>
                <w:szCs w:val="21"/>
              </w:rPr>
            </w:pPr>
          </w:p>
        </w:tc>
        <w:tc>
          <w:tcPr>
            <w:tcW w:w="1070"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1065" w:type="dxa"/>
            <w:vAlign w:val="center"/>
          </w:tcPr>
          <w:p>
            <w:pPr>
              <w:jc w:val="center"/>
              <w:rPr>
                <w:rFonts w:ascii="宋体" w:hAnsi="宋体"/>
                <w:sz w:val="18"/>
                <w:szCs w:val="21"/>
              </w:rPr>
            </w:pPr>
          </w:p>
        </w:tc>
        <w:tc>
          <w:tcPr>
            <w:tcW w:w="639" w:type="dxa"/>
            <w:vAlign w:val="center"/>
          </w:tcPr>
          <w:p>
            <w:pPr>
              <w:jc w:val="center"/>
              <w:rPr>
                <w:rFonts w:ascii="宋体" w:hAnsi="宋体"/>
                <w:sz w:val="18"/>
                <w:szCs w:val="21"/>
              </w:rPr>
            </w:pPr>
          </w:p>
        </w:tc>
      </w:tr>
    </w:tbl>
    <w:p>
      <w:pPr>
        <w:spacing w:line="360" w:lineRule="auto"/>
        <w:ind w:right="420"/>
        <w:rPr>
          <w:rFonts w:ascii="宋体" w:hAnsi="宋体"/>
          <w:sz w:val="18"/>
          <w:szCs w:val="18"/>
        </w:rPr>
      </w:pPr>
      <w:r>
        <w:rPr>
          <w:rFonts w:hint="eastAsia" w:ascii="宋体" w:hAnsi="宋体"/>
          <w:sz w:val="18"/>
          <w:szCs w:val="18"/>
        </w:rPr>
        <w:t>备注：本表所列分包仅限于承包人自行施工范围内的非主体、非关键工程。</w:t>
      </w:r>
    </w:p>
    <w:p>
      <w:pPr>
        <w:spacing w:line="360" w:lineRule="auto"/>
        <w:ind w:right="420"/>
        <w:rPr>
          <w:rFonts w:ascii="宋体" w:hAnsi="宋体"/>
          <w:sz w:val="18"/>
          <w:szCs w:val="18"/>
        </w:rPr>
      </w:pPr>
      <w:bookmarkStart w:id="602" w:name="_Toc300678580"/>
      <w:r>
        <w:rPr>
          <w:rFonts w:ascii="黑体" w:hAnsi="宋体" w:eastAsia="黑体"/>
          <w:b/>
          <w:bCs/>
          <w:sz w:val="28"/>
          <w:szCs w:val="28"/>
        </w:rPr>
        <w:br w:type="page"/>
      </w:r>
    </w:p>
    <w:p>
      <w:pPr>
        <w:pStyle w:val="3"/>
        <w:jc w:val="center"/>
        <w:rPr>
          <w:rFonts w:ascii="黑体" w:hAnsi="黑体" w:eastAsia="黑体"/>
          <w:b w:val="0"/>
          <w:bCs w:val="0"/>
          <w:sz w:val="30"/>
        </w:rPr>
      </w:pPr>
      <w:bookmarkStart w:id="603" w:name="_Toc484015146"/>
      <w:bookmarkStart w:id="604" w:name="_Toc7945"/>
      <w:bookmarkStart w:id="605" w:name="_Toc20301"/>
      <w:bookmarkStart w:id="606" w:name="_Toc19334"/>
      <w:bookmarkStart w:id="607" w:name="_Toc486318778"/>
      <w:bookmarkStart w:id="608" w:name="_Toc27123"/>
      <w:r>
        <w:rPr>
          <w:rFonts w:hint="eastAsia" w:ascii="黑体" w:hAnsi="黑体" w:eastAsia="黑体"/>
          <w:b w:val="0"/>
          <w:bCs w:val="0"/>
          <w:sz w:val="30"/>
        </w:rPr>
        <w:t>七、资格审查资料</w:t>
      </w:r>
      <w:bookmarkEnd w:id="602"/>
      <w:bookmarkEnd w:id="603"/>
      <w:bookmarkEnd w:id="604"/>
      <w:bookmarkEnd w:id="605"/>
      <w:bookmarkEnd w:id="606"/>
      <w:bookmarkEnd w:id="607"/>
      <w:bookmarkEnd w:id="608"/>
    </w:p>
    <w:p>
      <w:pPr>
        <w:pStyle w:val="6"/>
        <w:rPr>
          <w:rFonts w:ascii="黑体" w:hAnsi="黑体" w:eastAsia="黑体"/>
          <w:b w:val="0"/>
          <w:bCs w:val="0"/>
          <w:sz w:val="24"/>
        </w:rPr>
      </w:pPr>
      <w:bookmarkStart w:id="609" w:name="_Toc300678581"/>
      <w:r>
        <w:rPr>
          <w:rFonts w:hint="eastAsia" w:ascii="黑体" w:hAnsi="黑体" w:eastAsia="黑体"/>
          <w:b w:val="0"/>
          <w:bCs w:val="0"/>
          <w:sz w:val="24"/>
        </w:rPr>
        <w:t>（7.1）投标人基本情况表</w:t>
      </w:r>
      <w:bookmarkEnd w:id="609"/>
    </w:p>
    <w:tbl>
      <w:tblPr>
        <w:tblStyle w:val="42"/>
        <w:tblW w:w="8336"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897"/>
        <w:gridCol w:w="1021"/>
        <w:gridCol w:w="993"/>
        <w:gridCol w:w="283"/>
        <w:gridCol w:w="195"/>
        <w:gridCol w:w="1246"/>
        <w:gridCol w:w="260"/>
        <w:gridCol w:w="709"/>
        <w:gridCol w:w="12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投标人名称</w:t>
            </w:r>
          </w:p>
        </w:tc>
        <w:tc>
          <w:tcPr>
            <w:tcW w:w="6805" w:type="dxa"/>
            <w:gridSpan w:val="9"/>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注册地址</w:t>
            </w:r>
          </w:p>
        </w:tc>
        <w:tc>
          <w:tcPr>
            <w:tcW w:w="3389" w:type="dxa"/>
            <w:gridSpan w:val="5"/>
            <w:vAlign w:val="center"/>
          </w:tcPr>
          <w:p>
            <w:pPr>
              <w:jc w:val="center"/>
              <w:rPr>
                <w:rFonts w:ascii="宋体" w:hAnsi="宋体"/>
                <w:sz w:val="18"/>
                <w:szCs w:val="21"/>
              </w:rPr>
            </w:pPr>
          </w:p>
        </w:tc>
        <w:tc>
          <w:tcPr>
            <w:tcW w:w="1246" w:type="dxa"/>
            <w:vAlign w:val="center"/>
          </w:tcPr>
          <w:p>
            <w:pPr>
              <w:jc w:val="center"/>
              <w:rPr>
                <w:rFonts w:ascii="宋体" w:hAnsi="宋体"/>
                <w:sz w:val="18"/>
                <w:szCs w:val="21"/>
              </w:rPr>
            </w:pPr>
            <w:r>
              <w:rPr>
                <w:rFonts w:hint="eastAsia" w:ascii="宋体" w:hAnsi="宋体"/>
                <w:sz w:val="18"/>
                <w:szCs w:val="21"/>
              </w:rPr>
              <w:t>邮政编码</w:t>
            </w:r>
          </w:p>
        </w:tc>
        <w:tc>
          <w:tcPr>
            <w:tcW w:w="2170" w:type="dxa"/>
            <w:gridSpan w:val="3"/>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Merge w:val="restart"/>
            <w:vAlign w:val="center"/>
          </w:tcPr>
          <w:p>
            <w:pPr>
              <w:jc w:val="center"/>
              <w:rPr>
                <w:rFonts w:ascii="宋体" w:hAnsi="宋体"/>
                <w:sz w:val="18"/>
                <w:szCs w:val="21"/>
              </w:rPr>
            </w:pPr>
            <w:r>
              <w:rPr>
                <w:rFonts w:hint="eastAsia" w:ascii="宋体" w:hAnsi="宋体"/>
                <w:sz w:val="18"/>
                <w:szCs w:val="21"/>
              </w:rPr>
              <w:t>联系方式</w:t>
            </w:r>
          </w:p>
        </w:tc>
        <w:tc>
          <w:tcPr>
            <w:tcW w:w="897" w:type="dxa"/>
            <w:vAlign w:val="center"/>
          </w:tcPr>
          <w:p>
            <w:pPr>
              <w:jc w:val="center"/>
              <w:rPr>
                <w:rFonts w:ascii="宋体" w:hAnsi="宋体"/>
                <w:sz w:val="18"/>
                <w:szCs w:val="21"/>
              </w:rPr>
            </w:pPr>
            <w:r>
              <w:rPr>
                <w:rFonts w:hint="eastAsia" w:ascii="宋体" w:hAnsi="宋体"/>
                <w:sz w:val="18"/>
                <w:szCs w:val="21"/>
              </w:rPr>
              <w:t>联系人</w:t>
            </w:r>
          </w:p>
        </w:tc>
        <w:tc>
          <w:tcPr>
            <w:tcW w:w="2492" w:type="dxa"/>
            <w:gridSpan w:val="4"/>
            <w:vAlign w:val="center"/>
          </w:tcPr>
          <w:p>
            <w:pPr>
              <w:jc w:val="center"/>
              <w:rPr>
                <w:rFonts w:ascii="宋体" w:hAnsi="宋体"/>
                <w:sz w:val="18"/>
                <w:szCs w:val="21"/>
              </w:rPr>
            </w:pPr>
          </w:p>
        </w:tc>
        <w:tc>
          <w:tcPr>
            <w:tcW w:w="1246" w:type="dxa"/>
            <w:vAlign w:val="center"/>
          </w:tcPr>
          <w:p>
            <w:pPr>
              <w:jc w:val="center"/>
              <w:rPr>
                <w:rFonts w:ascii="宋体" w:hAnsi="宋体"/>
                <w:sz w:val="18"/>
                <w:szCs w:val="21"/>
              </w:rPr>
            </w:pPr>
            <w:r>
              <w:rPr>
                <w:rFonts w:hint="eastAsia" w:ascii="宋体" w:hAnsi="宋体"/>
                <w:sz w:val="18"/>
                <w:szCs w:val="21"/>
              </w:rPr>
              <w:t>电  话</w:t>
            </w:r>
          </w:p>
        </w:tc>
        <w:tc>
          <w:tcPr>
            <w:tcW w:w="2170" w:type="dxa"/>
            <w:gridSpan w:val="3"/>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Merge w:val="continue"/>
            <w:vAlign w:val="center"/>
          </w:tcPr>
          <w:p>
            <w:pPr>
              <w:jc w:val="center"/>
              <w:rPr>
                <w:rFonts w:ascii="宋体" w:hAnsi="宋体"/>
                <w:sz w:val="18"/>
                <w:szCs w:val="21"/>
              </w:rPr>
            </w:pPr>
          </w:p>
        </w:tc>
        <w:tc>
          <w:tcPr>
            <w:tcW w:w="897" w:type="dxa"/>
            <w:vAlign w:val="center"/>
          </w:tcPr>
          <w:p>
            <w:pPr>
              <w:jc w:val="center"/>
              <w:rPr>
                <w:rFonts w:ascii="宋体" w:hAnsi="宋体"/>
                <w:sz w:val="18"/>
                <w:szCs w:val="21"/>
              </w:rPr>
            </w:pPr>
            <w:r>
              <w:rPr>
                <w:rFonts w:hint="eastAsia" w:ascii="宋体" w:hAnsi="宋体"/>
                <w:sz w:val="18"/>
                <w:szCs w:val="21"/>
              </w:rPr>
              <w:t>传  真</w:t>
            </w:r>
          </w:p>
        </w:tc>
        <w:tc>
          <w:tcPr>
            <w:tcW w:w="2492" w:type="dxa"/>
            <w:gridSpan w:val="4"/>
            <w:vAlign w:val="center"/>
          </w:tcPr>
          <w:p>
            <w:pPr>
              <w:jc w:val="center"/>
              <w:rPr>
                <w:rFonts w:ascii="宋体" w:hAnsi="宋体"/>
                <w:sz w:val="18"/>
                <w:szCs w:val="21"/>
              </w:rPr>
            </w:pPr>
          </w:p>
        </w:tc>
        <w:tc>
          <w:tcPr>
            <w:tcW w:w="1246" w:type="dxa"/>
            <w:vAlign w:val="center"/>
          </w:tcPr>
          <w:p>
            <w:pPr>
              <w:jc w:val="center"/>
              <w:rPr>
                <w:rFonts w:ascii="宋体" w:hAnsi="宋体"/>
                <w:sz w:val="18"/>
                <w:szCs w:val="21"/>
              </w:rPr>
            </w:pPr>
            <w:r>
              <w:rPr>
                <w:rFonts w:hint="eastAsia" w:ascii="宋体" w:hAnsi="宋体"/>
                <w:sz w:val="18"/>
                <w:szCs w:val="21"/>
              </w:rPr>
              <w:t>网  址</w:t>
            </w:r>
          </w:p>
        </w:tc>
        <w:tc>
          <w:tcPr>
            <w:tcW w:w="2170" w:type="dxa"/>
            <w:gridSpan w:val="3"/>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组织结构</w:t>
            </w:r>
          </w:p>
        </w:tc>
        <w:tc>
          <w:tcPr>
            <w:tcW w:w="6805" w:type="dxa"/>
            <w:gridSpan w:val="9"/>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法定代表人</w:t>
            </w:r>
          </w:p>
        </w:tc>
        <w:tc>
          <w:tcPr>
            <w:tcW w:w="897" w:type="dxa"/>
            <w:vAlign w:val="center"/>
          </w:tcPr>
          <w:p>
            <w:pPr>
              <w:jc w:val="center"/>
              <w:rPr>
                <w:rFonts w:ascii="宋体" w:hAnsi="宋体"/>
                <w:sz w:val="18"/>
                <w:szCs w:val="21"/>
              </w:rPr>
            </w:pPr>
            <w:r>
              <w:rPr>
                <w:rFonts w:hint="eastAsia" w:ascii="宋体" w:hAnsi="宋体"/>
                <w:sz w:val="18"/>
                <w:szCs w:val="21"/>
              </w:rPr>
              <w:t>姓名</w:t>
            </w:r>
          </w:p>
        </w:tc>
        <w:tc>
          <w:tcPr>
            <w:tcW w:w="1021" w:type="dxa"/>
            <w:vAlign w:val="center"/>
          </w:tcPr>
          <w:p>
            <w:pPr>
              <w:jc w:val="center"/>
              <w:rPr>
                <w:rFonts w:ascii="宋体" w:hAnsi="宋体"/>
                <w:sz w:val="18"/>
                <w:szCs w:val="21"/>
              </w:rPr>
            </w:pPr>
          </w:p>
        </w:tc>
        <w:tc>
          <w:tcPr>
            <w:tcW w:w="1276" w:type="dxa"/>
            <w:gridSpan w:val="2"/>
            <w:vAlign w:val="center"/>
          </w:tcPr>
          <w:p>
            <w:pPr>
              <w:jc w:val="center"/>
              <w:rPr>
                <w:rFonts w:ascii="宋体" w:hAnsi="宋体"/>
                <w:sz w:val="18"/>
                <w:szCs w:val="21"/>
              </w:rPr>
            </w:pPr>
            <w:r>
              <w:rPr>
                <w:rFonts w:hint="eastAsia" w:ascii="宋体" w:hAnsi="宋体"/>
                <w:sz w:val="18"/>
                <w:szCs w:val="21"/>
              </w:rPr>
              <w:t>技术职称</w:t>
            </w:r>
          </w:p>
        </w:tc>
        <w:tc>
          <w:tcPr>
            <w:tcW w:w="1701" w:type="dxa"/>
            <w:gridSpan w:val="3"/>
            <w:vAlign w:val="center"/>
          </w:tcPr>
          <w:p>
            <w:pPr>
              <w:jc w:val="center"/>
              <w:rPr>
                <w:rFonts w:ascii="宋体" w:hAnsi="宋体"/>
                <w:sz w:val="18"/>
                <w:szCs w:val="21"/>
              </w:rPr>
            </w:pPr>
          </w:p>
        </w:tc>
        <w:tc>
          <w:tcPr>
            <w:tcW w:w="709" w:type="dxa"/>
            <w:vAlign w:val="center"/>
          </w:tcPr>
          <w:p>
            <w:pPr>
              <w:jc w:val="center"/>
              <w:rPr>
                <w:rFonts w:ascii="宋体" w:hAnsi="宋体"/>
                <w:sz w:val="18"/>
                <w:szCs w:val="21"/>
              </w:rPr>
            </w:pPr>
            <w:r>
              <w:rPr>
                <w:rFonts w:hint="eastAsia" w:ascii="宋体" w:hAnsi="宋体"/>
                <w:sz w:val="18"/>
                <w:szCs w:val="21"/>
              </w:rPr>
              <w:t>电话</w:t>
            </w:r>
          </w:p>
        </w:tc>
        <w:tc>
          <w:tcPr>
            <w:tcW w:w="120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技术负责人</w:t>
            </w:r>
          </w:p>
        </w:tc>
        <w:tc>
          <w:tcPr>
            <w:tcW w:w="897" w:type="dxa"/>
            <w:vAlign w:val="center"/>
          </w:tcPr>
          <w:p>
            <w:pPr>
              <w:jc w:val="center"/>
              <w:rPr>
                <w:rFonts w:ascii="宋体" w:hAnsi="宋体"/>
                <w:sz w:val="18"/>
                <w:szCs w:val="21"/>
              </w:rPr>
            </w:pPr>
            <w:r>
              <w:rPr>
                <w:rFonts w:hint="eastAsia" w:ascii="宋体" w:hAnsi="宋体"/>
                <w:sz w:val="18"/>
                <w:szCs w:val="21"/>
              </w:rPr>
              <w:t>姓名</w:t>
            </w:r>
          </w:p>
        </w:tc>
        <w:tc>
          <w:tcPr>
            <w:tcW w:w="1021" w:type="dxa"/>
            <w:vAlign w:val="center"/>
          </w:tcPr>
          <w:p>
            <w:pPr>
              <w:jc w:val="center"/>
              <w:rPr>
                <w:rFonts w:ascii="宋体" w:hAnsi="宋体"/>
                <w:sz w:val="18"/>
                <w:szCs w:val="21"/>
              </w:rPr>
            </w:pPr>
          </w:p>
        </w:tc>
        <w:tc>
          <w:tcPr>
            <w:tcW w:w="1276" w:type="dxa"/>
            <w:gridSpan w:val="2"/>
            <w:vAlign w:val="center"/>
          </w:tcPr>
          <w:p>
            <w:pPr>
              <w:jc w:val="center"/>
              <w:rPr>
                <w:rFonts w:ascii="宋体" w:hAnsi="宋体"/>
                <w:sz w:val="18"/>
                <w:szCs w:val="21"/>
              </w:rPr>
            </w:pPr>
            <w:r>
              <w:rPr>
                <w:rFonts w:hint="eastAsia" w:ascii="宋体" w:hAnsi="宋体"/>
                <w:sz w:val="18"/>
                <w:szCs w:val="21"/>
              </w:rPr>
              <w:t>技术职称</w:t>
            </w:r>
          </w:p>
        </w:tc>
        <w:tc>
          <w:tcPr>
            <w:tcW w:w="1701" w:type="dxa"/>
            <w:gridSpan w:val="3"/>
            <w:vAlign w:val="center"/>
          </w:tcPr>
          <w:p>
            <w:pPr>
              <w:jc w:val="center"/>
              <w:rPr>
                <w:rFonts w:ascii="宋体" w:hAnsi="宋体"/>
                <w:sz w:val="18"/>
                <w:szCs w:val="21"/>
              </w:rPr>
            </w:pPr>
          </w:p>
        </w:tc>
        <w:tc>
          <w:tcPr>
            <w:tcW w:w="709" w:type="dxa"/>
            <w:vAlign w:val="center"/>
          </w:tcPr>
          <w:p>
            <w:pPr>
              <w:jc w:val="center"/>
              <w:rPr>
                <w:rFonts w:ascii="宋体" w:hAnsi="宋体"/>
                <w:sz w:val="18"/>
                <w:szCs w:val="21"/>
              </w:rPr>
            </w:pPr>
            <w:r>
              <w:rPr>
                <w:rFonts w:hint="eastAsia" w:ascii="宋体" w:hAnsi="宋体"/>
                <w:sz w:val="18"/>
                <w:szCs w:val="21"/>
              </w:rPr>
              <w:t>电话</w:t>
            </w:r>
          </w:p>
        </w:tc>
        <w:tc>
          <w:tcPr>
            <w:tcW w:w="1201" w:type="dxa"/>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成立时间</w:t>
            </w:r>
          </w:p>
        </w:tc>
        <w:tc>
          <w:tcPr>
            <w:tcW w:w="1918" w:type="dxa"/>
            <w:gridSpan w:val="2"/>
            <w:vAlign w:val="center"/>
          </w:tcPr>
          <w:p>
            <w:pPr>
              <w:jc w:val="center"/>
              <w:rPr>
                <w:rFonts w:ascii="宋体" w:hAnsi="宋体"/>
                <w:sz w:val="18"/>
                <w:szCs w:val="21"/>
              </w:rPr>
            </w:pPr>
          </w:p>
        </w:tc>
        <w:tc>
          <w:tcPr>
            <w:tcW w:w="4887" w:type="dxa"/>
            <w:gridSpan w:val="7"/>
            <w:vAlign w:val="center"/>
          </w:tcPr>
          <w:p>
            <w:pPr>
              <w:jc w:val="center"/>
              <w:rPr>
                <w:rFonts w:ascii="宋体" w:hAnsi="宋体"/>
                <w:sz w:val="18"/>
                <w:szCs w:val="21"/>
              </w:rPr>
            </w:pPr>
            <w:r>
              <w:rPr>
                <w:rFonts w:hint="eastAsia" w:ascii="宋体" w:hAnsi="宋体"/>
                <w:sz w:val="18"/>
                <w:szCs w:val="21"/>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企业资质等级</w:t>
            </w:r>
          </w:p>
        </w:tc>
        <w:tc>
          <w:tcPr>
            <w:tcW w:w="897" w:type="dxa"/>
            <w:vAlign w:val="center"/>
          </w:tcPr>
          <w:p>
            <w:pPr>
              <w:jc w:val="center"/>
              <w:rPr>
                <w:rFonts w:ascii="宋体" w:hAnsi="宋体"/>
                <w:sz w:val="18"/>
                <w:szCs w:val="21"/>
              </w:rPr>
            </w:pPr>
          </w:p>
        </w:tc>
        <w:tc>
          <w:tcPr>
            <w:tcW w:w="1021" w:type="dxa"/>
            <w:vAlign w:val="center"/>
          </w:tcPr>
          <w:p>
            <w:pPr>
              <w:jc w:val="center"/>
              <w:rPr>
                <w:rFonts w:ascii="宋体" w:hAnsi="宋体"/>
                <w:sz w:val="18"/>
                <w:szCs w:val="21"/>
              </w:rPr>
            </w:pPr>
          </w:p>
        </w:tc>
        <w:tc>
          <w:tcPr>
            <w:tcW w:w="993" w:type="dxa"/>
            <w:vMerge w:val="restart"/>
            <w:vAlign w:val="center"/>
          </w:tcPr>
          <w:p>
            <w:pPr>
              <w:jc w:val="center"/>
              <w:rPr>
                <w:rFonts w:ascii="宋体" w:hAnsi="宋体"/>
                <w:sz w:val="18"/>
                <w:szCs w:val="21"/>
              </w:rPr>
            </w:pPr>
            <w:r>
              <w:rPr>
                <w:rFonts w:hint="eastAsia" w:ascii="宋体" w:hAnsi="宋体"/>
                <w:sz w:val="18"/>
                <w:szCs w:val="21"/>
              </w:rPr>
              <w:t>其中</w:t>
            </w:r>
          </w:p>
        </w:tc>
        <w:tc>
          <w:tcPr>
            <w:tcW w:w="1984" w:type="dxa"/>
            <w:gridSpan w:val="4"/>
            <w:vAlign w:val="center"/>
          </w:tcPr>
          <w:p>
            <w:pPr>
              <w:jc w:val="center"/>
              <w:rPr>
                <w:rFonts w:ascii="宋体" w:hAnsi="宋体"/>
                <w:sz w:val="18"/>
                <w:szCs w:val="21"/>
              </w:rPr>
            </w:pPr>
            <w:r>
              <w:rPr>
                <w:rFonts w:hint="eastAsia" w:ascii="宋体" w:hAnsi="宋体"/>
                <w:sz w:val="18"/>
                <w:szCs w:val="21"/>
              </w:rPr>
              <w:t>项目负责人人员</w:t>
            </w:r>
          </w:p>
        </w:tc>
        <w:tc>
          <w:tcPr>
            <w:tcW w:w="1910"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营业执照号</w:t>
            </w:r>
          </w:p>
        </w:tc>
        <w:tc>
          <w:tcPr>
            <w:tcW w:w="897" w:type="dxa"/>
            <w:vAlign w:val="center"/>
          </w:tcPr>
          <w:p>
            <w:pPr>
              <w:jc w:val="center"/>
              <w:rPr>
                <w:rFonts w:ascii="宋体" w:hAnsi="宋体"/>
                <w:sz w:val="18"/>
                <w:szCs w:val="21"/>
              </w:rPr>
            </w:pPr>
          </w:p>
        </w:tc>
        <w:tc>
          <w:tcPr>
            <w:tcW w:w="1021" w:type="dxa"/>
            <w:vAlign w:val="center"/>
          </w:tcPr>
          <w:p>
            <w:pPr>
              <w:jc w:val="center"/>
              <w:rPr>
                <w:rFonts w:ascii="宋体" w:hAnsi="宋体"/>
                <w:sz w:val="18"/>
                <w:szCs w:val="21"/>
              </w:rPr>
            </w:pPr>
          </w:p>
        </w:tc>
        <w:tc>
          <w:tcPr>
            <w:tcW w:w="993" w:type="dxa"/>
            <w:vMerge w:val="continue"/>
            <w:vAlign w:val="center"/>
          </w:tcPr>
          <w:p>
            <w:pPr>
              <w:jc w:val="center"/>
              <w:rPr>
                <w:rFonts w:ascii="宋体" w:hAnsi="宋体"/>
                <w:sz w:val="18"/>
                <w:szCs w:val="21"/>
              </w:rPr>
            </w:pPr>
          </w:p>
        </w:tc>
        <w:tc>
          <w:tcPr>
            <w:tcW w:w="1984" w:type="dxa"/>
            <w:gridSpan w:val="4"/>
            <w:vAlign w:val="center"/>
          </w:tcPr>
          <w:p>
            <w:pPr>
              <w:jc w:val="center"/>
              <w:rPr>
                <w:rFonts w:ascii="宋体" w:hAnsi="宋体"/>
                <w:sz w:val="18"/>
                <w:szCs w:val="21"/>
              </w:rPr>
            </w:pPr>
            <w:r>
              <w:rPr>
                <w:rFonts w:hint="eastAsia" w:ascii="宋体" w:hAnsi="宋体"/>
                <w:sz w:val="18"/>
                <w:szCs w:val="21"/>
              </w:rPr>
              <w:t>高级职称人员</w:t>
            </w:r>
          </w:p>
        </w:tc>
        <w:tc>
          <w:tcPr>
            <w:tcW w:w="1910"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注册资金</w:t>
            </w:r>
          </w:p>
        </w:tc>
        <w:tc>
          <w:tcPr>
            <w:tcW w:w="897" w:type="dxa"/>
            <w:vAlign w:val="center"/>
          </w:tcPr>
          <w:p>
            <w:pPr>
              <w:jc w:val="center"/>
              <w:rPr>
                <w:rFonts w:ascii="宋体" w:hAnsi="宋体"/>
                <w:sz w:val="18"/>
                <w:szCs w:val="21"/>
              </w:rPr>
            </w:pPr>
          </w:p>
        </w:tc>
        <w:tc>
          <w:tcPr>
            <w:tcW w:w="1021" w:type="dxa"/>
            <w:vAlign w:val="center"/>
          </w:tcPr>
          <w:p>
            <w:pPr>
              <w:jc w:val="center"/>
              <w:rPr>
                <w:rFonts w:ascii="宋体" w:hAnsi="宋体"/>
                <w:sz w:val="18"/>
                <w:szCs w:val="21"/>
              </w:rPr>
            </w:pPr>
          </w:p>
        </w:tc>
        <w:tc>
          <w:tcPr>
            <w:tcW w:w="993" w:type="dxa"/>
            <w:vMerge w:val="continue"/>
            <w:vAlign w:val="center"/>
          </w:tcPr>
          <w:p>
            <w:pPr>
              <w:jc w:val="center"/>
              <w:rPr>
                <w:rFonts w:ascii="宋体" w:hAnsi="宋体"/>
                <w:sz w:val="18"/>
                <w:szCs w:val="21"/>
              </w:rPr>
            </w:pPr>
          </w:p>
        </w:tc>
        <w:tc>
          <w:tcPr>
            <w:tcW w:w="1984" w:type="dxa"/>
            <w:gridSpan w:val="4"/>
            <w:vAlign w:val="center"/>
          </w:tcPr>
          <w:p>
            <w:pPr>
              <w:jc w:val="center"/>
              <w:rPr>
                <w:rFonts w:ascii="宋体" w:hAnsi="宋体"/>
                <w:sz w:val="18"/>
                <w:szCs w:val="21"/>
              </w:rPr>
            </w:pPr>
            <w:r>
              <w:rPr>
                <w:rFonts w:hint="eastAsia" w:ascii="宋体" w:hAnsi="宋体"/>
                <w:sz w:val="18"/>
                <w:szCs w:val="21"/>
              </w:rPr>
              <w:t>中级职称人员</w:t>
            </w:r>
          </w:p>
        </w:tc>
        <w:tc>
          <w:tcPr>
            <w:tcW w:w="1910"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开户银行</w:t>
            </w:r>
          </w:p>
        </w:tc>
        <w:tc>
          <w:tcPr>
            <w:tcW w:w="897" w:type="dxa"/>
            <w:vAlign w:val="center"/>
          </w:tcPr>
          <w:p>
            <w:pPr>
              <w:jc w:val="center"/>
              <w:rPr>
                <w:rFonts w:ascii="宋体" w:hAnsi="宋体"/>
                <w:sz w:val="18"/>
                <w:szCs w:val="21"/>
              </w:rPr>
            </w:pPr>
          </w:p>
        </w:tc>
        <w:tc>
          <w:tcPr>
            <w:tcW w:w="1021" w:type="dxa"/>
            <w:vAlign w:val="center"/>
          </w:tcPr>
          <w:p>
            <w:pPr>
              <w:jc w:val="center"/>
              <w:rPr>
                <w:rFonts w:ascii="宋体" w:hAnsi="宋体"/>
                <w:sz w:val="18"/>
                <w:szCs w:val="21"/>
              </w:rPr>
            </w:pPr>
          </w:p>
        </w:tc>
        <w:tc>
          <w:tcPr>
            <w:tcW w:w="993" w:type="dxa"/>
            <w:vMerge w:val="continue"/>
            <w:vAlign w:val="center"/>
          </w:tcPr>
          <w:p>
            <w:pPr>
              <w:jc w:val="center"/>
              <w:rPr>
                <w:rFonts w:ascii="宋体" w:hAnsi="宋体"/>
                <w:sz w:val="18"/>
                <w:szCs w:val="21"/>
              </w:rPr>
            </w:pPr>
          </w:p>
        </w:tc>
        <w:tc>
          <w:tcPr>
            <w:tcW w:w="1984" w:type="dxa"/>
            <w:gridSpan w:val="4"/>
            <w:vAlign w:val="center"/>
          </w:tcPr>
          <w:p>
            <w:pPr>
              <w:jc w:val="center"/>
              <w:rPr>
                <w:rFonts w:ascii="宋体" w:hAnsi="宋体"/>
                <w:sz w:val="18"/>
                <w:szCs w:val="21"/>
              </w:rPr>
            </w:pPr>
            <w:r>
              <w:rPr>
                <w:rFonts w:hint="eastAsia" w:ascii="宋体" w:hAnsi="宋体"/>
                <w:sz w:val="18"/>
                <w:szCs w:val="21"/>
              </w:rPr>
              <w:t>初级职称人员</w:t>
            </w:r>
          </w:p>
        </w:tc>
        <w:tc>
          <w:tcPr>
            <w:tcW w:w="1910"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31" w:type="dxa"/>
            <w:vAlign w:val="center"/>
          </w:tcPr>
          <w:p>
            <w:pPr>
              <w:jc w:val="center"/>
              <w:rPr>
                <w:rFonts w:ascii="宋体" w:hAnsi="宋体"/>
                <w:sz w:val="18"/>
                <w:szCs w:val="21"/>
              </w:rPr>
            </w:pPr>
            <w:r>
              <w:rPr>
                <w:rFonts w:hint="eastAsia" w:ascii="宋体" w:hAnsi="宋体"/>
                <w:sz w:val="18"/>
                <w:szCs w:val="21"/>
              </w:rPr>
              <w:t>账号</w:t>
            </w:r>
          </w:p>
        </w:tc>
        <w:tc>
          <w:tcPr>
            <w:tcW w:w="897" w:type="dxa"/>
            <w:vAlign w:val="center"/>
          </w:tcPr>
          <w:p>
            <w:pPr>
              <w:jc w:val="center"/>
              <w:rPr>
                <w:rFonts w:ascii="宋体" w:hAnsi="宋体"/>
                <w:sz w:val="18"/>
                <w:szCs w:val="21"/>
              </w:rPr>
            </w:pPr>
          </w:p>
        </w:tc>
        <w:tc>
          <w:tcPr>
            <w:tcW w:w="1021" w:type="dxa"/>
            <w:vAlign w:val="center"/>
          </w:tcPr>
          <w:p>
            <w:pPr>
              <w:jc w:val="center"/>
              <w:rPr>
                <w:rFonts w:ascii="宋体" w:hAnsi="宋体"/>
                <w:sz w:val="18"/>
                <w:szCs w:val="21"/>
              </w:rPr>
            </w:pPr>
          </w:p>
        </w:tc>
        <w:tc>
          <w:tcPr>
            <w:tcW w:w="993" w:type="dxa"/>
            <w:vMerge w:val="continue"/>
            <w:vAlign w:val="center"/>
          </w:tcPr>
          <w:p>
            <w:pPr>
              <w:jc w:val="center"/>
              <w:rPr>
                <w:rFonts w:ascii="宋体" w:hAnsi="宋体"/>
                <w:sz w:val="18"/>
                <w:szCs w:val="21"/>
              </w:rPr>
            </w:pPr>
          </w:p>
        </w:tc>
        <w:tc>
          <w:tcPr>
            <w:tcW w:w="1984" w:type="dxa"/>
            <w:gridSpan w:val="4"/>
            <w:vAlign w:val="center"/>
          </w:tcPr>
          <w:p>
            <w:pPr>
              <w:jc w:val="center"/>
              <w:rPr>
                <w:rFonts w:ascii="宋体" w:hAnsi="宋体"/>
                <w:sz w:val="18"/>
                <w:szCs w:val="21"/>
              </w:rPr>
            </w:pPr>
            <w:r>
              <w:rPr>
                <w:rFonts w:hint="eastAsia" w:ascii="宋体" w:hAnsi="宋体"/>
                <w:sz w:val="18"/>
                <w:szCs w:val="21"/>
              </w:rPr>
              <w:t>技  工</w:t>
            </w:r>
          </w:p>
        </w:tc>
        <w:tc>
          <w:tcPr>
            <w:tcW w:w="1910" w:type="dxa"/>
            <w:gridSpan w:val="2"/>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552" w:hRule="atLeast"/>
          <w:jc w:val="center"/>
        </w:trPr>
        <w:tc>
          <w:tcPr>
            <w:tcW w:w="1531" w:type="dxa"/>
            <w:vAlign w:val="center"/>
          </w:tcPr>
          <w:p>
            <w:pPr>
              <w:jc w:val="center"/>
              <w:rPr>
                <w:rFonts w:ascii="宋体" w:hAnsi="宋体"/>
                <w:sz w:val="18"/>
                <w:szCs w:val="21"/>
              </w:rPr>
            </w:pPr>
            <w:r>
              <w:rPr>
                <w:rFonts w:hint="eastAsia" w:ascii="宋体" w:hAnsi="宋体"/>
                <w:sz w:val="18"/>
                <w:szCs w:val="21"/>
              </w:rPr>
              <w:t>经营范围</w:t>
            </w:r>
          </w:p>
        </w:tc>
        <w:tc>
          <w:tcPr>
            <w:tcW w:w="6805" w:type="dxa"/>
            <w:gridSpan w:val="9"/>
            <w:vAlign w:val="center"/>
          </w:tcPr>
          <w:p>
            <w:pPr>
              <w:jc w:val="center"/>
              <w:rPr>
                <w:rFonts w:ascii="宋体" w:hAnsi="宋体"/>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1531" w:type="dxa"/>
            <w:vAlign w:val="center"/>
          </w:tcPr>
          <w:p>
            <w:pPr>
              <w:jc w:val="center"/>
              <w:rPr>
                <w:rFonts w:ascii="宋体" w:hAnsi="宋体"/>
                <w:sz w:val="18"/>
                <w:szCs w:val="21"/>
              </w:rPr>
            </w:pPr>
            <w:r>
              <w:rPr>
                <w:rFonts w:hint="eastAsia" w:ascii="宋体" w:hAnsi="宋体"/>
                <w:sz w:val="18"/>
                <w:szCs w:val="21"/>
              </w:rPr>
              <w:t>备注</w:t>
            </w:r>
          </w:p>
        </w:tc>
        <w:tc>
          <w:tcPr>
            <w:tcW w:w="6805" w:type="dxa"/>
            <w:gridSpan w:val="9"/>
            <w:vAlign w:val="center"/>
          </w:tcPr>
          <w:p>
            <w:pPr>
              <w:jc w:val="center"/>
              <w:rPr>
                <w:rFonts w:ascii="宋体" w:hAnsi="宋体"/>
                <w:sz w:val="18"/>
                <w:szCs w:val="21"/>
              </w:rPr>
            </w:pPr>
          </w:p>
        </w:tc>
      </w:tr>
    </w:tbl>
    <w:p>
      <w:pPr>
        <w:spacing w:beforeLines="50" w:afterLines="100" w:line="440" w:lineRule="exact"/>
        <w:rPr>
          <w:rFonts w:ascii="黑体" w:hAnsi="宋体" w:eastAsia="黑体"/>
          <w:sz w:val="24"/>
        </w:rPr>
      </w:pPr>
    </w:p>
    <w:p>
      <w:pPr>
        <w:spacing w:line="300" w:lineRule="auto"/>
        <w:ind w:left="720" w:hanging="720" w:hangingChars="300"/>
        <w:rPr>
          <w:rFonts w:ascii="宋体" w:hAnsi="宋体"/>
          <w:sz w:val="18"/>
          <w:szCs w:val="18"/>
        </w:rPr>
      </w:pPr>
      <w:r>
        <w:rPr>
          <w:rFonts w:ascii="黑体" w:hAnsi="宋体" w:eastAsia="黑体"/>
          <w:sz w:val="24"/>
        </w:rPr>
        <w:br w:type="page"/>
      </w:r>
    </w:p>
    <w:p>
      <w:pPr>
        <w:pStyle w:val="6"/>
        <w:rPr>
          <w:rFonts w:ascii="黑体" w:hAnsi="黑体" w:eastAsia="黑体"/>
          <w:b w:val="0"/>
          <w:bCs w:val="0"/>
          <w:sz w:val="24"/>
        </w:rPr>
      </w:pPr>
      <w:bookmarkStart w:id="610" w:name="_Toc300678582"/>
      <w:r>
        <w:rPr>
          <w:rFonts w:hint="eastAsia" w:ascii="黑体" w:hAnsi="黑体" w:eastAsia="黑体"/>
          <w:b w:val="0"/>
          <w:bCs w:val="0"/>
          <w:sz w:val="24"/>
        </w:rPr>
        <w:t>（7.2）近年财务状况表</w:t>
      </w:r>
      <w:bookmarkEnd w:id="610"/>
    </w:p>
    <w:p>
      <w:pPr>
        <w:spacing w:line="300" w:lineRule="auto"/>
        <w:ind w:left="540" w:hanging="540" w:hangingChars="300"/>
        <w:rPr>
          <w:rFonts w:ascii="宋体" w:hAnsi="宋体"/>
          <w:sz w:val="18"/>
          <w:szCs w:val="18"/>
        </w:rPr>
      </w:pPr>
      <w:r>
        <w:rPr>
          <w:rFonts w:hint="eastAsia" w:ascii="宋体" w:hAnsi="宋体"/>
          <w:sz w:val="18"/>
          <w:szCs w:val="18"/>
        </w:rPr>
        <w:t>备注：在此附经会计事务所认定的财务会计报表，包括资产负债表、损益表和审计报告的复印件，具体年份要求见第二章“投标人须知前附表”的规定。</w:t>
      </w:r>
    </w:p>
    <w:p>
      <w:pPr>
        <w:spacing w:line="300" w:lineRule="auto"/>
        <w:ind w:left="540" w:hanging="540" w:hangingChars="300"/>
        <w:rPr>
          <w:rFonts w:ascii="宋体" w:hAnsi="宋体"/>
          <w:sz w:val="18"/>
          <w:szCs w:val="18"/>
        </w:rPr>
      </w:pPr>
    </w:p>
    <w:p>
      <w:pPr>
        <w:pStyle w:val="6"/>
        <w:rPr>
          <w:rFonts w:ascii="黑体" w:hAnsi="黑体" w:eastAsia="黑体"/>
          <w:b w:val="0"/>
          <w:bCs w:val="0"/>
          <w:sz w:val="24"/>
        </w:rPr>
      </w:pPr>
      <w:bookmarkStart w:id="611" w:name="_Toc300678583"/>
      <w:r>
        <w:rPr>
          <w:rFonts w:hint="eastAsia" w:ascii="黑体" w:hAnsi="黑体" w:eastAsia="黑体"/>
          <w:b w:val="0"/>
          <w:bCs w:val="0"/>
          <w:sz w:val="24"/>
        </w:rPr>
        <w:t>（7.3）近年完成的类似项目情况表</w:t>
      </w:r>
      <w:bookmarkEnd w:id="611"/>
    </w:p>
    <w:tbl>
      <w:tblPr>
        <w:tblStyle w:val="42"/>
        <w:tblW w:w="83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59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项目名称</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项目所在地</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发包人名称</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发包人地址</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发包人联系人及电话</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合同价格</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开工日期</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竣工日期</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承担的工作</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工程质量</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项目负责人</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技术负责人</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总监理工程师及电话</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537" w:hRule="atLeast"/>
          <w:jc w:val="center"/>
        </w:trPr>
        <w:tc>
          <w:tcPr>
            <w:tcW w:w="2411" w:type="dxa"/>
            <w:vAlign w:val="center"/>
          </w:tcPr>
          <w:p>
            <w:pPr>
              <w:jc w:val="center"/>
              <w:rPr>
                <w:rFonts w:ascii="宋体" w:hAnsi="宋体"/>
                <w:sz w:val="18"/>
                <w:szCs w:val="21"/>
              </w:rPr>
            </w:pPr>
            <w:r>
              <w:rPr>
                <w:rFonts w:hint="eastAsia" w:ascii="宋体" w:hAnsi="宋体"/>
                <w:sz w:val="18"/>
                <w:szCs w:val="21"/>
              </w:rPr>
              <w:t>项目描述</w:t>
            </w:r>
          </w:p>
        </w:tc>
        <w:tc>
          <w:tcPr>
            <w:tcW w:w="5932"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411" w:type="dxa"/>
            <w:vAlign w:val="center"/>
          </w:tcPr>
          <w:p>
            <w:pPr>
              <w:jc w:val="center"/>
              <w:rPr>
                <w:rFonts w:ascii="宋体" w:hAnsi="宋体"/>
                <w:sz w:val="18"/>
                <w:szCs w:val="21"/>
              </w:rPr>
            </w:pPr>
            <w:r>
              <w:rPr>
                <w:rFonts w:hint="eastAsia" w:ascii="宋体" w:hAnsi="宋体"/>
                <w:sz w:val="18"/>
                <w:szCs w:val="21"/>
              </w:rPr>
              <w:t>备注</w:t>
            </w:r>
          </w:p>
        </w:tc>
        <w:tc>
          <w:tcPr>
            <w:tcW w:w="5932" w:type="dxa"/>
            <w:vAlign w:val="center"/>
          </w:tcPr>
          <w:p>
            <w:pPr>
              <w:jc w:val="center"/>
              <w:rPr>
                <w:rFonts w:ascii="宋体" w:hAnsi="宋体"/>
                <w:szCs w:val="21"/>
              </w:rPr>
            </w:pPr>
          </w:p>
        </w:tc>
      </w:tr>
    </w:tbl>
    <w:p>
      <w:pPr>
        <w:spacing w:line="300" w:lineRule="auto"/>
        <w:ind w:left="540" w:hanging="540" w:hangingChars="300"/>
        <w:rPr>
          <w:rFonts w:ascii="宋体" w:hAnsi="宋体"/>
          <w:sz w:val="18"/>
          <w:szCs w:val="18"/>
        </w:rPr>
      </w:pPr>
      <w:r>
        <w:rPr>
          <w:rFonts w:hint="eastAsia" w:ascii="宋体" w:hAnsi="宋体"/>
          <w:sz w:val="18"/>
          <w:szCs w:val="18"/>
        </w:rPr>
        <w:t>备注：1.类似项目有效时间以提交投标文件截止时间前36个月内竣工验收的工程为有效。</w:t>
      </w:r>
    </w:p>
    <w:p>
      <w:pPr>
        <w:spacing w:line="300" w:lineRule="auto"/>
        <w:rPr>
          <w:rFonts w:ascii="宋体" w:hAnsi="宋体"/>
          <w:sz w:val="18"/>
          <w:szCs w:val="18"/>
        </w:rPr>
      </w:pPr>
      <w:r>
        <w:rPr>
          <w:rFonts w:hint="eastAsia" w:ascii="宋体" w:hAnsi="宋体"/>
          <w:sz w:val="18"/>
          <w:szCs w:val="18"/>
        </w:rPr>
        <w:t xml:space="preserve">      2.本表后附类似项目证明资料复印件及原件，招标工程应同时提供中标通知书、合同协议书和和竣工验收备案登记表；非招标工程应同时提供合同协议书和和竣工验收备案登记表，具体年份要求见投标人须知前附表。每张表格只填写一个项目，并标明序号。</w:t>
      </w:r>
    </w:p>
    <w:p>
      <w:pPr>
        <w:spacing w:line="300" w:lineRule="auto"/>
        <w:rPr>
          <w:rFonts w:ascii="宋体" w:hAnsi="宋体"/>
          <w:sz w:val="18"/>
          <w:szCs w:val="18"/>
        </w:rPr>
      </w:pPr>
      <w:r>
        <w:rPr>
          <w:rFonts w:ascii="宋体" w:hAnsi="宋体"/>
          <w:szCs w:val="21"/>
        </w:rPr>
        <w:br w:type="page"/>
      </w:r>
      <w:bookmarkStart w:id="612" w:name="_Toc300678584"/>
    </w:p>
    <w:p>
      <w:pPr>
        <w:pStyle w:val="6"/>
        <w:rPr>
          <w:rFonts w:ascii="黑体" w:hAnsi="黑体" w:eastAsia="黑体"/>
          <w:b w:val="0"/>
          <w:bCs w:val="0"/>
          <w:sz w:val="24"/>
        </w:rPr>
      </w:pPr>
      <w:r>
        <w:rPr>
          <w:rFonts w:hint="eastAsia" w:ascii="黑体" w:hAnsi="黑体" w:eastAsia="黑体"/>
          <w:b w:val="0"/>
          <w:bCs w:val="0"/>
          <w:sz w:val="24"/>
        </w:rPr>
        <w:t>（7.4）正在施工的和新承接的项目情况表</w:t>
      </w:r>
      <w:bookmarkEnd w:id="612"/>
    </w:p>
    <w:tbl>
      <w:tblPr>
        <w:tblStyle w:val="42"/>
        <w:tblW w:w="832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62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项目名称</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项目所在地</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发包人名称</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发包人地址</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发包人电话</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签约合同价</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开工日期</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计划竣工日期</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承担的工作</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工程质量</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项目负责人</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技术负责人</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总监理工程师及电话</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552" w:hRule="atLeast"/>
          <w:jc w:val="center"/>
        </w:trPr>
        <w:tc>
          <w:tcPr>
            <w:tcW w:w="2057" w:type="dxa"/>
            <w:vAlign w:val="center"/>
          </w:tcPr>
          <w:p>
            <w:pPr>
              <w:jc w:val="center"/>
              <w:rPr>
                <w:rFonts w:ascii="宋体" w:hAnsi="宋体"/>
                <w:sz w:val="18"/>
                <w:szCs w:val="21"/>
              </w:rPr>
            </w:pPr>
            <w:r>
              <w:rPr>
                <w:rFonts w:hint="eastAsia" w:ascii="宋体" w:hAnsi="宋体"/>
                <w:sz w:val="18"/>
                <w:szCs w:val="21"/>
              </w:rPr>
              <w:t>项目描述</w:t>
            </w:r>
          </w:p>
        </w:tc>
        <w:tc>
          <w:tcPr>
            <w:tcW w:w="626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2057" w:type="dxa"/>
            <w:vAlign w:val="center"/>
          </w:tcPr>
          <w:p>
            <w:pPr>
              <w:jc w:val="center"/>
              <w:rPr>
                <w:rFonts w:ascii="宋体" w:hAnsi="宋体"/>
                <w:sz w:val="18"/>
                <w:szCs w:val="21"/>
              </w:rPr>
            </w:pPr>
            <w:r>
              <w:rPr>
                <w:rFonts w:hint="eastAsia" w:ascii="宋体" w:hAnsi="宋体"/>
                <w:sz w:val="18"/>
                <w:szCs w:val="21"/>
              </w:rPr>
              <w:t>备注</w:t>
            </w:r>
          </w:p>
        </w:tc>
        <w:tc>
          <w:tcPr>
            <w:tcW w:w="6264" w:type="dxa"/>
            <w:vAlign w:val="center"/>
          </w:tcPr>
          <w:p>
            <w:pPr>
              <w:jc w:val="center"/>
              <w:rPr>
                <w:rFonts w:ascii="宋体" w:hAnsi="宋体"/>
                <w:szCs w:val="21"/>
              </w:rPr>
            </w:pPr>
          </w:p>
        </w:tc>
      </w:tr>
    </w:tbl>
    <w:p>
      <w:pPr>
        <w:spacing w:line="300" w:lineRule="auto"/>
        <w:rPr>
          <w:rFonts w:ascii="宋体" w:hAnsi="宋体"/>
          <w:sz w:val="18"/>
          <w:szCs w:val="18"/>
        </w:rPr>
      </w:pPr>
      <w:r>
        <w:rPr>
          <w:rFonts w:hint="eastAsia" w:ascii="宋体" w:hAnsi="宋体"/>
          <w:sz w:val="18"/>
          <w:szCs w:val="18"/>
        </w:rPr>
        <w:t>备注：本表后附中标通知书或合同协议书复印件。每张表格只填写一个项目，并标明序号。</w:t>
      </w:r>
    </w:p>
    <w:p>
      <w:pPr>
        <w:spacing w:line="300" w:lineRule="auto"/>
        <w:rPr>
          <w:rFonts w:ascii="宋体" w:hAnsi="宋体"/>
          <w:sz w:val="18"/>
          <w:szCs w:val="18"/>
        </w:rPr>
      </w:pPr>
      <w:r>
        <w:rPr>
          <w:rFonts w:ascii="宋体" w:hAnsi="宋体"/>
          <w:szCs w:val="21"/>
        </w:rPr>
        <w:br w:type="page"/>
      </w:r>
      <w:bookmarkStart w:id="613" w:name="_Toc300678585"/>
    </w:p>
    <w:p>
      <w:pPr>
        <w:pStyle w:val="6"/>
        <w:rPr>
          <w:rFonts w:ascii="黑体" w:hAnsi="黑体" w:eastAsia="黑体"/>
          <w:b w:val="0"/>
          <w:bCs w:val="0"/>
          <w:sz w:val="24"/>
        </w:rPr>
      </w:pPr>
      <w:r>
        <w:rPr>
          <w:rFonts w:hint="eastAsia" w:ascii="黑体" w:hAnsi="黑体" w:eastAsia="黑体"/>
          <w:b w:val="0"/>
          <w:bCs w:val="0"/>
          <w:sz w:val="24"/>
        </w:rPr>
        <w:t>（7.5）近年发生的诉讼和仲裁情况表</w:t>
      </w:r>
      <w:bookmarkEnd w:id="613"/>
    </w:p>
    <w:tbl>
      <w:tblPr>
        <w:tblStyle w:val="42"/>
        <w:tblW w:w="837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4"/>
        <w:gridCol w:w="954"/>
        <w:gridCol w:w="1260"/>
        <w:gridCol w:w="3042"/>
        <w:gridCol w:w="21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Align w:val="center"/>
          </w:tcPr>
          <w:p>
            <w:pPr>
              <w:widowControl/>
              <w:jc w:val="center"/>
              <w:rPr>
                <w:rFonts w:ascii="宋体" w:hAnsi="宋体"/>
                <w:kern w:val="0"/>
                <w:sz w:val="18"/>
                <w:szCs w:val="21"/>
              </w:rPr>
            </w:pPr>
            <w:r>
              <w:rPr>
                <w:rFonts w:hint="eastAsia" w:ascii="宋体" w:hAnsi="宋体"/>
                <w:kern w:val="0"/>
                <w:sz w:val="18"/>
                <w:szCs w:val="21"/>
              </w:rPr>
              <w:t>类别</w:t>
            </w:r>
          </w:p>
        </w:tc>
        <w:tc>
          <w:tcPr>
            <w:tcW w:w="954" w:type="dxa"/>
            <w:vAlign w:val="center"/>
          </w:tcPr>
          <w:p>
            <w:pPr>
              <w:widowControl/>
              <w:jc w:val="center"/>
              <w:rPr>
                <w:rFonts w:ascii="宋体" w:hAnsi="宋体"/>
                <w:kern w:val="0"/>
                <w:sz w:val="18"/>
                <w:szCs w:val="21"/>
              </w:rPr>
            </w:pPr>
            <w:r>
              <w:rPr>
                <w:rFonts w:hint="eastAsia" w:ascii="宋体" w:hAnsi="宋体"/>
                <w:kern w:val="0"/>
                <w:sz w:val="18"/>
                <w:szCs w:val="21"/>
              </w:rPr>
              <w:t>序号</w:t>
            </w:r>
          </w:p>
        </w:tc>
        <w:tc>
          <w:tcPr>
            <w:tcW w:w="1260" w:type="dxa"/>
            <w:vAlign w:val="center"/>
          </w:tcPr>
          <w:p>
            <w:pPr>
              <w:widowControl/>
              <w:jc w:val="center"/>
              <w:rPr>
                <w:rFonts w:ascii="宋体" w:hAnsi="宋体"/>
                <w:kern w:val="0"/>
                <w:sz w:val="18"/>
                <w:szCs w:val="21"/>
              </w:rPr>
            </w:pPr>
            <w:r>
              <w:rPr>
                <w:rFonts w:hint="eastAsia" w:ascii="宋体" w:hAnsi="宋体"/>
                <w:kern w:val="0"/>
                <w:sz w:val="18"/>
                <w:szCs w:val="21"/>
              </w:rPr>
              <w:t>发生时间</w:t>
            </w:r>
          </w:p>
        </w:tc>
        <w:tc>
          <w:tcPr>
            <w:tcW w:w="3042" w:type="dxa"/>
            <w:vAlign w:val="center"/>
          </w:tcPr>
          <w:p>
            <w:pPr>
              <w:widowControl/>
              <w:jc w:val="center"/>
              <w:rPr>
                <w:rFonts w:ascii="宋体" w:hAnsi="宋体"/>
                <w:kern w:val="0"/>
                <w:sz w:val="18"/>
                <w:szCs w:val="21"/>
              </w:rPr>
            </w:pPr>
            <w:r>
              <w:rPr>
                <w:rFonts w:hint="eastAsia" w:ascii="宋体" w:hAnsi="宋体"/>
                <w:kern w:val="0"/>
                <w:sz w:val="18"/>
                <w:szCs w:val="21"/>
              </w:rPr>
              <w:t>情况简介</w:t>
            </w:r>
          </w:p>
        </w:tc>
        <w:tc>
          <w:tcPr>
            <w:tcW w:w="2169" w:type="dxa"/>
            <w:vAlign w:val="center"/>
          </w:tcPr>
          <w:p>
            <w:pPr>
              <w:widowControl/>
              <w:jc w:val="center"/>
              <w:rPr>
                <w:rFonts w:ascii="宋体" w:hAnsi="宋体"/>
                <w:kern w:val="0"/>
                <w:sz w:val="18"/>
                <w:szCs w:val="21"/>
              </w:rPr>
            </w:pPr>
            <w:r>
              <w:rPr>
                <w:rFonts w:hint="eastAsia" w:ascii="宋体" w:hAnsi="宋体"/>
                <w:kern w:val="0"/>
                <w:sz w:val="18"/>
                <w:szCs w:val="21"/>
              </w:rPr>
              <w:t>证明材料索引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restart"/>
            <w:vAlign w:val="center"/>
          </w:tcPr>
          <w:p>
            <w:pPr>
              <w:widowControl/>
              <w:spacing w:line="240" w:lineRule="atLeast"/>
              <w:jc w:val="center"/>
              <w:rPr>
                <w:rFonts w:ascii="宋体" w:hAnsi="宋体"/>
                <w:kern w:val="0"/>
                <w:sz w:val="18"/>
                <w:szCs w:val="21"/>
              </w:rPr>
            </w:pPr>
            <w:r>
              <w:rPr>
                <w:rFonts w:hint="eastAsia" w:ascii="宋体" w:hAnsi="宋体"/>
                <w:kern w:val="0"/>
                <w:sz w:val="18"/>
                <w:szCs w:val="21"/>
              </w:rPr>
              <w:t>诉</w:t>
            </w:r>
          </w:p>
          <w:p>
            <w:pPr>
              <w:widowControl/>
              <w:spacing w:line="240" w:lineRule="atLeast"/>
              <w:jc w:val="center"/>
              <w:rPr>
                <w:rFonts w:ascii="宋体" w:hAnsi="宋体"/>
                <w:kern w:val="0"/>
                <w:sz w:val="18"/>
                <w:szCs w:val="21"/>
              </w:rPr>
            </w:pPr>
            <w:r>
              <w:rPr>
                <w:rFonts w:hint="eastAsia" w:ascii="宋体" w:hAnsi="宋体"/>
                <w:kern w:val="0"/>
                <w:sz w:val="18"/>
                <w:szCs w:val="21"/>
              </w:rPr>
              <w:t>讼</w:t>
            </w:r>
          </w:p>
          <w:p>
            <w:pPr>
              <w:widowControl/>
              <w:spacing w:line="240" w:lineRule="atLeast"/>
              <w:jc w:val="center"/>
              <w:rPr>
                <w:rFonts w:ascii="宋体" w:hAnsi="宋体"/>
                <w:kern w:val="0"/>
                <w:sz w:val="18"/>
                <w:szCs w:val="21"/>
              </w:rPr>
            </w:pPr>
            <w:r>
              <w:rPr>
                <w:rFonts w:hint="eastAsia" w:ascii="宋体" w:hAnsi="宋体"/>
                <w:kern w:val="0"/>
                <w:sz w:val="18"/>
                <w:szCs w:val="21"/>
              </w:rPr>
              <w:t>情</w:t>
            </w:r>
          </w:p>
          <w:p>
            <w:pPr>
              <w:widowControl/>
              <w:spacing w:line="240" w:lineRule="atLeast"/>
              <w:jc w:val="center"/>
              <w:rPr>
                <w:rFonts w:ascii="宋体" w:hAnsi="宋体"/>
                <w:kern w:val="0"/>
                <w:sz w:val="18"/>
                <w:szCs w:val="21"/>
              </w:rPr>
            </w:pPr>
            <w:r>
              <w:rPr>
                <w:rFonts w:hint="eastAsia" w:ascii="宋体" w:hAnsi="宋体"/>
                <w:kern w:val="0"/>
                <w:sz w:val="18"/>
                <w:szCs w:val="21"/>
              </w:rPr>
              <w:t>况</w:t>
            </w: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restart"/>
            <w:vAlign w:val="center"/>
          </w:tcPr>
          <w:p>
            <w:pPr>
              <w:widowControl/>
              <w:spacing w:line="240" w:lineRule="atLeast"/>
              <w:jc w:val="center"/>
              <w:rPr>
                <w:rFonts w:ascii="宋体" w:hAnsi="宋体"/>
                <w:kern w:val="0"/>
                <w:sz w:val="18"/>
                <w:szCs w:val="21"/>
              </w:rPr>
            </w:pPr>
            <w:r>
              <w:rPr>
                <w:rFonts w:hint="eastAsia" w:ascii="宋体" w:hAnsi="宋体"/>
                <w:kern w:val="0"/>
                <w:sz w:val="18"/>
                <w:szCs w:val="21"/>
              </w:rPr>
              <w:t>仲</w:t>
            </w:r>
          </w:p>
          <w:p>
            <w:pPr>
              <w:widowControl/>
              <w:spacing w:line="240" w:lineRule="atLeast"/>
              <w:jc w:val="center"/>
              <w:rPr>
                <w:rFonts w:ascii="宋体" w:hAnsi="宋体"/>
                <w:kern w:val="0"/>
                <w:sz w:val="18"/>
                <w:szCs w:val="21"/>
              </w:rPr>
            </w:pPr>
            <w:r>
              <w:rPr>
                <w:rFonts w:hint="eastAsia" w:ascii="宋体" w:hAnsi="宋体"/>
                <w:kern w:val="0"/>
                <w:sz w:val="18"/>
                <w:szCs w:val="21"/>
              </w:rPr>
              <w:t>裁</w:t>
            </w:r>
          </w:p>
          <w:p>
            <w:pPr>
              <w:widowControl/>
              <w:spacing w:line="240" w:lineRule="atLeast"/>
              <w:jc w:val="center"/>
              <w:rPr>
                <w:rFonts w:ascii="宋体" w:hAnsi="宋体"/>
                <w:kern w:val="0"/>
                <w:sz w:val="18"/>
                <w:szCs w:val="21"/>
              </w:rPr>
            </w:pPr>
            <w:r>
              <w:rPr>
                <w:rFonts w:hint="eastAsia" w:ascii="宋体" w:hAnsi="宋体"/>
                <w:kern w:val="0"/>
                <w:sz w:val="18"/>
                <w:szCs w:val="21"/>
              </w:rPr>
              <w:t>情</w:t>
            </w:r>
          </w:p>
          <w:p>
            <w:pPr>
              <w:widowControl/>
              <w:spacing w:line="240" w:lineRule="atLeast"/>
              <w:jc w:val="center"/>
              <w:rPr>
                <w:rFonts w:ascii="宋体" w:hAnsi="宋体"/>
                <w:kern w:val="0"/>
                <w:sz w:val="18"/>
                <w:szCs w:val="21"/>
              </w:rPr>
            </w:pPr>
            <w:r>
              <w:rPr>
                <w:rFonts w:hint="eastAsia" w:ascii="宋体" w:hAnsi="宋体"/>
                <w:kern w:val="0"/>
                <w:sz w:val="18"/>
                <w:szCs w:val="21"/>
              </w:rPr>
              <w:t>况</w:t>
            </w: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4" w:type="dxa"/>
            <w:vMerge w:val="continue"/>
            <w:vAlign w:val="center"/>
          </w:tcPr>
          <w:p>
            <w:pPr>
              <w:widowControl/>
              <w:jc w:val="left"/>
              <w:rPr>
                <w:rFonts w:ascii="宋体" w:hAnsi="宋体"/>
                <w:kern w:val="0"/>
                <w:sz w:val="18"/>
                <w:szCs w:val="21"/>
              </w:rPr>
            </w:pPr>
          </w:p>
        </w:tc>
        <w:tc>
          <w:tcPr>
            <w:tcW w:w="954" w:type="dxa"/>
            <w:vAlign w:val="center"/>
          </w:tcPr>
          <w:p>
            <w:pPr>
              <w:widowControl/>
              <w:jc w:val="center"/>
              <w:rPr>
                <w:rFonts w:ascii="宋体" w:hAnsi="宋体"/>
                <w:kern w:val="0"/>
                <w:sz w:val="18"/>
                <w:szCs w:val="21"/>
              </w:rPr>
            </w:pPr>
          </w:p>
        </w:tc>
        <w:tc>
          <w:tcPr>
            <w:tcW w:w="1260" w:type="dxa"/>
            <w:vAlign w:val="center"/>
          </w:tcPr>
          <w:p>
            <w:pPr>
              <w:widowControl/>
              <w:jc w:val="center"/>
              <w:rPr>
                <w:rFonts w:ascii="宋体" w:hAnsi="宋体"/>
                <w:kern w:val="0"/>
                <w:sz w:val="18"/>
                <w:szCs w:val="21"/>
              </w:rPr>
            </w:pPr>
          </w:p>
        </w:tc>
        <w:tc>
          <w:tcPr>
            <w:tcW w:w="3042" w:type="dxa"/>
            <w:vAlign w:val="center"/>
          </w:tcPr>
          <w:p>
            <w:pPr>
              <w:widowControl/>
              <w:jc w:val="center"/>
              <w:rPr>
                <w:rFonts w:ascii="宋体" w:hAnsi="宋体"/>
                <w:kern w:val="0"/>
                <w:sz w:val="18"/>
                <w:szCs w:val="21"/>
              </w:rPr>
            </w:pPr>
          </w:p>
        </w:tc>
        <w:tc>
          <w:tcPr>
            <w:tcW w:w="2169" w:type="dxa"/>
            <w:vAlign w:val="center"/>
          </w:tcPr>
          <w:p>
            <w:pPr>
              <w:widowControl/>
              <w:jc w:val="center"/>
              <w:rPr>
                <w:rFonts w:ascii="宋体" w:hAnsi="宋体"/>
                <w:kern w:val="0"/>
                <w:sz w:val="18"/>
                <w:szCs w:val="21"/>
              </w:rPr>
            </w:pPr>
          </w:p>
        </w:tc>
      </w:tr>
    </w:tbl>
    <w:p>
      <w:pPr>
        <w:spacing w:line="300" w:lineRule="auto"/>
        <w:ind w:left="540" w:hanging="540" w:hangingChars="300"/>
        <w:rPr>
          <w:rFonts w:ascii="宋体" w:hAnsi="宋体"/>
          <w:sz w:val="18"/>
          <w:szCs w:val="18"/>
        </w:rPr>
      </w:pPr>
      <w:r>
        <w:rPr>
          <w:rFonts w:hint="eastAsia" w:ascii="宋体" w:hAnsi="宋体"/>
          <w:sz w:val="18"/>
          <w:szCs w:val="18"/>
        </w:rPr>
        <w:t>说明：1、有效时间以提交投标文件截止时间前36个月为准。</w:t>
      </w:r>
    </w:p>
    <w:p>
      <w:pPr>
        <w:spacing w:line="300" w:lineRule="auto"/>
        <w:ind w:firstLine="540" w:firstLineChars="300"/>
        <w:rPr>
          <w:rFonts w:ascii="宋体" w:hAnsi="宋体"/>
          <w:sz w:val="18"/>
          <w:szCs w:val="18"/>
        </w:rPr>
      </w:pPr>
      <w:r>
        <w:rPr>
          <w:rFonts w:hint="eastAsia" w:ascii="宋体" w:hAnsi="宋体"/>
          <w:sz w:val="18"/>
          <w:szCs w:val="18"/>
        </w:rPr>
        <w:t>2、近年发生的诉讼和仲裁情况仅限于认定投标人有违法行为的，且与履行施工承包合同有关的案件，不包括调解结案以及未裁决的仲裁或未终审判决的诉讼。</w:t>
      </w:r>
    </w:p>
    <w:p>
      <w:pPr>
        <w:spacing w:line="400" w:lineRule="exact"/>
        <w:rPr>
          <w:rFonts w:ascii="宋体" w:hAnsi="宋体"/>
          <w:szCs w:val="21"/>
        </w:rPr>
      </w:pPr>
    </w:p>
    <w:p>
      <w:pPr>
        <w:pStyle w:val="6"/>
        <w:rPr>
          <w:rFonts w:ascii="黑体" w:hAnsi="黑体" w:eastAsia="黑体"/>
          <w:b w:val="0"/>
          <w:bCs w:val="0"/>
          <w:sz w:val="24"/>
        </w:rPr>
      </w:pPr>
      <w:bookmarkStart w:id="614" w:name="_Toc300678586"/>
      <w:r>
        <w:rPr>
          <w:rFonts w:hint="eastAsia" w:ascii="黑体" w:hAnsi="黑体" w:eastAsia="黑体"/>
          <w:b w:val="0"/>
          <w:bCs w:val="0"/>
          <w:sz w:val="24"/>
        </w:rPr>
        <w:t>（7.6）证件复印件</w:t>
      </w:r>
      <w:bookmarkEnd w:id="614"/>
      <w:r>
        <w:rPr>
          <w:rFonts w:hint="eastAsia" w:ascii="黑体" w:hAnsi="黑体" w:eastAsia="黑体"/>
          <w:b w:val="0"/>
          <w:bCs w:val="0"/>
          <w:sz w:val="24"/>
        </w:rPr>
        <w:t>（所有证书和资料复印件与扫描件同等效力）</w:t>
      </w:r>
    </w:p>
    <w:p>
      <w:pPr>
        <w:spacing w:line="360" w:lineRule="auto"/>
        <w:ind w:firstLine="525" w:firstLineChars="250"/>
        <w:rPr>
          <w:rFonts w:ascii="宋体" w:hAnsi="宋体"/>
          <w:szCs w:val="21"/>
        </w:rPr>
      </w:pPr>
      <w:r>
        <w:rPr>
          <w:rFonts w:hint="eastAsia" w:ascii="宋体" w:hAnsi="宋体"/>
          <w:szCs w:val="21"/>
        </w:rPr>
        <w:t>包含：</w:t>
      </w:r>
    </w:p>
    <w:p>
      <w:pPr>
        <w:spacing w:line="360" w:lineRule="auto"/>
        <w:ind w:firstLine="480"/>
        <w:rPr>
          <w:rFonts w:ascii="宋体" w:hAnsi="宋体"/>
          <w:szCs w:val="21"/>
        </w:rPr>
      </w:pPr>
      <w:r>
        <w:rPr>
          <w:rFonts w:hint="eastAsia" w:ascii="宋体" w:hAnsi="宋体"/>
          <w:szCs w:val="21"/>
        </w:rPr>
        <w:t>企业营业执照、资质证书、安全生产许可证书</w:t>
      </w:r>
      <w:r>
        <w:rPr>
          <w:rFonts w:hint="eastAsia" w:ascii="宋体" w:hAnsi="宋体"/>
          <w:color w:val="000000"/>
          <w:szCs w:val="21"/>
        </w:rPr>
        <w:t>的复印件；</w:t>
      </w:r>
      <w:r>
        <w:rPr>
          <w:rFonts w:hint="eastAsia"/>
          <w:color w:val="000000"/>
        </w:rPr>
        <w:t>湖南省外企业须按照湘建建【2015】190号文件要求办理省外入湘企业基本情况登记（以“湖南省住房和城乡建设网”查询为准，提供查询结果）或入湘施工登记证（处于有效期内）的复印件</w:t>
      </w:r>
      <w:r>
        <w:rPr>
          <w:rFonts w:hint="eastAsia" w:ascii="宋体" w:hAnsi="宋体"/>
          <w:b/>
          <w:bCs/>
          <w:color w:val="000000"/>
          <w:kern w:val="0"/>
          <w:szCs w:val="21"/>
        </w:rPr>
        <w:t>（仅省外企业提供）</w:t>
      </w:r>
      <w:r>
        <w:rPr>
          <w:rFonts w:hint="eastAsia" w:ascii="宋体" w:hAnsi="宋体"/>
          <w:szCs w:val="21"/>
        </w:rPr>
        <w:t>。</w:t>
      </w:r>
    </w:p>
    <w:p>
      <w:pPr>
        <w:spacing w:line="360" w:lineRule="auto"/>
        <w:rPr>
          <w:rFonts w:ascii="宋体" w:hAnsi="宋体"/>
          <w:szCs w:val="21"/>
        </w:rPr>
      </w:pPr>
      <w:r>
        <w:rPr>
          <w:rFonts w:ascii="宋体" w:hAnsi="宋体"/>
          <w:szCs w:val="21"/>
        </w:rPr>
        <w:br w:type="page"/>
      </w:r>
      <w:bookmarkStart w:id="615" w:name="_Toc300678587"/>
    </w:p>
    <w:p>
      <w:pPr>
        <w:pStyle w:val="6"/>
        <w:rPr>
          <w:rFonts w:ascii="黑体" w:hAnsi="黑体" w:eastAsia="黑体"/>
          <w:b w:val="0"/>
          <w:bCs w:val="0"/>
          <w:sz w:val="24"/>
        </w:rPr>
      </w:pPr>
      <w:r>
        <w:rPr>
          <w:rFonts w:hint="eastAsia" w:ascii="黑体" w:hAnsi="黑体" w:eastAsia="黑体"/>
          <w:b w:val="0"/>
          <w:bCs w:val="0"/>
          <w:sz w:val="24"/>
        </w:rPr>
        <w:t>（7.7）拟投入本工程的主要施工设备表</w:t>
      </w:r>
      <w:bookmarkEnd w:id="615"/>
    </w:p>
    <w:tbl>
      <w:tblPr>
        <w:tblStyle w:val="42"/>
        <w:tblW w:w="832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065"/>
        <w:gridCol w:w="639"/>
        <w:gridCol w:w="778"/>
        <w:gridCol w:w="709"/>
        <w:gridCol w:w="709"/>
        <w:gridCol w:w="1176"/>
        <w:gridCol w:w="872"/>
        <w:gridCol w:w="872"/>
        <w:gridCol w:w="7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801" w:type="dxa"/>
            <w:vAlign w:val="center"/>
          </w:tcPr>
          <w:p>
            <w:pPr>
              <w:jc w:val="center"/>
              <w:rPr>
                <w:rFonts w:ascii="宋体" w:hAnsi="宋体"/>
                <w:sz w:val="18"/>
                <w:szCs w:val="21"/>
              </w:rPr>
            </w:pPr>
            <w:r>
              <w:rPr>
                <w:rFonts w:hint="eastAsia" w:ascii="宋体" w:hAnsi="宋体"/>
                <w:sz w:val="18"/>
                <w:szCs w:val="21"/>
              </w:rPr>
              <w:t>序号</w:t>
            </w:r>
          </w:p>
        </w:tc>
        <w:tc>
          <w:tcPr>
            <w:tcW w:w="1065" w:type="dxa"/>
            <w:vAlign w:val="center"/>
          </w:tcPr>
          <w:p>
            <w:pPr>
              <w:jc w:val="center"/>
              <w:rPr>
                <w:rFonts w:ascii="宋体" w:hAnsi="宋体"/>
                <w:sz w:val="18"/>
                <w:szCs w:val="21"/>
              </w:rPr>
            </w:pPr>
            <w:r>
              <w:rPr>
                <w:rFonts w:hint="eastAsia" w:ascii="宋体" w:hAnsi="宋体"/>
                <w:sz w:val="18"/>
                <w:szCs w:val="21"/>
              </w:rPr>
              <w:t>设备名称</w:t>
            </w:r>
          </w:p>
        </w:tc>
        <w:tc>
          <w:tcPr>
            <w:tcW w:w="639" w:type="dxa"/>
            <w:vAlign w:val="center"/>
          </w:tcPr>
          <w:p>
            <w:pPr>
              <w:jc w:val="center"/>
              <w:rPr>
                <w:rFonts w:ascii="宋体" w:hAnsi="宋体"/>
                <w:sz w:val="18"/>
                <w:szCs w:val="21"/>
              </w:rPr>
            </w:pPr>
            <w:r>
              <w:rPr>
                <w:rFonts w:hint="eastAsia" w:ascii="宋体" w:hAnsi="宋体"/>
                <w:sz w:val="18"/>
                <w:szCs w:val="21"/>
              </w:rPr>
              <w:t>型号</w:t>
            </w:r>
          </w:p>
          <w:p>
            <w:pPr>
              <w:jc w:val="center"/>
              <w:rPr>
                <w:rFonts w:ascii="宋体" w:hAnsi="宋体"/>
                <w:sz w:val="18"/>
                <w:szCs w:val="21"/>
              </w:rPr>
            </w:pPr>
            <w:r>
              <w:rPr>
                <w:rFonts w:hint="eastAsia" w:ascii="宋体" w:hAnsi="宋体"/>
                <w:sz w:val="18"/>
                <w:szCs w:val="21"/>
              </w:rPr>
              <w:t>规格</w:t>
            </w:r>
          </w:p>
        </w:tc>
        <w:tc>
          <w:tcPr>
            <w:tcW w:w="778" w:type="dxa"/>
            <w:vAlign w:val="center"/>
          </w:tcPr>
          <w:p>
            <w:pPr>
              <w:jc w:val="center"/>
              <w:rPr>
                <w:rFonts w:ascii="宋体" w:hAnsi="宋体"/>
                <w:sz w:val="18"/>
                <w:szCs w:val="21"/>
              </w:rPr>
            </w:pPr>
            <w:r>
              <w:rPr>
                <w:rFonts w:hint="eastAsia" w:ascii="宋体" w:hAnsi="宋体"/>
                <w:sz w:val="18"/>
                <w:szCs w:val="21"/>
              </w:rPr>
              <w:t>数  量</w:t>
            </w:r>
          </w:p>
        </w:tc>
        <w:tc>
          <w:tcPr>
            <w:tcW w:w="709" w:type="dxa"/>
            <w:vAlign w:val="center"/>
          </w:tcPr>
          <w:p>
            <w:pPr>
              <w:jc w:val="center"/>
              <w:rPr>
                <w:rFonts w:ascii="宋体" w:hAnsi="宋体"/>
                <w:sz w:val="18"/>
                <w:szCs w:val="21"/>
              </w:rPr>
            </w:pPr>
            <w:r>
              <w:rPr>
                <w:rFonts w:hint="eastAsia" w:ascii="宋体" w:hAnsi="宋体"/>
                <w:sz w:val="18"/>
                <w:szCs w:val="21"/>
              </w:rPr>
              <w:t>国别</w:t>
            </w:r>
          </w:p>
          <w:p>
            <w:pPr>
              <w:jc w:val="center"/>
              <w:rPr>
                <w:rFonts w:ascii="宋体" w:hAnsi="宋体"/>
                <w:sz w:val="18"/>
                <w:szCs w:val="21"/>
              </w:rPr>
            </w:pPr>
            <w:r>
              <w:rPr>
                <w:rFonts w:hint="eastAsia" w:ascii="宋体" w:hAnsi="宋体"/>
                <w:sz w:val="18"/>
                <w:szCs w:val="21"/>
              </w:rPr>
              <w:t>产地</w:t>
            </w:r>
          </w:p>
        </w:tc>
        <w:tc>
          <w:tcPr>
            <w:tcW w:w="709" w:type="dxa"/>
            <w:vAlign w:val="center"/>
          </w:tcPr>
          <w:p>
            <w:pPr>
              <w:jc w:val="center"/>
              <w:rPr>
                <w:rFonts w:ascii="宋体" w:hAnsi="宋体"/>
                <w:sz w:val="18"/>
                <w:szCs w:val="21"/>
              </w:rPr>
            </w:pPr>
            <w:r>
              <w:rPr>
                <w:rFonts w:hint="eastAsia" w:ascii="宋体" w:hAnsi="宋体"/>
                <w:sz w:val="18"/>
                <w:szCs w:val="21"/>
              </w:rPr>
              <w:t>制造</w:t>
            </w:r>
          </w:p>
          <w:p>
            <w:pPr>
              <w:jc w:val="center"/>
              <w:rPr>
                <w:rFonts w:ascii="宋体" w:hAnsi="宋体"/>
                <w:sz w:val="18"/>
                <w:szCs w:val="21"/>
              </w:rPr>
            </w:pPr>
            <w:r>
              <w:rPr>
                <w:rFonts w:hint="eastAsia" w:ascii="宋体" w:hAnsi="宋体"/>
                <w:sz w:val="18"/>
                <w:szCs w:val="21"/>
              </w:rPr>
              <w:t>年份</w:t>
            </w:r>
          </w:p>
        </w:tc>
        <w:tc>
          <w:tcPr>
            <w:tcW w:w="1176" w:type="dxa"/>
            <w:vAlign w:val="center"/>
          </w:tcPr>
          <w:p>
            <w:pPr>
              <w:jc w:val="center"/>
              <w:rPr>
                <w:rFonts w:ascii="宋体" w:hAnsi="宋体"/>
                <w:sz w:val="18"/>
                <w:szCs w:val="21"/>
              </w:rPr>
            </w:pPr>
            <w:r>
              <w:rPr>
                <w:rFonts w:hint="eastAsia" w:ascii="宋体" w:hAnsi="宋体"/>
                <w:sz w:val="18"/>
                <w:szCs w:val="21"/>
              </w:rPr>
              <w:t>额定功率</w:t>
            </w:r>
          </w:p>
          <w:p>
            <w:pPr>
              <w:jc w:val="center"/>
              <w:rPr>
                <w:rFonts w:ascii="宋体" w:hAnsi="宋体"/>
                <w:sz w:val="18"/>
                <w:szCs w:val="21"/>
              </w:rPr>
            </w:pPr>
            <w:r>
              <w:rPr>
                <w:rFonts w:hint="eastAsia" w:ascii="宋体" w:hAnsi="宋体"/>
                <w:sz w:val="18"/>
                <w:szCs w:val="21"/>
              </w:rPr>
              <w:t>（KW）</w:t>
            </w:r>
          </w:p>
        </w:tc>
        <w:tc>
          <w:tcPr>
            <w:tcW w:w="872" w:type="dxa"/>
            <w:vAlign w:val="center"/>
          </w:tcPr>
          <w:p>
            <w:pPr>
              <w:jc w:val="center"/>
              <w:rPr>
                <w:rFonts w:ascii="宋体" w:hAnsi="宋体"/>
                <w:sz w:val="18"/>
                <w:szCs w:val="21"/>
              </w:rPr>
            </w:pPr>
            <w:r>
              <w:rPr>
                <w:rFonts w:hint="eastAsia" w:ascii="宋体" w:hAnsi="宋体"/>
                <w:sz w:val="18"/>
                <w:szCs w:val="21"/>
              </w:rPr>
              <w:t>生产</w:t>
            </w:r>
          </w:p>
          <w:p>
            <w:pPr>
              <w:jc w:val="center"/>
              <w:rPr>
                <w:rFonts w:ascii="宋体" w:hAnsi="宋体"/>
                <w:sz w:val="18"/>
                <w:szCs w:val="21"/>
              </w:rPr>
            </w:pPr>
            <w:r>
              <w:rPr>
                <w:rFonts w:hint="eastAsia" w:ascii="宋体" w:hAnsi="宋体"/>
                <w:sz w:val="18"/>
                <w:szCs w:val="21"/>
              </w:rPr>
              <w:t>能力</w:t>
            </w:r>
          </w:p>
        </w:tc>
        <w:tc>
          <w:tcPr>
            <w:tcW w:w="872" w:type="dxa"/>
            <w:vAlign w:val="center"/>
          </w:tcPr>
          <w:p>
            <w:pPr>
              <w:jc w:val="center"/>
              <w:rPr>
                <w:rFonts w:ascii="宋体" w:hAnsi="宋体"/>
                <w:sz w:val="18"/>
                <w:szCs w:val="21"/>
              </w:rPr>
            </w:pPr>
            <w:r>
              <w:rPr>
                <w:rFonts w:hint="eastAsia" w:ascii="宋体" w:hAnsi="宋体"/>
                <w:sz w:val="18"/>
                <w:szCs w:val="21"/>
              </w:rPr>
              <w:t>用于施</w:t>
            </w:r>
          </w:p>
          <w:p>
            <w:pPr>
              <w:jc w:val="center"/>
              <w:rPr>
                <w:rFonts w:ascii="宋体" w:hAnsi="宋体"/>
                <w:sz w:val="18"/>
                <w:szCs w:val="21"/>
              </w:rPr>
            </w:pPr>
            <w:r>
              <w:rPr>
                <w:rFonts w:hint="eastAsia" w:ascii="宋体" w:hAnsi="宋体"/>
                <w:sz w:val="18"/>
                <w:szCs w:val="21"/>
              </w:rPr>
              <w:t>工部位</w:t>
            </w:r>
          </w:p>
        </w:tc>
        <w:tc>
          <w:tcPr>
            <w:tcW w:w="708" w:type="dxa"/>
            <w:vAlign w:val="center"/>
          </w:tcPr>
          <w:p>
            <w:pPr>
              <w:jc w:val="center"/>
              <w:rPr>
                <w:rFonts w:ascii="宋体" w:hAnsi="宋体"/>
                <w:sz w:val="18"/>
                <w:szCs w:val="21"/>
              </w:rPr>
            </w:pPr>
            <w:r>
              <w:rPr>
                <w:rFonts w:hint="eastAsia" w:ascii="宋体" w:hAnsi="宋体"/>
                <w:sz w:val="18"/>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1" w:type="dxa"/>
            <w:vAlign w:val="center"/>
          </w:tcPr>
          <w:p>
            <w:pPr>
              <w:jc w:val="center"/>
              <w:rPr>
                <w:rFonts w:ascii="宋体" w:hAnsi="宋体"/>
                <w:szCs w:val="21"/>
              </w:rPr>
            </w:pPr>
          </w:p>
        </w:tc>
        <w:tc>
          <w:tcPr>
            <w:tcW w:w="1065" w:type="dxa"/>
            <w:vAlign w:val="center"/>
          </w:tcPr>
          <w:p>
            <w:pPr>
              <w:jc w:val="center"/>
              <w:rPr>
                <w:rFonts w:ascii="宋体" w:hAnsi="宋体"/>
                <w:szCs w:val="21"/>
              </w:rPr>
            </w:pPr>
          </w:p>
        </w:tc>
        <w:tc>
          <w:tcPr>
            <w:tcW w:w="639" w:type="dxa"/>
            <w:vAlign w:val="center"/>
          </w:tcPr>
          <w:p>
            <w:pPr>
              <w:jc w:val="center"/>
              <w:rPr>
                <w:rFonts w:ascii="宋体" w:hAnsi="宋体"/>
                <w:szCs w:val="21"/>
              </w:rPr>
            </w:pPr>
          </w:p>
        </w:tc>
        <w:tc>
          <w:tcPr>
            <w:tcW w:w="778"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708" w:type="dxa"/>
            <w:vAlign w:val="center"/>
          </w:tcPr>
          <w:p>
            <w:pPr>
              <w:jc w:val="center"/>
              <w:rPr>
                <w:rFonts w:ascii="宋体" w:hAnsi="宋体"/>
                <w:szCs w:val="21"/>
              </w:rPr>
            </w:pPr>
          </w:p>
        </w:tc>
      </w:tr>
    </w:tbl>
    <w:p>
      <w:pPr>
        <w:spacing w:line="420" w:lineRule="exact"/>
        <w:rPr>
          <w:rFonts w:ascii="宋体" w:hAnsi="宋体"/>
          <w:szCs w:val="21"/>
        </w:rPr>
      </w:pPr>
    </w:p>
    <w:p>
      <w:pPr>
        <w:pStyle w:val="6"/>
        <w:rPr>
          <w:rFonts w:ascii="黑体" w:hAnsi="黑体" w:eastAsia="黑体"/>
          <w:b w:val="0"/>
          <w:bCs w:val="0"/>
          <w:sz w:val="24"/>
        </w:rPr>
      </w:pPr>
      <w:bookmarkStart w:id="616" w:name="_Toc300678588"/>
      <w:r>
        <w:rPr>
          <w:rFonts w:hint="eastAsia" w:ascii="黑体" w:hAnsi="黑体" w:eastAsia="黑体"/>
          <w:b w:val="0"/>
          <w:bCs w:val="0"/>
          <w:sz w:val="24"/>
        </w:rPr>
        <w:t>（7.8）企业通过安全认证情况、企业信用情况附有关证明文件复印件</w:t>
      </w:r>
      <w:bookmarkEnd w:id="616"/>
    </w:p>
    <w:p>
      <w:pPr>
        <w:spacing w:line="420" w:lineRule="exact"/>
        <w:rPr>
          <w:rFonts w:ascii="宋体" w:hAnsi="宋体"/>
          <w:szCs w:val="21"/>
        </w:rPr>
      </w:pPr>
      <w:r>
        <w:rPr>
          <w:rFonts w:ascii="宋体" w:hAnsi="宋体"/>
          <w:szCs w:val="21"/>
        </w:rPr>
        <w:br w:type="page"/>
      </w:r>
      <w:bookmarkStart w:id="617" w:name="_Toc300678589"/>
    </w:p>
    <w:p>
      <w:pPr>
        <w:pStyle w:val="6"/>
        <w:rPr>
          <w:rFonts w:ascii="黑体" w:hAnsi="黑体" w:eastAsia="黑体"/>
          <w:b w:val="0"/>
          <w:bCs w:val="0"/>
          <w:sz w:val="24"/>
        </w:rPr>
      </w:pPr>
      <w:r>
        <w:rPr>
          <w:rFonts w:hint="eastAsia" w:ascii="黑体" w:hAnsi="黑体" w:eastAsia="黑体"/>
          <w:b w:val="0"/>
          <w:bCs w:val="0"/>
          <w:sz w:val="24"/>
        </w:rPr>
        <w:t>（7.9）企业及拟任项目负责人所承担工程获奖情况</w:t>
      </w:r>
      <w:bookmarkEnd w:id="617"/>
    </w:p>
    <w:tbl>
      <w:tblPr>
        <w:tblStyle w:val="42"/>
        <w:tblW w:w="898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1"/>
        <w:gridCol w:w="3244"/>
        <w:gridCol w:w="1517"/>
        <w:gridCol w:w="1495"/>
        <w:gridCol w:w="19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51" w:type="dxa"/>
            <w:vAlign w:val="center"/>
          </w:tcPr>
          <w:p>
            <w:pPr>
              <w:widowControl/>
              <w:jc w:val="center"/>
              <w:rPr>
                <w:rFonts w:ascii="宋体" w:hAnsi="宋体"/>
                <w:kern w:val="0"/>
                <w:sz w:val="18"/>
                <w:szCs w:val="21"/>
              </w:rPr>
            </w:pPr>
            <w:r>
              <w:rPr>
                <w:rFonts w:hint="eastAsia" w:ascii="宋体" w:hAnsi="宋体"/>
                <w:kern w:val="0"/>
                <w:sz w:val="18"/>
                <w:szCs w:val="21"/>
              </w:rPr>
              <w:t>序号</w:t>
            </w:r>
          </w:p>
        </w:tc>
        <w:tc>
          <w:tcPr>
            <w:tcW w:w="3244" w:type="dxa"/>
            <w:vAlign w:val="center"/>
          </w:tcPr>
          <w:p>
            <w:pPr>
              <w:widowControl/>
              <w:jc w:val="center"/>
              <w:rPr>
                <w:rFonts w:ascii="宋体" w:hAnsi="宋体"/>
                <w:kern w:val="0"/>
                <w:sz w:val="18"/>
                <w:szCs w:val="21"/>
              </w:rPr>
            </w:pPr>
            <w:r>
              <w:rPr>
                <w:rFonts w:hint="eastAsia" w:ascii="宋体" w:hAnsi="宋体"/>
                <w:kern w:val="0"/>
                <w:sz w:val="18"/>
                <w:szCs w:val="21"/>
              </w:rPr>
              <w:t>工程名称</w:t>
            </w:r>
          </w:p>
        </w:tc>
        <w:tc>
          <w:tcPr>
            <w:tcW w:w="1517" w:type="dxa"/>
            <w:vAlign w:val="center"/>
          </w:tcPr>
          <w:p>
            <w:pPr>
              <w:widowControl/>
              <w:jc w:val="center"/>
              <w:rPr>
                <w:rFonts w:ascii="宋体" w:hAnsi="宋体"/>
                <w:kern w:val="0"/>
                <w:sz w:val="18"/>
                <w:szCs w:val="21"/>
              </w:rPr>
            </w:pPr>
            <w:r>
              <w:rPr>
                <w:rFonts w:hint="eastAsia" w:ascii="宋体" w:hAnsi="宋体"/>
                <w:kern w:val="0"/>
                <w:sz w:val="18"/>
                <w:szCs w:val="21"/>
              </w:rPr>
              <w:t>获奖时间</w:t>
            </w:r>
          </w:p>
        </w:tc>
        <w:tc>
          <w:tcPr>
            <w:tcW w:w="1495" w:type="dxa"/>
            <w:vAlign w:val="center"/>
          </w:tcPr>
          <w:p>
            <w:pPr>
              <w:widowControl/>
              <w:jc w:val="center"/>
              <w:rPr>
                <w:rFonts w:ascii="宋体" w:hAnsi="宋体"/>
                <w:kern w:val="0"/>
                <w:sz w:val="18"/>
                <w:szCs w:val="21"/>
              </w:rPr>
            </w:pPr>
            <w:r>
              <w:rPr>
                <w:rFonts w:hint="eastAsia" w:ascii="宋体" w:hAnsi="宋体"/>
                <w:kern w:val="0"/>
                <w:sz w:val="18"/>
                <w:szCs w:val="21"/>
              </w:rPr>
              <w:t>奖项名称</w:t>
            </w:r>
          </w:p>
        </w:tc>
        <w:tc>
          <w:tcPr>
            <w:tcW w:w="1978" w:type="dxa"/>
            <w:vAlign w:val="center"/>
          </w:tcPr>
          <w:p>
            <w:pPr>
              <w:widowControl/>
              <w:jc w:val="center"/>
              <w:rPr>
                <w:rFonts w:ascii="宋体" w:hAnsi="宋体"/>
                <w:kern w:val="0"/>
                <w:sz w:val="18"/>
                <w:szCs w:val="21"/>
              </w:rPr>
            </w:pPr>
            <w:r>
              <w:rPr>
                <w:rFonts w:hint="eastAsia" w:ascii="宋体" w:hAnsi="宋体"/>
                <w:kern w:val="0"/>
                <w:sz w:val="18"/>
                <w:szCs w:val="21"/>
              </w:rPr>
              <w:t>证明材料索引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751" w:type="dxa"/>
            <w:vAlign w:val="center"/>
          </w:tcPr>
          <w:p>
            <w:pPr>
              <w:widowControl/>
              <w:jc w:val="center"/>
              <w:rPr>
                <w:rFonts w:ascii="宋体" w:hAnsi="宋体"/>
                <w:kern w:val="0"/>
                <w:szCs w:val="21"/>
              </w:rPr>
            </w:pPr>
          </w:p>
        </w:tc>
        <w:tc>
          <w:tcPr>
            <w:tcW w:w="3244" w:type="dxa"/>
            <w:vAlign w:val="center"/>
          </w:tcPr>
          <w:p>
            <w:pPr>
              <w:widowControl/>
              <w:jc w:val="center"/>
              <w:rPr>
                <w:rFonts w:ascii="宋体" w:hAnsi="宋体"/>
                <w:kern w:val="0"/>
                <w:szCs w:val="21"/>
              </w:rPr>
            </w:pPr>
          </w:p>
        </w:tc>
        <w:tc>
          <w:tcPr>
            <w:tcW w:w="1517" w:type="dxa"/>
            <w:vAlign w:val="center"/>
          </w:tcPr>
          <w:p>
            <w:pPr>
              <w:widowControl/>
              <w:jc w:val="center"/>
              <w:rPr>
                <w:rFonts w:ascii="宋体" w:hAnsi="宋体"/>
                <w:kern w:val="0"/>
                <w:szCs w:val="21"/>
              </w:rPr>
            </w:pPr>
          </w:p>
        </w:tc>
        <w:tc>
          <w:tcPr>
            <w:tcW w:w="1495" w:type="dxa"/>
            <w:vAlign w:val="center"/>
          </w:tcPr>
          <w:p>
            <w:pPr>
              <w:widowControl/>
              <w:jc w:val="center"/>
              <w:rPr>
                <w:rFonts w:ascii="宋体" w:hAnsi="宋体"/>
                <w:kern w:val="0"/>
                <w:szCs w:val="21"/>
              </w:rPr>
            </w:pPr>
          </w:p>
        </w:tc>
        <w:tc>
          <w:tcPr>
            <w:tcW w:w="1978" w:type="dxa"/>
            <w:vAlign w:val="center"/>
          </w:tcPr>
          <w:p>
            <w:pPr>
              <w:widowControl/>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51" w:type="dxa"/>
            <w:vAlign w:val="center"/>
          </w:tcPr>
          <w:p>
            <w:pPr>
              <w:widowControl/>
              <w:jc w:val="center"/>
              <w:rPr>
                <w:rFonts w:ascii="宋体" w:hAnsi="宋体"/>
                <w:kern w:val="0"/>
                <w:szCs w:val="21"/>
              </w:rPr>
            </w:pPr>
          </w:p>
        </w:tc>
        <w:tc>
          <w:tcPr>
            <w:tcW w:w="3244" w:type="dxa"/>
            <w:vAlign w:val="center"/>
          </w:tcPr>
          <w:p>
            <w:pPr>
              <w:widowControl/>
              <w:jc w:val="center"/>
              <w:rPr>
                <w:rFonts w:ascii="宋体" w:hAnsi="宋体"/>
                <w:kern w:val="0"/>
                <w:szCs w:val="21"/>
              </w:rPr>
            </w:pPr>
          </w:p>
        </w:tc>
        <w:tc>
          <w:tcPr>
            <w:tcW w:w="1517" w:type="dxa"/>
            <w:vAlign w:val="center"/>
          </w:tcPr>
          <w:p>
            <w:pPr>
              <w:widowControl/>
              <w:jc w:val="center"/>
              <w:rPr>
                <w:rFonts w:ascii="宋体" w:hAnsi="宋体"/>
                <w:kern w:val="0"/>
                <w:szCs w:val="21"/>
              </w:rPr>
            </w:pPr>
          </w:p>
        </w:tc>
        <w:tc>
          <w:tcPr>
            <w:tcW w:w="1495" w:type="dxa"/>
            <w:vAlign w:val="center"/>
          </w:tcPr>
          <w:p>
            <w:pPr>
              <w:widowControl/>
              <w:jc w:val="center"/>
              <w:rPr>
                <w:rFonts w:ascii="宋体" w:hAnsi="宋体"/>
                <w:kern w:val="0"/>
                <w:szCs w:val="21"/>
              </w:rPr>
            </w:pPr>
          </w:p>
        </w:tc>
        <w:tc>
          <w:tcPr>
            <w:tcW w:w="1978" w:type="dxa"/>
            <w:vAlign w:val="center"/>
          </w:tcPr>
          <w:p>
            <w:pPr>
              <w:widowControl/>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51" w:type="dxa"/>
            <w:vAlign w:val="center"/>
          </w:tcPr>
          <w:p>
            <w:pPr>
              <w:widowControl/>
              <w:jc w:val="center"/>
              <w:rPr>
                <w:rFonts w:ascii="宋体" w:hAnsi="宋体"/>
                <w:kern w:val="0"/>
                <w:szCs w:val="21"/>
              </w:rPr>
            </w:pPr>
          </w:p>
        </w:tc>
        <w:tc>
          <w:tcPr>
            <w:tcW w:w="3244" w:type="dxa"/>
            <w:vAlign w:val="center"/>
          </w:tcPr>
          <w:p>
            <w:pPr>
              <w:widowControl/>
              <w:jc w:val="center"/>
              <w:rPr>
                <w:rFonts w:ascii="宋体" w:hAnsi="宋体"/>
                <w:kern w:val="0"/>
                <w:szCs w:val="21"/>
              </w:rPr>
            </w:pPr>
          </w:p>
        </w:tc>
        <w:tc>
          <w:tcPr>
            <w:tcW w:w="1517" w:type="dxa"/>
            <w:vAlign w:val="center"/>
          </w:tcPr>
          <w:p>
            <w:pPr>
              <w:widowControl/>
              <w:jc w:val="center"/>
              <w:rPr>
                <w:rFonts w:ascii="宋体" w:hAnsi="宋体"/>
                <w:kern w:val="0"/>
                <w:szCs w:val="21"/>
              </w:rPr>
            </w:pPr>
          </w:p>
        </w:tc>
        <w:tc>
          <w:tcPr>
            <w:tcW w:w="1495" w:type="dxa"/>
            <w:vAlign w:val="center"/>
          </w:tcPr>
          <w:p>
            <w:pPr>
              <w:widowControl/>
              <w:jc w:val="center"/>
              <w:rPr>
                <w:rFonts w:ascii="宋体" w:hAnsi="宋体"/>
                <w:kern w:val="0"/>
                <w:szCs w:val="21"/>
              </w:rPr>
            </w:pPr>
          </w:p>
        </w:tc>
        <w:tc>
          <w:tcPr>
            <w:tcW w:w="1978" w:type="dxa"/>
            <w:vAlign w:val="center"/>
          </w:tcPr>
          <w:p>
            <w:pPr>
              <w:widowControl/>
              <w:jc w:val="center"/>
              <w:rPr>
                <w:rFonts w:ascii="宋体" w:hAnsi="宋体"/>
                <w:kern w:val="0"/>
                <w:szCs w:val="21"/>
              </w:rPr>
            </w:pPr>
          </w:p>
        </w:tc>
      </w:tr>
    </w:tbl>
    <w:p>
      <w:pPr>
        <w:spacing w:line="300" w:lineRule="auto"/>
        <w:ind w:firstLine="420"/>
        <w:rPr>
          <w:rFonts w:ascii="宋体" w:hAnsi="宋体"/>
          <w:kern w:val="0"/>
          <w:sz w:val="18"/>
          <w:szCs w:val="18"/>
        </w:rPr>
      </w:pPr>
      <w:r>
        <w:rPr>
          <w:rFonts w:hint="eastAsia" w:ascii="宋体" w:hAnsi="宋体"/>
          <w:kern w:val="0"/>
          <w:sz w:val="18"/>
          <w:szCs w:val="18"/>
        </w:rPr>
        <w:t>注：1、有效时间：以湘建建[2013]282号文规定为准。</w:t>
      </w:r>
    </w:p>
    <w:p>
      <w:pPr>
        <w:spacing w:line="300" w:lineRule="auto"/>
        <w:ind w:firstLine="420"/>
        <w:rPr>
          <w:rFonts w:ascii="宋体" w:hAnsi="宋体"/>
          <w:kern w:val="0"/>
          <w:sz w:val="18"/>
          <w:szCs w:val="18"/>
        </w:rPr>
      </w:pPr>
      <w:r>
        <w:rPr>
          <w:rFonts w:hint="eastAsia" w:ascii="宋体" w:hAnsi="宋体"/>
          <w:kern w:val="0"/>
          <w:sz w:val="18"/>
          <w:szCs w:val="18"/>
        </w:rPr>
        <w:t xml:space="preserve">    2、拟任项目负责人所承担工程为拟任项目负责人在其他项目中以项目负责人职务承担的工程。</w:t>
      </w:r>
    </w:p>
    <w:p>
      <w:pPr>
        <w:spacing w:line="300" w:lineRule="auto"/>
        <w:ind w:firstLine="420"/>
        <w:rPr>
          <w:rFonts w:ascii="宋体" w:hAnsi="宋体"/>
          <w:kern w:val="0"/>
          <w:sz w:val="18"/>
          <w:szCs w:val="18"/>
        </w:rPr>
      </w:pPr>
      <w:r>
        <w:rPr>
          <w:rFonts w:hint="eastAsia" w:ascii="宋体" w:hAnsi="宋体"/>
          <w:kern w:val="0"/>
          <w:sz w:val="18"/>
          <w:szCs w:val="18"/>
        </w:rPr>
        <w:t xml:space="preserve">    3、鲁班奖附中国建筑业协会每年评选确定的公布文件复印件；全国建筑工程装饰奖附中国建筑装饰协会每年评选确定的公布文件复印件；其他奖项附工程获奖证书复印件或表彰文件复印件（含官方网站下载的表彰文件打印件）。</w:t>
      </w:r>
    </w:p>
    <w:p>
      <w:pPr>
        <w:spacing w:line="360" w:lineRule="auto"/>
        <w:ind w:firstLine="420"/>
        <w:rPr>
          <w:rFonts w:ascii="黑体" w:eastAsia="黑体"/>
          <w:b/>
          <w:bCs/>
          <w:kern w:val="0"/>
          <w:szCs w:val="21"/>
        </w:rPr>
      </w:pPr>
    </w:p>
    <w:p>
      <w:pPr>
        <w:pStyle w:val="6"/>
        <w:rPr>
          <w:rFonts w:ascii="黑体" w:hAnsi="黑体" w:eastAsia="黑体"/>
          <w:b w:val="0"/>
          <w:bCs w:val="0"/>
          <w:sz w:val="24"/>
        </w:rPr>
      </w:pPr>
      <w:bookmarkStart w:id="618" w:name="_Toc300678590"/>
      <w:r>
        <w:rPr>
          <w:rFonts w:hint="eastAsia" w:ascii="黑体" w:hAnsi="黑体" w:eastAsia="黑体"/>
          <w:b w:val="0"/>
          <w:bCs w:val="0"/>
          <w:sz w:val="24"/>
        </w:rPr>
        <w:t>（7.10）企业及拟任项目负责人的不良行为记录发生情况</w:t>
      </w:r>
      <w:bookmarkEnd w:id="618"/>
    </w:p>
    <w:p>
      <w:pPr>
        <w:widowControl/>
        <w:snapToGrid w:val="0"/>
        <w:spacing w:line="400" w:lineRule="atLeast"/>
        <w:ind w:firstLine="420"/>
        <w:rPr>
          <w:rFonts w:ascii="宋体" w:hAnsi="宋体"/>
          <w:kern w:val="0"/>
          <w:szCs w:val="21"/>
        </w:rPr>
      </w:pPr>
    </w:p>
    <w:p>
      <w:pPr>
        <w:widowControl/>
        <w:snapToGrid w:val="0"/>
        <w:spacing w:line="360" w:lineRule="auto"/>
        <w:ind w:firstLine="420"/>
        <w:rPr>
          <w:color w:val="000000"/>
        </w:rPr>
      </w:pPr>
      <w:r>
        <w:rPr>
          <w:rFonts w:hint="eastAsia" w:ascii="宋体" w:hAnsi="宋体"/>
          <w:color w:val="000000"/>
          <w:kern w:val="0"/>
          <w:szCs w:val="21"/>
        </w:rPr>
        <w:t>不良行为记录的发生情况，其中</w:t>
      </w:r>
      <w:r>
        <w:rPr>
          <w:rFonts w:hint="eastAsia"/>
          <w:color w:val="000000"/>
        </w:rPr>
        <w:t>企业不良行为记录扣分有效期为180天（在本省行政区域内发生不良行为的，以开标时省住房和城乡建设厅已发的文件为准，自公布发文之日起计算），</w:t>
      </w:r>
      <w:r>
        <w:rPr>
          <w:rFonts w:hint="eastAsia" w:ascii="宋体" w:hAnsi="宋体"/>
          <w:color w:val="000000"/>
          <w:kern w:val="0"/>
          <w:szCs w:val="21"/>
        </w:rPr>
        <w:t>附有关文件或资料复印件；</w:t>
      </w:r>
      <w:r>
        <w:rPr>
          <w:rFonts w:hint="eastAsia"/>
          <w:color w:val="000000"/>
        </w:rPr>
        <w:t>拟任项目负责人不良行为记录扣分有效期为720天（在本省行政区域内发生不良行为的，以开标时省住房和城乡建设厅已发的文件为准，自公布发文之日起计算），附有关证明文件和资料复印件。</w:t>
      </w:r>
    </w:p>
    <w:p>
      <w:pPr>
        <w:widowControl/>
        <w:snapToGrid w:val="0"/>
        <w:spacing w:line="360" w:lineRule="auto"/>
        <w:ind w:firstLine="420"/>
        <w:rPr>
          <w:color w:val="000000"/>
        </w:rPr>
      </w:pPr>
      <w:r>
        <w:rPr>
          <w:rFonts w:hint="eastAsia"/>
          <w:color w:val="000000"/>
        </w:rPr>
        <w:t>省外企业应当在投标文件中如实反映和提供企业及其拟任项目负责人有效期限内符合上述规定的不良行为记录，并附企业注册所在地省级建设行政主管部门的证明文件原件或相关官方网站下载资料。扣分期限内的不良行为记录情况</w:t>
      </w:r>
    </w:p>
    <w:tbl>
      <w:tblPr>
        <w:tblStyle w:val="42"/>
        <w:tblW w:w="832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2803"/>
        <w:gridCol w:w="2894"/>
        <w:gridCol w:w="18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3" w:type="dxa"/>
            <w:vAlign w:val="center"/>
          </w:tcPr>
          <w:p>
            <w:pPr>
              <w:widowControl/>
              <w:jc w:val="center"/>
              <w:rPr>
                <w:rFonts w:ascii="宋体" w:hAnsi="宋体"/>
                <w:kern w:val="0"/>
                <w:sz w:val="18"/>
                <w:szCs w:val="21"/>
              </w:rPr>
            </w:pPr>
            <w:r>
              <w:rPr>
                <w:rFonts w:hint="eastAsia" w:ascii="宋体" w:hAnsi="宋体"/>
                <w:kern w:val="0"/>
                <w:sz w:val="18"/>
                <w:szCs w:val="21"/>
              </w:rPr>
              <w:t>序号</w:t>
            </w:r>
          </w:p>
        </w:tc>
        <w:tc>
          <w:tcPr>
            <w:tcW w:w="2803" w:type="dxa"/>
            <w:vAlign w:val="center"/>
          </w:tcPr>
          <w:p>
            <w:pPr>
              <w:widowControl/>
              <w:jc w:val="center"/>
              <w:rPr>
                <w:rFonts w:ascii="宋体" w:hAnsi="宋体"/>
                <w:kern w:val="0"/>
                <w:sz w:val="18"/>
                <w:szCs w:val="21"/>
              </w:rPr>
            </w:pPr>
            <w:r>
              <w:rPr>
                <w:rFonts w:hint="eastAsia" w:ascii="宋体" w:hAnsi="宋体"/>
                <w:kern w:val="0"/>
                <w:sz w:val="18"/>
                <w:szCs w:val="21"/>
              </w:rPr>
              <w:t>发生时间</w:t>
            </w:r>
          </w:p>
        </w:tc>
        <w:tc>
          <w:tcPr>
            <w:tcW w:w="2894" w:type="dxa"/>
            <w:vAlign w:val="center"/>
          </w:tcPr>
          <w:p>
            <w:pPr>
              <w:widowControl/>
              <w:jc w:val="center"/>
              <w:rPr>
                <w:rFonts w:ascii="宋体" w:hAnsi="宋体"/>
                <w:kern w:val="0"/>
                <w:sz w:val="18"/>
                <w:szCs w:val="21"/>
              </w:rPr>
            </w:pPr>
            <w:r>
              <w:rPr>
                <w:rFonts w:hint="eastAsia" w:ascii="宋体" w:hAnsi="宋体"/>
                <w:kern w:val="0"/>
                <w:sz w:val="18"/>
                <w:szCs w:val="21"/>
              </w:rPr>
              <w:t>简要情况说明</w:t>
            </w:r>
          </w:p>
        </w:tc>
        <w:tc>
          <w:tcPr>
            <w:tcW w:w="1894" w:type="dxa"/>
            <w:vAlign w:val="center"/>
          </w:tcPr>
          <w:p>
            <w:pPr>
              <w:widowControl/>
              <w:jc w:val="center"/>
              <w:rPr>
                <w:rFonts w:ascii="宋体" w:hAnsi="宋体"/>
                <w:kern w:val="0"/>
                <w:sz w:val="18"/>
                <w:szCs w:val="21"/>
              </w:rPr>
            </w:pPr>
            <w:r>
              <w:rPr>
                <w:rFonts w:hint="eastAsia" w:ascii="宋体" w:hAnsi="宋体"/>
                <w:kern w:val="0"/>
                <w:sz w:val="18"/>
                <w:szCs w:val="21"/>
              </w:rPr>
              <w:t>证明材料索引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3" w:type="dxa"/>
            <w:vAlign w:val="center"/>
          </w:tcPr>
          <w:p>
            <w:pPr>
              <w:widowControl/>
              <w:jc w:val="center"/>
              <w:rPr>
                <w:rFonts w:ascii="宋体" w:hAnsi="宋体"/>
                <w:kern w:val="0"/>
                <w:szCs w:val="21"/>
              </w:rPr>
            </w:pPr>
          </w:p>
        </w:tc>
        <w:tc>
          <w:tcPr>
            <w:tcW w:w="2803" w:type="dxa"/>
            <w:vAlign w:val="center"/>
          </w:tcPr>
          <w:p>
            <w:pPr>
              <w:widowControl/>
              <w:jc w:val="center"/>
              <w:rPr>
                <w:rFonts w:ascii="宋体" w:hAnsi="宋体"/>
                <w:kern w:val="0"/>
                <w:szCs w:val="21"/>
              </w:rPr>
            </w:pPr>
          </w:p>
        </w:tc>
        <w:tc>
          <w:tcPr>
            <w:tcW w:w="2894" w:type="dxa"/>
            <w:vAlign w:val="center"/>
          </w:tcPr>
          <w:p>
            <w:pPr>
              <w:widowControl/>
              <w:jc w:val="center"/>
              <w:rPr>
                <w:rFonts w:ascii="宋体" w:hAnsi="宋体"/>
                <w:kern w:val="0"/>
                <w:szCs w:val="21"/>
              </w:rPr>
            </w:pPr>
          </w:p>
        </w:tc>
        <w:tc>
          <w:tcPr>
            <w:tcW w:w="1894" w:type="dxa"/>
            <w:vAlign w:val="center"/>
          </w:tcPr>
          <w:p>
            <w:pPr>
              <w:widowControl/>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3" w:type="dxa"/>
            <w:vAlign w:val="center"/>
          </w:tcPr>
          <w:p>
            <w:pPr>
              <w:widowControl/>
              <w:jc w:val="center"/>
              <w:rPr>
                <w:rFonts w:ascii="宋体" w:hAnsi="宋体"/>
                <w:kern w:val="0"/>
                <w:szCs w:val="21"/>
              </w:rPr>
            </w:pPr>
          </w:p>
        </w:tc>
        <w:tc>
          <w:tcPr>
            <w:tcW w:w="2803" w:type="dxa"/>
            <w:vAlign w:val="center"/>
          </w:tcPr>
          <w:p>
            <w:pPr>
              <w:widowControl/>
              <w:jc w:val="center"/>
              <w:rPr>
                <w:rFonts w:ascii="宋体" w:hAnsi="宋体"/>
                <w:kern w:val="0"/>
                <w:szCs w:val="21"/>
              </w:rPr>
            </w:pPr>
          </w:p>
        </w:tc>
        <w:tc>
          <w:tcPr>
            <w:tcW w:w="2894" w:type="dxa"/>
            <w:vAlign w:val="center"/>
          </w:tcPr>
          <w:p>
            <w:pPr>
              <w:widowControl/>
              <w:jc w:val="center"/>
              <w:rPr>
                <w:rFonts w:ascii="宋体" w:hAnsi="宋体"/>
                <w:kern w:val="0"/>
                <w:szCs w:val="21"/>
              </w:rPr>
            </w:pPr>
          </w:p>
        </w:tc>
        <w:tc>
          <w:tcPr>
            <w:tcW w:w="1894" w:type="dxa"/>
            <w:vAlign w:val="center"/>
          </w:tcPr>
          <w:p>
            <w:pPr>
              <w:widowControl/>
              <w:jc w:val="center"/>
              <w:rPr>
                <w:rFonts w:ascii="宋体" w:hAnsi="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33" w:type="dxa"/>
            <w:vAlign w:val="center"/>
          </w:tcPr>
          <w:p>
            <w:pPr>
              <w:widowControl/>
              <w:jc w:val="center"/>
              <w:rPr>
                <w:rFonts w:ascii="宋体" w:hAnsi="宋体"/>
                <w:kern w:val="0"/>
                <w:szCs w:val="21"/>
              </w:rPr>
            </w:pPr>
          </w:p>
        </w:tc>
        <w:tc>
          <w:tcPr>
            <w:tcW w:w="2803" w:type="dxa"/>
            <w:vAlign w:val="center"/>
          </w:tcPr>
          <w:p>
            <w:pPr>
              <w:widowControl/>
              <w:jc w:val="center"/>
              <w:rPr>
                <w:rFonts w:ascii="宋体" w:hAnsi="宋体"/>
                <w:kern w:val="0"/>
                <w:szCs w:val="21"/>
              </w:rPr>
            </w:pPr>
          </w:p>
        </w:tc>
        <w:tc>
          <w:tcPr>
            <w:tcW w:w="2894" w:type="dxa"/>
            <w:vAlign w:val="center"/>
          </w:tcPr>
          <w:p>
            <w:pPr>
              <w:widowControl/>
              <w:jc w:val="center"/>
              <w:rPr>
                <w:rFonts w:ascii="宋体" w:hAnsi="宋体"/>
                <w:kern w:val="0"/>
                <w:szCs w:val="21"/>
              </w:rPr>
            </w:pPr>
          </w:p>
        </w:tc>
        <w:tc>
          <w:tcPr>
            <w:tcW w:w="1894" w:type="dxa"/>
            <w:vAlign w:val="center"/>
          </w:tcPr>
          <w:p>
            <w:pPr>
              <w:widowControl/>
              <w:jc w:val="center"/>
              <w:rPr>
                <w:rFonts w:ascii="宋体" w:hAnsi="宋体"/>
                <w:kern w:val="0"/>
                <w:szCs w:val="21"/>
              </w:rPr>
            </w:pPr>
          </w:p>
        </w:tc>
      </w:tr>
    </w:tbl>
    <w:p>
      <w:pPr>
        <w:ind w:firstLine="420"/>
        <w:rPr>
          <w:rFonts w:ascii="宋体" w:hAnsi="宋体"/>
          <w:kern w:val="0"/>
          <w:sz w:val="18"/>
          <w:szCs w:val="18"/>
        </w:rPr>
      </w:pPr>
    </w:p>
    <w:p>
      <w:pPr>
        <w:ind w:firstLine="420"/>
        <w:rPr>
          <w:rFonts w:ascii="宋体" w:hAnsi="宋体"/>
          <w:kern w:val="0"/>
          <w:sz w:val="18"/>
          <w:szCs w:val="18"/>
        </w:rPr>
      </w:pPr>
    </w:p>
    <w:p>
      <w:pPr>
        <w:ind w:firstLine="420"/>
        <w:rPr>
          <w:rFonts w:ascii="宋体" w:hAnsi="宋体"/>
          <w:kern w:val="0"/>
          <w:sz w:val="18"/>
          <w:szCs w:val="18"/>
        </w:rPr>
      </w:pPr>
    </w:p>
    <w:p>
      <w:pPr>
        <w:pStyle w:val="3"/>
        <w:spacing w:before="0" w:after="0" w:line="360" w:lineRule="auto"/>
        <w:jc w:val="center"/>
        <w:rPr>
          <w:rFonts w:ascii="黑体" w:hAnsi="黑体" w:eastAsia="黑体"/>
          <w:b w:val="0"/>
          <w:bCs w:val="0"/>
          <w:sz w:val="30"/>
          <w:szCs w:val="30"/>
        </w:rPr>
      </w:pPr>
      <w:bookmarkStart w:id="619" w:name="_Toc300678591"/>
      <w:bookmarkStart w:id="620" w:name="_Toc484015147"/>
      <w:bookmarkStart w:id="621" w:name="_Toc24130"/>
      <w:bookmarkStart w:id="622" w:name="_Toc15617"/>
      <w:bookmarkStart w:id="623" w:name="_Toc486318779"/>
      <w:bookmarkStart w:id="624" w:name="_Toc27422"/>
      <w:bookmarkStart w:id="625" w:name="_Toc5933"/>
    </w:p>
    <w:p>
      <w:pPr>
        <w:pStyle w:val="3"/>
        <w:spacing w:before="0" w:after="0" w:line="360" w:lineRule="auto"/>
        <w:jc w:val="center"/>
        <w:rPr>
          <w:rFonts w:ascii="黑体" w:hAnsi="黑体" w:eastAsia="黑体"/>
          <w:b w:val="0"/>
          <w:bCs w:val="0"/>
          <w:sz w:val="30"/>
          <w:szCs w:val="30"/>
        </w:rPr>
      </w:pPr>
      <w:r>
        <w:rPr>
          <w:rFonts w:hint="eastAsia" w:ascii="黑体" w:hAnsi="黑体" w:eastAsia="黑体"/>
          <w:b w:val="0"/>
          <w:bCs w:val="0"/>
          <w:sz w:val="30"/>
          <w:szCs w:val="30"/>
        </w:rPr>
        <w:t>】八、其他</w:t>
      </w:r>
      <w:bookmarkEnd w:id="619"/>
      <w:bookmarkEnd w:id="620"/>
      <w:bookmarkEnd w:id="621"/>
      <w:bookmarkEnd w:id="622"/>
      <w:bookmarkEnd w:id="623"/>
      <w:bookmarkEnd w:id="624"/>
      <w:bookmarkEnd w:id="625"/>
    </w:p>
    <w:p>
      <w:pPr>
        <w:widowControl/>
        <w:numPr>
          <w:ilvl w:val="0"/>
          <w:numId w:val="1"/>
        </w:numPr>
        <w:spacing w:line="360" w:lineRule="auto"/>
        <w:jc w:val="left"/>
        <w:rPr>
          <w:rFonts w:ascii="宋体" w:hAnsi="宋体"/>
          <w:color w:val="000000"/>
          <w:kern w:val="0"/>
          <w:szCs w:val="21"/>
        </w:rPr>
      </w:pPr>
      <w:bookmarkStart w:id="626" w:name="_Toc300678592"/>
      <w:r>
        <w:rPr>
          <w:rFonts w:hint="eastAsia" w:ascii="宋体" w:hAnsi="宋体"/>
          <w:color w:val="000000"/>
          <w:kern w:val="0"/>
          <w:szCs w:val="21"/>
        </w:rPr>
        <w:t>其他。</w:t>
      </w:r>
    </w:p>
    <w:p>
      <w:pPr>
        <w:snapToGrid w:val="0"/>
        <w:spacing w:line="360" w:lineRule="auto"/>
        <w:rPr>
          <w:rFonts w:ascii="宋体" w:hAnsi="宋体"/>
        </w:rPr>
      </w:pPr>
      <w:r>
        <w:rPr>
          <w:rFonts w:ascii="宋体" w:hAnsi="宋体"/>
        </w:rPr>
        <w:br w:type="page"/>
      </w:r>
    </w:p>
    <w:p>
      <w:pPr>
        <w:pStyle w:val="3"/>
        <w:spacing w:before="0" w:after="0" w:line="360" w:lineRule="auto"/>
        <w:jc w:val="center"/>
        <w:rPr>
          <w:rFonts w:ascii="黑体" w:hAnsi="黑体" w:eastAsia="黑体"/>
          <w:b w:val="0"/>
          <w:bCs w:val="0"/>
          <w:sz w:val="30"/>
          <w:szCs w:val="30"/>
        </w:rPr>
      </w:pPr>
      <w:bookmarkStart w:id="627" w:name="_Toc5727"/>
      <w:bookmarkStart w:id="628" w:name="_Toc11626"/>
      <w:bookmarkStart w:id="629" w:name="_Toc486318780"/>
      <w:bookmarkStart w:id="630" w:name="_Toc27377"/>
      <w:bookmarkStart w:id="631" w:name="_Toc484015148"/>
      <w:bookmarkStart w:id="632" w:name="_Toc31220"/>
      <w:r>
        <w:rPr>
          <w:rFonts w:hint="eastAsia" w:ascii="黑体" w:hAnsi="黑体" w:eastAsia="黑体"/>
          <w:b w:val="0"/>
          <w:bCs w:val="0"/>
          <w:sz w:val="30"/>
          <w:szCs w:val="30"/>
        </w:rPr>
        <w:t>九、承 诺 书</w:t>
      </w:r>
      <w:bookmarkEnd w:id="626"/>
      <w:bookmarkEnd w:id="627"/>
      <w:bookmarkEnd w:id="628"/>
      <w:bookmarkEnd w:id="629"/>
      <w:bookmarkEnd w:id="630"/>
      <w:bookmarkEnd w:id="631"/>
      <w:bookmarkEnd w:id="632"/>
    </w:p>
    <w:p>
      <w:pPr>
        <w:snapToGrid w:val="0"/>
        <w:spacing w:line="360" w:lineRule="auto"/>
        <w:rPr>
          <w:rFonts w:ascii="宋体" w:hAnsi="宋体"/>
        </w:rPr>
      </w:pPr>
    </w:p>
    <w:p>
      <w:pPr>
        <w:snapToGrid w:val="0"/>
        <w:spacing w:line="360" w:lineRule="auto"/>
        <w:rPr>
          <w:rFonts w:ascii="宋体" w:hAnsi="宋体"/>
        </w:rPr>
      </w:pPr>
      <w:r>
        <w:rPr>
          <w:rFonts w:hint="eastAsia" w:ascii="宋体" w:hAnsi="宋体"/>
        </w:rPr>
        <w:t>（招标人名称）：</w:t>
      </w:r>
    </w:p>
    <w:p>
      <w:pPr>
        <w:snapToGrid w:val="0"/>
        <w:spacing w:line="360" w:lineRule="auto"/>
        <w:rPr>
          <w:rFonts w:ascii="宋体" w:hAnsi="宋体"/>
        </w:rPr>
      </w:pPr>
    </w:p>
    <w:p>
      <w:pPr>
        <w:snapToGrid w:val="0"/>
        <w:spacing w:line="360" w:lineRule="auto"/>
        <w:ind w:firstLine="420" w:firstLineChars="200"/>
        <w:rPr>
          <w:rFonts w:ascii="宋体" w:hAnsi="宋体"/>
        </w:rPr>
      </w:pPr>
      <w:r>
        <w:rPr>
          <w:rFonts w:hint="eastAsia" w:ascii="宋体" w:hAnsi="宋体"/>
        </w:rPr>
        <w:t>我方在此声明：</w:t>
      </w:r>
    </w:p>
    <w:p>
      <w:pPr>
        <w:snapToGrid w:val="0"/>
        <w:spacing w:line="360" w:lineRule="auto"/>
        <w:ind w:firstLine="420" w:firstLineChars="200"/>
        <w:rPr>
          <w:rFonts w:ascii="宋体" w:hAnsi="宋体"/>
        </w:rPr>
      </w:pPr>
      <w:r>
        <w:rPr>
          <w:rFonts w:hint="eastAsia" w:ascii="宋体" w:hAnsi="宋体"/>
        </w:rPr>
        <w:t>1、我方拟派往（项目名称）标段（以下简称“本工程”）的项目负责人、项目技术负责人、施工员、专职安全生产员、质量员现阶段没有担任任何在建工程项目的职务。</w:t>
      </w:r>
    </w:p>
    <w:p>
      <w:pPr>
        <w:snapToGrid w:val="0"/>
        <w:spacing w:line="360" w:lineRule="auto"/>
        <w:ind w:firstLine="420" w:firstLineChars="200"/>
        <w:rPr>
          <w:rFonts w:ascii="宋体" w:hAnsi="宋体"/>
        </w:rPr>
      </w:pPr>
      <w:r>
        <w:rPr>
          <w:rFonts w:hint="eastAsia" w:ascii="宋体" w:hAnsi="宋体"/>
        </w:rPr>
        <w:t>2、我方未为本项目前期准备提供设计或咨询服务、不是本项目监理人或者与本项目监理人不存在隶属关系或者为同一法定代表人或者相互控股或者参股关系、不是本项目代建人或者与本项目代建人的法定代表人不是同一人或者不存在相互控股或者参股关系、不是本项目招标代理机构或者与本项目招标代理机构的法定代表人不是同一人或者不存在相互控股或者参股关系。</w:t>
      </w:r>
    </w:p>
    <w:p>
      <w:pPr>
        <w:snapToGrid w:val="0"/>
        <w:spacing w:line="360" w:lineRule="auto"/>
        <w:ind w:firstLine="420" w:firstLineChars="200"/>
        <w:rPr>
          <w:rFonts w:ascii="宋体" w:hAnsi="宋体"/>
        </w:rPr>
      </w:pPr>
      <w:r>
        <w:rPr>
          <w:rFonts w:hint="eastAsia" w:ascii="宋体" w:hAnsi="宋体"/>
        </w:rPr>
        <w:t>3、我方目前生产经营状态正常，没有被责令停业、没有被暂停或者取消投标资格、近三年没有骗取中标和严重违约等情形而受到行政处罚。</w:t>
      </w:r>
    </w:p>
    <w:p>
      <w:pPr>
        <w:snapToGrid w:val="0"/>
        <w:spacing w:line="360" w:lineRule="auto"/>
        <w:ind w:firstLine="420" w:firstLineChars="200"/>
        <w:rPr>
          <w:rFonts w:ascii="宋体" w:hAnsi="宋体"/>
        </w:rPr>
      </w:pPr>
      <w:r>
        <w:rPr>
          <w:rFonts w:hint="eastAsia" w:ascii="宋体" w:hAnsi="宋体"/>
        </w:rPr>
        <w:t>4、我方保证投标文件提供信息的真实和准确，并愿意承担因我方就此弄虚作假所引起的一切后果。</w:t>
      </w: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r>
        <w:rPr>
          <w:rFonts w:hint="eastAsia" w:ascii="宋体" w:hAnsi="宋体"/>
        </w:rPr>
        <w:t>特此承诺</w:t>
      </w: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jc w:val="right"/>
        <w:rPr>
          <w:rFonts w:ascii="宋体" w:hAnsi="宋体"/>
        </w:rPr>
      </w:pPr>
      <w:r>
        <w:rPr>
          <w:rFonts w:hint="eastAsia" w:ascii="宋体" w:hAnsi="宋体"/>
        </w:rPr>
        <w:t>投标人：（盖单位章）</w:t>
      </w:r>
    </w:p>
    <w:p>
      <w:pPr>
        <w:snapToGrid w:val="0"/>
        <w:spacing w:line="360" w:lineRule="auto"/>
        <w:ind w:firstLine="420" w:firstLineChars="200"/>
        <w:jc w:val="right"/>
        <w:rPr>
          <w:rFonts w:ascii="宋体" w:hAnsi="宋体"/>
        </w:rPr>
      </w:pPr>
      <w:r>
        <w:rPr>
          <w:rFonts w:hint="eastAsia" w:ascii="宋体" w:hAnsi="宋体"/>
        </w:rPr>
        <w:t>法定代表人或其委托代理人：（签字或盖章）</w:t>
      </w:r>
    </w:p>
    <w:p>
      <w:pPr>
        <w:snapToGrid w:val="0"/>
        <w:spacing w:line="360" w:lineRule="auto"/>
        <w:ind w:firstLine="420" w:firstLineChars="200"/>
        <w:jc w:val="right"/>
        <w:rPr>
          <w:rFonts w:ascii="宋体" w:hAnsi="宋体"/>
        </w:rPr>
      </w:pPr>
    </w:p>
    <w:p>
      <w:pPr>
        <w:snapToGrid w:val="0"/>
        <w:spacing w:line="360" w:lineRule="auto"/>
        <w:ind w:firstLine="420" w:firstLineChars="200"/>
        <w:jc w:val="right"/>
        <w:rPr>
          <w:rFonts w:ascii="宋体" w:hAnsi="宋体"/>
        </w:rPr>
      </w:pPr>
      <w:r>
        <w:rPr>
          <w:rFonts w:hint="eastAsia" w:ascii="宋体" w:hAnsi="宋体"/>
        </w:rPr>
        <w:t>年月日</w:t>
      </w:r>
    </w:p>
    <w:p>
      <w:pPr>
        <w:widowControl/>
        <w:jc w:val="center"/>
        <w:rPr>
          <w:rFonts w:ascii="黑体" w:eastAsia="黑体"/>
          <w:b/>
          <w:bCs/>
          <w:kern w:val="0"/>
          <w:sz w:val="32"/>
          <w:szCs w:val="32"/>
        </w:rPr>
        <w:sectPr>
          <w:pgSz w:w="11907" w:h="16840"/>
          <w:pgMar w:top="1304" w:right="1304" w:bottom="1304" w:left="1701" w:header="851" w:footer="992" w:gutter="0"/>
          <w:cols w:space="720" w:num="1"/>
          <w:docGrid w:linePitch="326" w:charSpace="0"/>
        </w:sectPr>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pStyle w:val="2"/>
        <w:jc w:val="center"/>
      </w:pPr>
      <w:bookmarkStart w:id="633" w:name="_Toc10209"/>
      <w:bookmarkStart w:id="634" w:name="_Toc29858"/>
      <w:bookmarkStart w:id="635" w:name="_Toc5357"/>
      <w:bookmarkStart w:id="636" w:name="_Toc484015149"/>
      <w:bookmarkStart w:id="637" w:name="_Toc486318781"/>
      <w:bookmarkStart w:id="638" w:name="_Toc300678593"/>
      <w:bookmarkStart w:id="639" w:name="_Toc21714"/>
      <w:r>
        <w:rPr>
          <w:rFonts w:hint="eastAsia"/>
        </w:rPr>
        <w:t>第二部分商务标部分格式</w:t>
      </w:r>
      <w:bookmarkEnd w:id="633"/>
      <w:bookmarkEnd w:id="634"/>
      <w:bookmarkEnd w:id="635"/>
      <w:bookmarkEnd w:id="636"/>
      <w:bookmarkEnd w:id="637"/>
      <w:bookmarkEnd w:id="638"/>
      <w:bookmarkEnd w:id="639"/>
    </w:p>
    <w:p>
      <w:pPr>
        <w:widowControl/>
      </w:pPr>
    </w:p>
    <w:p>
      <w:pPr/>
      <w:r>
        <w:rPr>
          <w:rFonts w:hint="eastAsia" w:ascii="宋体" w:hAnsi="宋体"/>
          <w:b/>
          <w:szCs w:val="21"/>
        </w:rPr>
        <w:t>（</w:t>
      </w:r>
      <w:r>
        <w:rPr>
          <w:rFonts w:hint="eastAsia" w:ascii="宋体" w:hAnsi="宋体"/>
          <w:b/>
          <w:sz w:val="24"/>
        </w:rPr>
        <w:t>适用于经评审的最低投标价法、综合评估法Ⅰ、综合评估法Ⅱ、最低投标价法，且投标报价采用一般计税法）</w:t>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r>
        <w:br w:type="page"/>
      </w:r>
    </w:p>
    <w:p>
      <w:pPr>
        <w:widowControl/>
      </w:pPr>
    </w:p>
    <w:p>
      <w:pPr>
        <w:widowControl/>
      </w:pPr>
    </w:p>
    <w:p>
      <w:pPr>
        <w:widowControl/>
      </w:pPr>
    </w:p>
    <w:p>
      <w:pPr>
        <w:widowControl/>
      </w:pPr>
    </w:p>
    <w:p>
      <w:pPr>
        <w:widowControl/>
      </w:pPr>
    </w:p>
    <w:p>
      <w:pPr>
        <w:jc w:val="center"/>
        <w:rPr>
          <w:rFonts w:ascii="黑体" w:hAnsi="黑体" w:eastAsia="黑体"/>
          <w:sz w:val="28"/>
          <w:szCs w:val="28"/>
        </w:rPr>
      </w:pPr>
      <w:r>
        <w:rPr>
          <w:rFonts w:hint="eastAsia" w:ascii="黑体" w:hAnsi="黑体" w:eastAsia="黑体"/>
          <w:sz w:val="28"/>
          <w:szCs w:val="28"/>
        </w:rPr>
        <w:t>（项目名称）施工招标</w:t>
      </w:r>
    </w:p>
    <w:p>
      <w:pPr>
        <w:spacing w:beforeLines="100"/>
        <w:jc w:val="center"/>
        <w:rPr>
          <w:rFonts w:ascii="黑体" w:eastAsia="黑体"/>
          <w:sz w:val="44"/>
          <w:szCs w:val="44"/>
        </w:rPr>
      </w:pPr>
      <w:r>
        <w:rPr>
          <w:rFonts w:hint="eastAsia" w:ascii="黑体" w:eastAsia="黑体"/>
          <w:sz w:val="44"/>
          <w:szCs w:val="44"/>
        </w:rPr>
        <w:t>投  标  文  件</w:t>
      </w:r>
    </w:p>
    <w:p>
      <w:pPr>
        <w:jc w:val="center"/>
        <w:rPr>
          <w:rFonts w:ascii="黑体" w:eastAsia="黑体"/>
          <w:sz w:val="32"/>
          <w:szCs w:val="32"/>
        </w:rPr>
      </w:pPr>
      <w:r>
        <w:rPr>
          <w:rFonts w:hint="eastAsia" w:ascii="黑体" w:eastAsia="黑体"/>
          <w:sz w:val="32"/>
          <w:szCs w:val="32"/>
        </w:rPr>
        <w:t>（商务标部分）</w:t>
      </w:r>
    </w:p>
    <w:p>
      <w:pPr>
        <w:jc w:val="center"/>
        <w:rPr>
          <w:rFonts w:ascii="黑体" w:eastAsia="黑体"/>
          <w:sz w:val="32"/>
          <w:szCs w:val="32"/>
        </w:rPr>
      </w:pPr>
      <w:r>
        <w:rPr>
          <w:rFonts w:hint="eastAsia" w:ascii="黑体" w:eastAsia="黑体"/>
          <w:sz w:val="32"/>
          <w:szCs w:val="32"/>
        </w:rPr>
        <w:t>（招标编号：）</w:t>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spacing w:line="360" w:lineRule="auto"/>
        <w:jc w:val="left"/>
        <w:rPr>
          <w:rFonts w:ascii="黑体" w:eastAsia="黑体"/>
          <w:sz w:val="24"/>
          <w:szCs w:val="28"/>
        </w:rPr>
      </w:pPr>
      <w:r>
        <w:rPr>
          <w:rFonts w:hint="eastAsia" w:ascii="黑体" w:eastAsia="黑体"/>
          <w:sz w:val="24"/>
          <w:szCs w:val="28"/>
        </w:rPr>
        <w:t xml:space="preserve">      投标人：（盖单位章）</w:t>
      </w:r>
    </w:p>
    <w:p>
      <w:pPr>
        <w:spacing w:line="360" w:lineRule="auto"/>
        <w:jc w:val="center"/>
        <w:rPr>
          <w:rFonts w:ascii="黑体" w:eastAsia="黑体"/>
          <w:sz w:val="28"/>
          <w:szCs w:val="28"/>
        </w:rPr>
      </w:pPr>
      <w:r>
        <w:rPr>
          <w:rFonts w:hint="eastAsia" w:ascii="黑体" w:eastAsia="黑体"/>
          <w:sz w:val="24"/>
          <w:szCs w:val="28"/>
        </w:rPr>
        <w:t>法定代表人或其委托代理人：（签字</w:t>
      </w:r>
      <w:r>
        <w:rPr>
          <w:rFonts w:hint="eastAsia" w:ascii="黑体" w:eastAsia="黑体"/>
          <w:kern w:val="0"/>
          <w:sz w:val="24"/>
          <w:szCs w:val="28"/>
        </w:rPr>
        <w:t>或盖章</w:t>
      </w:r>
      <w:r>
        <w:rPr>
          <w:rFonts w:hint="eastAsia" w:ascii="黑体" w:eastAsia="黑体"/>
          <w:sz w:val="24"/>
          <w:szCs w:val="28"/>
        </w:rPr>
        <w:t>）</w:t>
      </w:r>
    </w:p>
    <w:p>
      <w:pPr>
        <w:jc w:val="center"/>
        <w:rPr>
          <w:rFonts w:ascii="黑体" w:eastAsia="黑体"/>
          <w:sz w:val="24"/>
          <w:szCs w:val="28"/>
        </w:rPr>
      </w:pPr>
      <w:r>
        <w:rPr>
          <w:rFonts w:hint="eastAsia" w:ascii="黑体" w:eastAsia="黑体"/>
          <w:sz w:val="24"/>
          <w:szCs w:val="28"/>
        </w:rPr>
        <w:t>年月日</w:t>
      </w:r>
    </w:p>
    <w:p>
      <w:pPr>
        <w:widowControl/>
      </w:pPr>
      <w:r>
        <w:rPr>
          <w:rFonts w:ascii="黑体" w:eastAsia="黑体"/>
          <w:sz w:val="28"/>
          <w:szCs w:val="28"/>
        </w:rPr>
        <w:br w:type="page"/>
      </w:r>
      <w:bookmarkStart w:id="640" w:name="_Toc300678594"/>
    </w:p>
    <w:p>
      <w:pPr>
        <w:pStyle w:val="3"/>
        <w:spacing w:before="0" w:after="0" w:line="240" w:lineRule="auto"/>
        <w:jc w:val="center"/>
        <w:rPr>
          <w:rFonts w:ascii="黑体" w:hAnsi="黑体" w:eastAsia="黑体"/>
          <w:b w:val="0"/>
          <w:bCs w:val="0"/>
          <w:sz w:val="36"/>
          <w:szCs w:val="36"/>
        </w:rPr>
      </w:pPr>
      <w:bookmarkStart w:id="641" w:name="_Toc28884"/>
      <w:bookmarkStart w:id="642" w:name="_Toc484015150"/>
      <w:bookmarkStart w:id="643" w:name="_Toc13370"/>
      <w:bookmarkStart w:id="644" w:name="_Toc486318782"/>
      <w:bookmarkStart w:id="645" w:name="_Toc32505"/>
      <w:bookmarkStart w:id="646" w:name="_Toc5287"/>
      <w:r>
        <w:rPr>
          <w:rFonts w:hint="eastAsia" w:ascii="黑体" w:hAnsi="黑体" w:eastAsia="黑体"/>
          <w:b w:val="0"/>
          <w:bCs w:val="0"/>
          <w:sz w:val="36"/>
          <w:szCs w:val="36"/>
        </w:rPr>
        <w:t>目    录</w:t>
      </w:r>
      <w:bookmarkEnd w:id="640"/>
      <w:bookmarkEnd w:id="641"/>
      <w:bookmarkEnd w:id="642"/>
      <w:bookmarkEnd w:id="643"/>
      <w:bookmarkEnd w:id="644"/>
      <w:bookmarkEnd w:id="645"/>
      <w:bookmarkEnd w:id="646"/>
    </w:p>
    <w:p>
      <w:pPr/>
    </w:p>
    <w:p>
      <w:pPr>
        <w:spacing w:line="300" w:lineRule="auto"/>
        <w:ind w:firstLine="420" w:firstLineChars="200"/>
        <w:rPr>
          <w:rFonts w:ascii="宋体" w:hAnsi="宋体"/>
        </w:rPr>
      </w:pPr>
      <w:r>
        <w:fldChar w:fldCharType="begin"/>
      </w:r>
      <w:r>
        <w:instrText xml:space="preserve"> HYPERLINK \l "_Toc300678595" </w:instrText>
      </w:r>
      <w:r>
        <w:fldChar w:fldCharType="separate"/>
      </w:r>
      <w:r>
        <w:rPr>
          <w:rStyle w:val="39"/>
          <w:rFonts w:ascii="宋体" w:hAnsi="宋体"/>
          <w:color w:val="auto"/>
          <w:u w:val="none"/>
        </w:rPr>
        <w:t>1.</w:t>
      </w:r>
      <w:r>
        <w:rPr>
          <w:rStyle w:val="39"/>
          <w:rFonts w:hint="eastAsia" w:ascii="宋体" w:hAnsi="宋体"/>
          <w:color w:val="auto"/>
          <w:u w:val="none"/>
        </w:rPr>
        <w:t>已标价工程量清单内容</w:t>
      </w:r>
      <w:r>
        <w:rPr>
          <w:rFonts w:ascii="宋体" w:hAnsi="宋体"/>
        </w:rPr>
        <w:tab/>
      </w:r>
      <w:r>
        <w:rPr>
          <w:rFonts w:ascii="宋体" w:hAnsi="宋体"/>
        </w:rPr>
        <w:fldChar w:fldCharType="end"/>
      </w:r>
    </w:p>
    <w:p>
      <w:pPr>
        <w:spacing w:line="300" w:lineRule="auto"/>
        <w:ind w:firstLine="420" w:firstLineChars="200"/>
        <w:rPr>
          <w:rFonts w:ascii="宋体" w:hAnsi="宋体"/>
        </w:rPr>
      </w:pPr>
      <w:r>
        <w:fldChar w:fldCharType="begin"/>
      </w:r>
      <w:r>
        <w:instrText xml:space="preserve"> HYPERLINK \l "_Toc300678596" </w:instrText>
      </w:r>
      <w:r>
        <w:fldChar w:fldCharType="separate"/>
      </w:r>
      <w:r>
        <w:rPr>
          <w:rStyle w:val="39"/>
          <w:rFonts w:ascii="宋体" w:hAnsi="宋体"/>
          <w:color w:val="auto"/>
          <w:u w:val="none"/>
        </w:rPr>
        <w:t>2.</w:t>
      </w:r>
      <w:r>
        <w:rPr>
          <w:rStyle w:val="39"/>
          <w:rFonts w:hint="eastAsia" w:ascii="宋体" w:hAnsi="宋体"/>
          <w:color w:val="auto"/>
          <w:u w:val="none"/>
        </w:rPr>
        <w:t>已标价工程量清单格式</w:t>
      </w:r>
      <w:r>
        <w:rPr>
          <w:rFonts w:ascii="宋体" w:hAnsi="宋体"/>
        </w:rPr>
        <w:tab/>
      </w:r>
      <w:r>
        <w:rPr>
          <w:rFonts w:ascii="宋体" w:hAnsi="宋体"/>
        </w:rPr>
        <w:fldChar w:fldCharType="end"/>
      </w:r>
    </w:p>
    <w:p>
      <w:pPr>
        <w:autoSpaceDE w:val="0"/>
        <w:autoSpaceDN w:val="0"/>
        <w:adjustRightInd w:val="0"/>
        <w:spacing w:before="64"/>
        <w:ind w:right="-23" w:firstLine="420" w:firstLineChars="200"/>
        <w:jc w:val="left"/>
        <w:rPr>
          <w:rFonts w:ascii="宋体" w:hAnsi="宋体"/>
          <w:color w:val="000000"/>
        </w:rPr>
      </w:pPr>
      <w:r>
        <w:rPr>
          <w:rFonts w:ascii="宋体" w:hAnsi="宋体"/>
          <w:color w:val="000000"/>
        </w:rPr>
        <w:t xml:space="preserve">2.1 </w:t>
      </w:r>
      <w:r>
        <w:rPr>
          <w:rFonts w:hint="eastAsia" w:ascii="宋体" w:hAnsi="宋体"/>
          <w:color w:val="000000"/>
        </w:rPr>
        <w:t>A</w:t>
      </w:r>
      <w:r>
        <w:rPr>
          <w:rFonts w:ascii="宋体" w:hAnsi="宋体"/>
          <w:color w:val="000000"/>
        </w:rPr>
        <w:t>.3：投标总价封面；</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2.2 </w:t>
      </w:r>
      <w:r>
        <w:rPr>
          <w:rFonts w:hint="eastAsia" w:ascii="宋体" w:hAnsi="宋体" w:cs="MingLiU"/>
          <w:color w:val="000000"/>
          <w:kern w:val="0"/>
          <w:szCs w:val="21"/>
        </w:rPr>
        <w:t>B</w:t>
      </w:r>
      <w:r>
        <w:rPr>
          <w:rFonts w:ascii="宋体" w:hAnsi="宋体" w:cs="MingLiU"/>
          <w:color w:val="000000"/>
          <w:kern w:val="0"/>
          <w:szCs w:val="21"/>
        </w:rPr>
        <w:t>.3：投标总价扉页</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2.3 附</w:t>
      </w:r>
      <w:r>
        <w:rPr>
          <w:rFonts w:hint="eastAsia" w:ascii="宋体" w:hAnsi="宋体" w:cs="MingLiU"/>
          <w:color w:val="000000"/>
          <w:kern w:val="0"/>
          <w:szCs w:val="21"/>
        </w:rPr>
        <w:t>录C</w:t>
      </w:r>
      <w:r>
        <w:rPr>
          <w:rFonts w:ascii="宋体" w:hAnsi="宋体" w:cs="MingLiU"/>
          <w:color w:val="000000"/>
          <w:kern w:val="0"/>
          <w:szCs w:val="21"/>
        </w:rPr>
        <w:t>：</w:t>
      </w:r>
      <w:r>
        <w:rPr>
          <w:rFonts w:hint="eastAsia" w:ascii="宋体" w:hAnsi="宋体" w:cs="MingLiU"/>
          <w:color w:val="000000"/>
          <w:kern w:val="0"/>
          <w:szCs w:val="21"/>
        </w:rPr>
        <w:t>工程计价</w:t>
      </w:r>
      <w:r>
        <w:rPr>
          <w:rFonts w:ascii="宋体" w:hAnsi="宋体" w:cs="MingLiU"/>
          <w:color w:val="000000"/>
          <w:kern w:val="0"/>
          <w:szCs w:val="21"/>
        </w:rPr>
        <w:t>总说明</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2.4 </w:t>
      </w:r>
      <w:r>
        <w:rPr>
          <w:rFonts w:hint="eastAsia" w:ascii="宋体" w:hAnsi="宋体" w:cs="MingLiU"/>
          <w:color w:val="000000"/>
          <w:kern w:val="0"/>
          <w:szCs w:val="21"/>
        </w:rPr>
        <w:t>D</w:t>
      </w:r>
      <w:r>
        <w:rPr>
          <w:rFonts w:ascii="宋体" w:hAnsi="宋体" w:cs="MingLiU"/>
          <w:color w:val="000000"/>
          <w:kern w:val="0"/>
          <w:szCs w:val="21"/>
        </w:rPr>
        <w:t>.1：建设项目</w:t>
      </w:r>
      <w:r>
        <w:rPr>
          <w:rFonts w:hint="eastAsia" w:ascii="宋体" w:hAnsi="宋体" w:cs="MingLiU"/>
          <w:color w:val="000000"/>
          <w:kern w:val="0"/>
          <w:szCs w:val="21"/>
        </w:rPr>
        <w:t>（单项工程）工程造价汇总表（一般计税法）</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2.5 </w:t>
      </w:r>
      <w:r>
        <w:rPr>
          <w:rFonts w:hint="eastAsia" w:ascii="宋体" w:hAnsi="宋体" w:cs="MingLiU"/>
          <w:color w:val="000000"/>
          <w:kern w:val="0"/>
          <w:szCs w:val="21"/>
        </w:rPr>
        <w:t>D</w:t>
      </w:r>
      <w:r>
        <w:rPr>
          <w:rFonts w:ascii="宋体" w:hAnsi="宋体" w:cs="MingLiU"/>
          <w:color w:val="000000"/>
          <w:kern w:val="0"/>
          <w:szCs w:val="21"/>
        </w:rPr>
        <w:t>.</w:t>
      </w:r>
      <w:r>
        <w:rPr>
          <w:rFonts w:hint="eastAsia" w:ascii="宋体" w:hAnsi="宋体" w:cs="MingLiU"/>
          <w:color w:val="000000"/>
          <w:kern w:val="0"/>
          <w:szCs w:val="21"/>
        </w:rPr>
        <w:t>3</w:t>
      </w:r>
      <w:r>
        <w:rPr>
          <w:rFonts w:ascii="宋体" w:hAnsi="宋体" w:cs="MingLiU"/>
          <w:color w:val="000000"/>
          <w:kern w:val="0"/>
          <w:szCs w:val="21"/>
        </w:rPr>
        <w:t>：</w:t>
      </w:r>
      <w:r>
        <w:rPr>
          <w:rFonts w:hint="eastAsia" w:ascii="宋体" w:hAnsi="宋体" w:cs="MingLiU"/>
          <w:color w:val="000000"/>
          <w:kern w:val="0"/>
          <w:szCs w:val="21"/>
        </w:rPr>
        <w:t>单位工程费用计算表（一般计税法）</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2.6 E</w:t>
      </w:r>
      <w:r>
        <w:rPr>
          <w:rFonts w:hint="eastAsia" w:ascii="宋体" w:hAnsi="宋体" w:cs="MingLiU"/>
          <w:color w:val="000000"/>
          <w:kern w:val="0"/>
          <w:szCs w:val="21"/>
        </w:rPr>
        <w:t>.1</w:t>
      </w:r>
      <w:r>
        <w:rPr>
          <w:rFonts w:ascii="宋体" w:hAnsi="宋体" w:cs="MingLiU"/>
          <w:color w:val="000000"/>
          <w:kern w:val="0"/>
          <w:szCs w:val="21"/>
        </w:rPr>
        <w:t>：</w:t>
      </w:r>
      <w:r>
        <w:rPr>
          <w:rFonts w:hint="eastAsia" w:ascii="宋体" w:hAnsi="宋体" w:cs="MingLiU"/>
          <w:color w:val="000000"/>
          <w:kern w:val="0"/>
          <w:szCs w:val="21"/>
        </w:rPr>
        <w:t>单位工程工程量清单与造价表（一般计税法）</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2.</w:t>
      </w:r>
      <w:r>
        <w:rPr>
          <w:rFonts w:hint="eastAsia" w:ascii="宋体" w:hAnsi="宋体" w:cs="MingLiU"/>
          <w:color w:val="000000"/>
          <w:kern w:val="0"/>
          <w:szCs w:val="21"/>
        </w:rPr>
        <w:t>7</w:t>
      </w:r>
      <w:r>
        <w:rPr>
          <w:rFonts w:ascii="宋体" w:hAnsi="宋体" w:cs="MingLiU"/>
          <w:color w:val="000000"/>
          <w:kern w:val="0"/>
          <w:szCs w:val="21"/>
        </w:rPr>
        <w:t xml:space="preserve"> E</w:t>
      </w:r>
      <w:r>
        <w:rPr>
          <w:rFonts w:hint="eastAsia" w:ascii="宋体" w:hAnsi="宋体" w:cs="MingLiU"/>
          <w:color w:val="000000"/>
          <w:kern w:val="0"/>
          <w:szCs w:val="21"/>
        </w:rPr>
        <w:t>.</w:t>
      </w:r>
      <w:r>
        <w:rPr>
          <w:rFonts w:ascii="宋体" w:hAnsi="宋体" w:cs="MingLiU"/>
          <w:color w:val="000000"/>
          <w:kern w:val="0"/>
          <w:szCs w:val="21"/>
        </w:rPr>
        <w:t>3：</w:t>
      </w:r>
      <w:r>
        <w:rPr>
          <w:rFonts w:hint="eastAsia" w:ascii="宋体" w:hAnsi="宋体" w:cs="MingLiU"/>
          <w:color w:val="000000"/>
          <w:kern w:val="0"/>
          <w:szCs w:val="21"/>
        </w:rPr>
        <w:t>清单项目直接费用预算表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w:t>
      </w:r>
      <w:r>
        <w:rPr>
          <w:rFonts w:hint="eastAsia" w:ascii="宋体" w:hAnsi="宋体" w:cs="MingLiU"/>
          <w:color w:val="000000"/>
          <w:kern w:val="0"/>
          <w:szCs w:val="21"/>
        </w:rPr>
        <w:t>8</w:t>
      </w:r>
      <w:r>
        <w:rPr>
          <w:rFonts w:ascii="宋体" w:hAnsi="宋体" w:cs="MingLiU"/>
          <w:color w:val="000000"/>
          <w:kern w:val="0"/>
          <w:szCs w:val="21"/>
        </w:rPr>
        <w:t xml:space="preserve"> E</w:t>
      </w:r>
      <w:r>
        <w:rPr>
          <w:rFonts w:hint="eastAsia" w:ascii="宋体" w:hAnsi="宋体" w:cs="MingLiU"/>
          <w:color w:val="000000"/>
          <w:kern w:val="0"/>
          <w:szCs w:val="21"/>
        </w:rPr>
        <w:t>.4</w:t>
      </w:r>
      <w:r>
        <w:rPr>
          <w:rFonts w:ascii="宋体" w:hAnsi="宋体" w:cs="MingLiU"/>
          <w:color w:val="000000"/>
          <w:kern w:val="0"/>
          <w:szCs w:val="21"/>
        </w:rPr>
        <w:t>：</w:t>
      </w:r>
      <w:r>
        <w:rPr>
          <w:rFonts w:hint="eastAsia" w:ascii="宋体" w:hAnsi="宋体" w:cs="MingLiU"/>
          <w:color w:val="000000"/>
          <w:kern w:val="0"/>
          <w:szCs w:val="21"/>
        </w:rPr>
        <w:t>清单项目人材机用量与单价表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w:t>
      </w:r>
      <w:r>
        <w:rPr>
          <w:rFonts w:hint="eastAsia" w:ascii="宋体" w:hAnsi="宋体" w:cs="MingLiU"/>
          <w:color w:val="000000"/>
          <w:kern w:val="0"/>
          <w:szCs w:val="21"/>
        </w:rPr>
        <w:t>9</w:t>
      </w:r>
      <w:r>
        <w:rPr>
          <w:rFonts w:ascii="宋体" w:hAnsi="宋体" w:cs="MingLiU"/>
          <w:color w:val="000000"/>
          <w:kern w:val="0"/>
          <w:szCs w:val="21"/>
        </w:rPr>
        <w:t xml:space="preserve"> E</w:t>
      </w:r>
      <w:r>
        <w:rPr>
          <w:rFonts w:hint="eastAsia" w:ascii="宋体" w:hAnsi="宋体" w:cs="MingLiU"/>
          <w:color w:val="000000"/>
          <w:kern w:val="0"/>
          <w:szCs w:val="21"/>
        </w:rPr>
        <w:t>.5</w:t>
      </w:r>
      <w:r>
        <w:rPr>
          <w:rFonts w:ascii="宋体" w:hAnsi="宋体" w:cs="MingLiU"/>
          <w:color w:val="000000"/>
          <w:kern w:val="0"/>
          <w:szCs w:val="21"/>
        </w:rPr>
        <w:t>：</w:t>
      </w:r>
      <w:r>
        <w:rPr>
          <w:rFonts w:hint="eastAsia" w:ascii="宋体" w:hAnsi="宋体" w:cs="MingLiU"/>
          <w:color w:val="000000"/>
          <w:kern w:val="0"/>
          <w:szCs w:val="21"/>
        </w:rPr>
        <w:t>清单项目费用计算表（综合单价表、一般计税法）</w:t>
      </w:r>
    </w:p>
    <w:p>
      <w:pPr>
        <w:autoSpaceDE w:val="0"/>
        <w:autoSpaceDN w:val="0"/>
        <w:adjustRightInd w:val="0"/>
        <w:spacing w:before="64"/>
        <w:ind w:right="-23" w:firstLine="420" w:firstLineChars="200"/>
        <w:jc w:val="left"/>
        <w:rPr>
          <w:rFonts w:ascii="宋体" w:hAnsi="宋体" w:cs="MingLiU"/>
          <w:color w:val="000000"/>
          <w:kern w:val="0"/>
          <w:szCs w:val="21"/>
        </w:rPr>
      </w:pPr>
      <w:r>
        <w:rPr>
          <w:rFonts w:hint="eastAsia" w:ascii="宋体" w:hAnsi="宋体" w:cs="MingLiU"/>
          <w:color w:val="000000"/>
          <w:kern w:val="0"/>
          <w:szCs w:val="21"/>
        </w:rPr>
        <w:t xml:space="preserve">    2.10 E.7：总价措施项目清单计费表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1F</w:t>
      </w:r>
      <w:r>
        <w:rPr>
          <w:rFonts w:ascii="宋体" w:hAnsi="宋体" w:cs="MingLiU"/>
          <w:color w:val="000000"/>
          <w:kern w:val="0"/>
          <w:szCs w:val="21"/>
        </w:rPr>
        <w:t>.1：其他项目清单与计价汇总表</w:t>
      </w:r>
      <w:r>
        <w:rPr>
          <w:rFonts w:hint="eastAsia" w:ascii="宋体" w:hAnsi="宋体" w:cs="MingLiU"/>
          <w:color w:val="000000"/>
          <w:kern w:val="0"/>
          <w:szCs w:val="21"/>
        </w:rPr>
        <w:t>（一般计税法）</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2F</w:t>
      </w:r>
      <w:r>
        <w:rPr>
          <w:rFonts w:ascii="宋体" w:hAnsi="宋体" w:cs="MingLiU"/>
          <w:color w:val="000000"/>
          <w:kern w:val="0"/>
          <w:szCs w:val="21"/>
        </w:rPr>
        <w:t>.</w:t>
      </w:r>
      <w:r>
        <w:rPr>
          <w:rFonts w:hint="eastAsia" w:ascii="宋体" w:hAnsi="宋体" w:cs="MingLiU"/>
          <w:color w:val="000000"/>
          <w:kern w:val="0"/>
          <w:szCs w:val="21"/>
        </w:rPr>
        <w:t>3</w:t>
      </w:r>
      <w:r>
        <w:rPr>
          <w:rFonts w:ascii="宋体" w:hAnsi="宋体" w:cs="MingLiU"/>
          <w:color w:val="000000"/>
          <w:kern w:val="0"/>
          <w:szCs w:val="21"/>
        </w:rPr>
        <w:t>：暂列金额明细表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3F</w:t>
      </w:r>
      <w:r>
        <w:rPr>
          <w:rFonts w:ascii="宋体" w:hAnsi="宋体" w:cs="MingLiU"/>
          <w:color w:val="000000"/>
          <w:kern w:val="0"/>
          <w:szCs w:val="21"/>
        </w:rPr>
        <w:t>.</w:t>
      </w:r>
      <w:r>
        <w:rPr>
          <w:rFonts w:hint="eastAsia" w:ascii="宋体" w:hAnsi="宋体" w:cs="MingLiU"/>
          <w:color w:val="000000"/>
          <w:kern w:val="0"/>
          <w:szCs w:val="21"/>
        </w:rPr>
        <w:t>4</w:t>
      </w:r>
      <w:r>
        <w:rPr>
          <w:rFonts w:ascii="宋体" w:hAnsi="宋体" w:cs="MingLiU"/>
          <w:color w:val="000000"/>
          <w:kern w:val="0"/>
          <w:szCs w:val="21"/>
        </w:rPr>
        <w:t>：材料（工程设备）暂估单价及调整表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4F</w:t>
      </w:r>
      <w:r>
        <w:rPr>
          <w:rFonts w:ascii="宋体" w:hAnsi="宋体" w:cs="MingLiU"/>
          <w:color w:val="000000"/>
          <w:kern w:val="0"/>
          <w:szCs w:val="21"/>
        </w:rPr>
        <w:t>.</w:t>
      </w:r>
      <w:r>
        <w:rPr>
          <w:rFonts w:hint="eastAsia" w:ascii="宋体" w:hAnsi="宋体" w:cs="MingLiU"/>
          <w:color w:val="000000"/>
          <w:kern w:val="0"/>
          <w:szCs w:val="21"/>
        </w:rPr>
        <w:t>5</w:t>
      </w:r>
      <w:r>
        <w:rPr>
          <w:rFonts w:ascii="宋体" w:hAnsi="宋体" w:cs="MingLiU"/>
          <w:color w:val="000000"/>
          <w:kern w:val="0"/>
          <w:szCs w:val="21"/>
        </w:rPr>
        <w:t>：专业工程暂估价及结算价表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5F</w:t>
      </w:r>
      <w:r>
        <w:rPr>
          <w:rFonts w:ascii="宋体" w:hAnsi="宋体" w:cs="MingLiU"/>
          <w:color w:val="000000"/>
          <w:kern w:val="0"/>
          <w:szCs w:val="21"/>
        </w:rPr>
        <w:t>.</w:t>
      </w:r>
      <w:r>
        <w:rPr>
          <w:rFonts w:hint="eastAsia" w:ascii="宋体" w:hAnsi="宋体" w:cs="MingLiU"/>
          <w:color w:val="000000"/>
          <w:kern w:val="0"/>
          <w:szCs w:val="21"/>
        </w:rPr>
        <w:t>6</w:t>
      </w:r>
      <w:r>
        <w:rPr>
          <w:rFonts w:ascii="宋体" w:hAnsi="宋体" w:cs="MingLiU"/>
          <w:color w:val="000000"/>
          <w:kern w:val="0"/>
          <w:szCs w:val="21"/>
        </w:rPr>
        <w:t>：计日工表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 xml:space="preserve">    2.1</w:t>
      </w:r>
      <w:r>
        <w:rPr>
          <w:rFonts w:hint="eastAsia" w:ascii="宋体" w:hAnsi="宋体" w:cs="MingLiU"/>
          <w:color w:val="000000"/>
          <w:kern w:val="0"/>
          <w:szCs w:val="21"/>
        </w:rPr>
        <w:t>6F</w:t>
      </w:r>
      <w:r>
        <w:rPr>
          <w:rFonts w:ascii="宋体" w:hAnsi="宋体" w:cs="MingLiU"/>
          <w:color w:val="000000"/>
          <w:kern w:val="0"/>
          <w:szCs w:val="21"/>
        </w:rPr>
        <w:t>.</w:t>
      </w:r>
      <w:r>
        <w:rPr>
          <w:rFonts w:hint="eastAsia" w:ascii="宋体" w:hAnsi="宋体" w:cs="MingLiU"/>
          <w:color w:val="000000"/>
          <w:kern w:val="0"/>
          <w:szCs w:val="21"/>
        </w:rPr>
        <w:t>7</w:t>
      </w:r>
      <w:r>
        <w:rPr>
          <w:rFonts w:ascii="宋体" w:hAnsi="宋体" w:cs="MingLiU"/>
          <w:color w:val="000000"/>
          <w:kern w:val="0"/>
          <w:szCs w:val="21"/>
        </w:rPr>
        <w:t>：总承包服务费计价表</w:t>
      </w:r>
    </w:p>
    <w:p>
      <w:pPr>
        <w:spacing w:line="300" w:lineRule="auto"/>
        <w:ind w:firstLine="630" w:firstLineChars="300"/>
        <w:rPr>
          <w:rFonts w:ascii="宋体" w:hAnsi="宋体"/>
        </w:rPr>
      </w:pPr>
      <w:r>
        <w:rPr>
          <w:rFonts w:hint="eastAsia" w:ascii="宋体" w:hAnsi="宋体" w:cs="MingLiU"/>
          <w:kern w:val="0"/>
          <w:szCs w:val="21"/>
        </w:rPr>
        <w:t xml:space="preserve">2.17 </w:t>
      </w:r>
      <w:r>
        <w:rPr>
          <w:rFonts w:hint="eastAsia" w:ascii="宋体" w:hAnsi="宋体"/>
        </w:rPr>
        <w:t>J.1发包人提供材料与工程设备一览表</w:t>
      </w:r>
    </w:p>
    <w:p>
      <w:pPr>
        <w:autoSpaceDE w:val="0"/>
        <w:autoSpaceDN w:val="0"/>
        <w:adjustRightInd w:val="0"/>
        <w:spacing w:before="64"/>
        <w:ind w:right="-23" w:firstLine="420" w:firstLineChars="200"/>
        <w:jc w:val="left"/>
        <w:rPr>
          <w:rFonts w:ascii="宋体" w:hAnsi="宋体" w:cs="MingLiU"/>
          <w:color w:val="000000"/>
          <w:kern w:val="0"/>
          <w:szCs w:val="21"/>
        </w:rPr>
      </w:pPr>
      <w:r>
        <w:rPr>
          <w:rFonts w:ascii="宋体" w:hAnsi="宋体" w:cs="MingLiU"/>
          <w:color w:val="000000"/>
          <w:kern w:val="0"/>
          <w:szCs w:val="21"/>
        </w:rPr>
        <w:t>2.</w:t>
      </w:r>
      <w:r>
        <w:rPr>
          <w:rFonts w:hint="eastAsia" w:ascii="宋体" w:hAnsi="宋体" w:cs="MingLiU"/>
          <w:color w:val="000000"/>
          <w:kern w:val="0"/>
          <w:szCs w:val="21"/>
        </w:rPr>
        <w:t>18J</w:t>
      </w:r>
      <w:r>
        <w:rPr>
          <w:rFonts w:ascii="宋体" w:hAnsi="宋体" w:cs="MingLiU"/>
          <w:color w:val="000000"/>
          <w:kern w:val="0"/>
          <w:szCs w:val="21"/>
        </w:rPr>
        <w:t>.</w:t>
      </w:r>
      <w:r>
        <w:rPr>
          <w:rFonts w:hint="eastAsia" w:ascii="宋体" w:hAnsi="宋体" w:cs="MingLiU"/>
          <w:color w:val="000000"/>
          <w:kern w:val="0"/>
          <w:szCs w:val="21"/>
        </w:rPr>
        <w:t>2</w:t>
      </w:r>
      <w:r>
        <w:rPr>
          <w:rFonts w:ascii="宋体" w:hAnsi="宋体" w:cs="MingLiU"/>
          <w:color w:val="000000"/>
          <w:kern w:val="0"/>
          <w:szCs w:val="21"/>
        </w:rPr>
        <w:t>：</w:t>
      </w:r>
      <w:r>
        <w:rPr>
          <w:rFonts w:hint="eastAsia" w:ascii="宋体" w:hAnsi="宋体" w:cs="MingLiU"/>
          <w:color w:val="000000"/>
          <w:kern w:val="0"/>
          <w:szCs w:val="21"/>
        </w:rPr>
        <w:t>人工、主要材料（工程设备）、机械用量汇总与单价表</w:t>
      </w: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autoSpaceDE w:val="0"/>
        <w:autoSpaceDN w:val="0"/>
        <w:adjustRightInd w:val="0"/>
        <w:spacing w:before="64"/>
        <w:ind w:right="-23" w:firstLine="420" w:firstLineChars="200"/>
        <w:jc w:val="left"/>
        <w:rPr>
          <w:rFonts w:ascii="宋体" w:hAnsi="宋体" w:cs="MingLiU"/>
          <w:kern w:val="0"/>
          <w:szCs w:val="21"/>
        </w:rPr>
      </w:pPr>
    </w:p>
    <w:p>
      <w:pPr>
        <w:pStyle w:val="28"/>
        <w:tabs>
          <w:tab w:val="right" w:leader="dot" w:pos="8720"/>
        </w:tabs>
        <w:ind w:left="0" w:leftChars="0"/>
        <w:jc w:val="left"/>
      </w:pPr>
    </w:p>
    <w:p>
      <w:pPr>
        <w:pStyle w:val="4"/>
        <w:keepNext/>
        <w:keepLines/>
        <w:widowControl w:val="0"/>
        <w:jc w:val="left"/>
        <w:rPr>
          <w:rFonts w:ascii="黑体" w:hAnsi="宋体" w:eastAsia="黑体"/>
          <w:b w:val="0"/>
          <w:bCs w:val="0"/>
          <w:sz w:val="28"/>
          <w:szCs w:val="28"/>
        </w:rPr>
      </w:pPr>
      <w:bookmarkStart w:id="647" w:name="_Toc12924"/>
      <w:bookmarkStart w:id="648" w:name="_Toc486318783"/>
      <w:bookmarkStart w:id="649" w:name="_Toc300678595"/>
      <w:bookmarkStart w:id="650" w:name="_Toc16256"/>
      <w:bookmarkStart w:id="651" w:name="_Toc1474"/>
      <w:bookmarkStart w:id="652" w:name="_Toc484015151"/>
      <w:bookmarkStart w:id="653" w:name="_Toc28719"/>
      <w:r>
        <w:rPr>
          <w:rFonts w:hint="eastAsia" w:ascii="黑体" w:hAnsi="宋体" w:eastAsia="黑体"/>
          <w:b w:val="0"/>
          <w:szCs w:val="28"/>
        </w:rPr>
        <w:t>1.已标价工程量清单内容</w:t>
      </w:r>
      <w:bookmarkEnd w:id="647"/>
      <w:bookmarkEnd w:id="648"/>
      <w:bookmarkEnd w:id="649"/>
      <w:bookmarkEnd w:id="650"/>
      <w:bookmarkEnd w:id="651"/>
      <w:bookmarkEnd w:id="652"/>
      <w:bookmarkEnd w:id="653"/>
    </w:p>
    <w:p>
      <w:pPr>
        <w:spacing w:line="360" w:lineRule="auto"/>
        <w:ind w:firstLine="420" w:firstLineChars="200"/>
        <w:rPr>
          <w:color w:val="000000"/>
        </w:rPr>
      </w:pPr>
      <w:r>
        <w:rPr>
          <w:rFonts w:hint="eastAsia"/>
          <w:color w:val="000000"/>
        </w:rPr>
        <w:t>按</w:t>
      </w:r>
      <w:r>
        <w:rPr>
          <w:rFonts w:hint="eastAsia"/>
          <w:color w:val="000000"/>
          <w:u w:val="single"/>
        </w:rPr>
        <w:t>《湖南省建设工程计价办法》（湘建价［2014］113号）、《关于增值税条件下计费程序和计费标准的规定》及《关于增值税条件下材料价格发布与使用的规定》（湘建价[2016]72号）、《关于调整补充增值税条件下建设工程计价依据的通知》（湘建价〔2016〕160号）</w:t>
      </w:r>
      <w:r>
        <w:rPr>
          <w:rFonts w:hint="eastAsia"/>
          <w:color w:val="000000"/>
        </w:rPr>
        <w:t>等文件的相关规定，投标报价文件需提供以下具体内容：</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 A.3：投标总价封面；</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（2） B.3：投标总价扉页</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（3） 附录C：工程计价总说明</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（4） D.1：建设项目（单项工程）工程造价汇总表（一般计税法）</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（5） D.3：单位工程费用计算表（一般计税法）</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（6） E.1：单位工程工程量清单与造价表（一般计税法）</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（7） E.3：清单项目直接费用预算表</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（8） E.4：清单项目人材机用量与单价表</w:t>
      </w:r>
    </w:p>
    <w:p>
      <w:pPr>
        <w:autoSpaceDE w:val="0"/>
        <w:autoSpaceDN w:val="0"/>
        <w:adjustRightInd w:val="0"/>
        <w:spacing w:before="64" w:line="360" w:lineRule="auto"/>
        <w:ind w:right="-23" w:firstLine="420"/>
        <w:jc w:val="left"/>
        <w:rPr>
          <w:rFonts w:ascii="宋体" w:hAnsi="宋体"/>
          <w:color w:val="000000"/>
        </w:rPr>
      </w:pPr>
      <w:r>
        <w:rPr>
          <w:rFonts w:hint="eastAsia" w:ascii="宋体" w:hAnsi="宋体"/>
          <w:color w:val="000000"/>
        </w:rPr>
        <w:t>（9） E.5：清单项目费用计算表（综合单价表、一般计税法）</w:t>
      </w:r>
    </w:p>
    <w:p>
      <w:pPr>
        <w:autoSpaceDE w:val="0"/>
        <w:autoSpaceDN w:val="0"/>
        <w:adjustRightInd w:val="0"/>
        <w:spacing w:before="64" w:line="360" w:lineRule="auto"/>
        <w:ind w:right="-23" w:firstLine="420"/>
        <w:jc w:val="left"/>
        <w:rPr>
          <w:rFonts w:ascii="宋体" w:hAnsi="宋体"/>
          <w:color w:val="000000"/>
        </w:rPr>
      </w:pPr>
      <w:r>
        <w:rPr>
          <w:rFonts w:hint="eastAsia" w:ascii="宋体" w:hAnsi="宋体"/>
          <w:color w:val="000000"/>
        </w:rPr>
        <w:t>（10）E.7：总价措施项目清单计费表</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（11） F.1：其他项目清单与计价汇总表（一般计税法）</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（12） F.3：暂列金额明细表</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（13） F.4：材料（工程设备）暂估单价及调整表</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（14） F.5：专业工程暂估价及结算价表</w:t>
      </w:r>
    </w:p>
    <w:p>
      <w:pPr>
        <w:autoSpaceDE w:val="0"/>
        <w:autoSpaceDN w:val="0"/>
        <w:adjustRightInd w:val="0"/>
        <w:spacing w:before="64" w:line="360" w:lineRule="auto"/>
        <w:ind w:right="-23"/>
        <w:jc w:val="left"/>
        <w:rPr>
          <w:rFonts w:ascii="宋体" w:hAnsi="宋体"/>
          <w:color w:val="000000"/>
        </w:rPr>
      </w:pPr>
      <w:r>
        <w:rPr>
          <w:rFonts w:hint="eastAsia" w:ascii="宋体" w:hAnsi="宋体"/>
          <w:color w:val="000000"/>
        </w:rPr>
        <w:t xml:space="preserve">    （15） F.6：计日工表</w:t>
      </w:r>
    </w:p>
    <w:p>
      <w:pPr>
        <w:autoSpaceDE w:val="0"/>
        <w:autoSpaceDN w:val="0"/>
        <w:adjustRightInd w:val="0"/>
        <w:spacing w:before="64" w:line="360" w:lineRule="auto"/>
        <w:ind w:right="-23" w:firstLine="420"/>
        <w:jc w:val="left"/>
        <w:rPr>
          <w:rFonts w:ascii="宋体" w:hAnsi="宋体"/>
          <w:color w:val="000000"/>
        </w:rPr>
      </w:pPr>
      <w:r>
        <w:rPr>
          <w:rFonts w:hint="eastAsia" w:ascii="宋体" w:hAnsi="宋体"/>
          <w:color w:val="000000"/>
        </w:rPr>
        <w:t>（16）F.7：总承包服务费计价表</w:t>
      </w:r>
    </w:p>
    <w:p>
      <w:pPr>
        <w:spacing w:line="300" w:lineRule="auto"/>
        <w:rPr>
          <w:rFonts w:ascii="宋体" w:hAnsi="宋体"/>
          <w:color w:val="FF0000"/>
        </w:rPr>
      </w:pPr>
      <w:r>
        <w:rPr>
          <w:rFonts w:hint="eastAsia" w:ascii="宋体" w:hAnsi="宋体"/>
        </w:rPr>
        <w:t xml:space="preserve"> （17）J.1发包人提供材料与工程设备一览表</w:t>
      </w:r>
    </w:p>
    <w:p>
      <w:pPr>
        <w:autoSpaceDE w:val="0"/>
        <w:autoSpaceDN w:val="0"/>
        <w:adjustRightInd w:val="0"/>
        <w:spacing w:before="64" w:line="360" w:lineRule="auto"/>
        <w:ind w:right="-23" w:firstLine="420"/>
        <w:jc w:val="left"/>
        <w:rPr>
          <w:rFonts w:ascii="宋体" w:hAnsi="宋体"/>
          <w:color w:val="000000"/>
        </w:rPr>
      </w:pPr>
      <w:r>
        <w:rPr>
          <w:rFonts w:hint="eastAsia" w:ascii="宋体" w:hAnsi="宋体"/>
          <w:color w:val="000000"/>
        </w:rPr>
        <w:t>（18） J.2：人工、主要材料（工程设备）、机械用量汇总与单价表</w:t>
      </w:r>
    </w:p>
    <w:p>
      <w:pPr>
        <w:autoSpaceDE w:val="0"/>
        <w:autoSpaceDN w:val="0"/>
        <w:adjustRightInd w:val="0"/>
        <w:spacing w:before="64" w:line="360" w:lineRule="auto"/>
        <w:ind w:right="-23"/>
        <w:jc w:val="left"/>
        <w:rPr>
          <w:rFonts w:ascii="宋体" w:hAnsi="宋体"/>
        </w:rPr>
      </w:pPr>
      <w:r>
        <w:rPr>
          <w:rFonts w:hint="eastAsia" w:ascii="宋体" w:hAnsi="宋体"/>
        </w:rPr>
        <w:t>注：以上表格如为空白表格，可不提供。</w:t>
      </w:r>
    </w:p>
    <w:p>
      <w:pPr>
        <w:autoSpaceDE w:val="0"/>
        <w:autoSpaceDN w:val="0"/>
        <w:adjustRightInd w:val="0"/>
        <w:spacing w:before="64" w:line="360" w:lineRule="auto"/>
        <w:ind w:right="-23"/>
        <w:jc w:val="left"/>
        <w:rPr>
          <w:rFonts w:ascii="宋体" w:hAnsi="宋体"/>
        </w:rPr>
      </w:pPr>
    </w:p>
    <w:p>
      <w:pPr>
        <w:autoSpaceDE w:val="0"/>
        <w:autoSpaceDN w:val="0"/>
        <w:adjustRightInd w:val="0"/>
        <w:spacing w:before="64" w:line="360" w:lineRule="auto"/>
        <w:ind w:right="-23"/>
        <w:jc w:val="left"/>
        <w:rPr>
          <w:rFonts w:ascii="宋体" w:hAnsi="宋体"/>
        </w:rPr>
      </w:pPr>
    </w:p>
    <w:p>
      <w:pPr>
        <w:autoSpaceDE w:val="0"/>
        <w:autoSpaceDN w:val="0"/>
        <w:adjustRightInd w:val="0"/>
        <w:spacing w:before="64" w:line="360" w:lineRule="auto"/>
        <w:ind w:right="-23"/>
        <w:jc w:val="left"/>
        <w:rPr>
          <w:rFonts w:ascii="宋体" w:hAnsi="宋体"/>
        </w:rPr>
      </w:pPr>
    </w:p>
    <w:p>
      <w:pPr>
        <w:autoSpaceDE w:val="0"/>
        <w:autoSpaceDN w:val="0"/>
        <w:adjustRightInd w:val="0"/>
        <w:spacing w:before="64" w:line="360" w:lineRule="auto"/>
        <w:ind w:right="-23"/>
        <w:jc w:val="left"/>
        <w:rPr>
          <w:rFonts w:ascii="宋体" w:hAnsi="宋体"/>
        </w:rPr>
      </w:pPr>
    </w:p>
    <w:p>
      <w:pPr>
        <w:pStyle w:val="4"/>
        <w:keepNext/>
        <w:keepLines/>
        <w:widowControl w:val="0"/>
        <w:jc w:val="left"/>
        <w:rPr>
          <w:rFonts w:ascii="黑体" w:hAnsi="宋体" w:eastAsia="黑体"/>
          <w:b w:val="0"/>
          <w:sz w:val="28"/>
          <w:szCs w:val="28"/>
        </w:rPr>
      </w:pPr>
      <w:bookmarkStart w:id="654" w:name="_Toc299"/>
      <w:bookmarkStart w:id="655" w:name="_Toc29679"/>
      <w:bookmarkStart w:id="656" w:name="_Toc486318784"/>
      <w:bookmarkStart w:id="657" w:name="_Toc484015152"/>
      <w:bookmarkStart w:id="658" w:name="_Toc5360"/>
      <w:bookmarkStart w:id="659" w:name="_Toc300678596"/>
      <w:bookmarkStart w:id="660" w:name="_Toc1184"/>
      <w:r>
        <w:rPr>
          <w:rFonts w:hint="eastAsia" w:ascii="黑体" w:hAnsi="宋体" w:eastAsia="黑体"/>
          <w:b w:val="0"/>
          <w:sz w:val="28"/>
          <w:szCs w:val="28"/>
        </w:rPr>
        <w:t>2.已标价工程量清单格式</w:t>
      </w:r>
      <w:bookmarkEnd w:id="654"/>
      <w:bookmarkEnd w:id="655"/>
      <w:bookmarkEnd w:id="656"/>
      <w:bookmarkEnd w:id="657"/>
      <w:bookmarkEnd w:id="658"/>
      <w:bookmarkEnd w:id="659"/>
      <w:bookmarkEnd w:id="660"/>
    </w:p>
    <w:p>
      <w:pPr>
        <w:rPr>
          <w:rFonts w:ascii="宋体" w:hAnsi="宋体" w:cs="宋体"/>
          <w:b/>
          <w:color w:val="000000"/>
          <w:sz w:val="30"/>
          <w:szCs w:val="30"/>
        </w:rPr>
      </w:pPr>
      <w:r>
        <w:rPr>
          <w:rFonts w:hint="eastAsia" w:ascii="宋体" w:hAnsi="宋体" w:cs="宋体"/>
          <w:b/>
          <w:color w:val="000000"/>
          <w:sz w:val="30"/>
          <w:szCs w:val="30"/>
        </w:rPr>
        <w:t>A</w:t>
      </w:r>
      <w:r>
        <w:rPr>
          <w:rFonts w:ascii="宋体" w:hAnsi="宋体" w:cs="宋体"/>
          <w:b/>
          <w:color w:val="000000"/>
          <w:sz w:val="30"/>
          <w:szCs w:val="30"/>
        </w:rPr>
        <w:t>.3投标总价封面</w:t>
      </w:r>
    </w:p>
    <w:p>
      <w:pPr>
        <w:rPr>
          <w:rFonts w:ascii="宋体" w:hAnsi="宋体" w:cs="宋体"/>
          <w:color w:val="000000"/>
          <w:sz w:val="20"/>
        </w:rPr>
      </w:pPr>
    </w:p>
    <w:p>
      <w:pPr>
        <w:widowControl/>
        <w:jc w:val="center"/>
        <w:textAlignment w:val="bottom"/>
        <w:rPr>
          <w:rFonts w:ascii="宋体" w:hAnsi="宋体" w:cs="宋体"/>
          <w:b/>
          <w:color w:val="000000"/>
          <w:sz w:val="50"/>
          <w:szCs w:val="50"/>
        </w:rPr>
      </w:pPr>
    </w:p>
    <w:p>
      <w:pPr>
        <w:widowControl/>
        <w:jc w:val="left"/>
        <w:textAlignment w:val="bottom"/>
        <w:rPr>
          <w:rFonts w:ascii="宋体" w:hAnsi="宋体" w:cs="宋体"/>
          <w:b/>
          <w:color w:val="000000"/>
          <w:sz w:val="50"/>
          <w:szCs w:val="50"/>
        </w:rPr>
      </w:pPr>
      <w:r>
        <w:rPr>
          <w:rFonts w:hint="eastAsia" w:ascii="宋体" w:hAnsi="宋体" w:cs="宋体"/>
          <w:b/>
          <w:color w:val="000000"/>
          <w:kern w:val="0"/>
          <w:sz w:val="50"/>
          <w:szCs w:val="50"/>
        </w:rPr>
        <w:t>工程</w:t>
      </w: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widowControl/>
        <w:jc w:val="center"/>
        <w:textAlignment w:val="center"/>
        <w:rPr>
          <w:rFonts w:ascii="宋体" w:hAnsi="宋体" w:cs="宋体"/>
          <w:b/>
          <w:color w:val="000000"/>
          <w:sz w:val="50"/>
          <w:szCs w:val="50"/>
        </w:rPr>
      </w:pPr>
      <w:r>
        <w:rPr>
          <w:rFonts w:hint="eastAsia" w:ascii="宋体" w:hAnsi="宋体" w:cs="宋体"/>
          <w:b/>
          <w:color w:val="000000"/>
          <w:kern w:val="0"/>
          <w:sz w:val="50"/>
          <w:szCs w:val="50"/>
        </w:rPr>
        <w:t>投标总价</w:t>
      </w: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widowControl/>
        <w:jc w:val="left"/>
        <w:textAlignment w:val="bottom"/>
        <w:rPr>
          <w:rFonts w:ascii="宋体" w:hAnsi="宋体" w:cs="宋体"/>
          <w:color w:val="000000"/>
          <w:sz w:val="28"/>
          <w:szCs w:val="28"/>
          <w:u w:val="single"/>
        </w:rPr>
      </w:pPr>
      <w:r>
        <w:rPr>
          <w:rFonts w:hint="eastAsia" w:ascii="宋体" w:hAnsi="宋体" w:cs="宋体"/>
          <w:color w:val="000000"/>
          <w:kern w:val="0"/>
          <w:sz w:val="28"/>
          <w:szCs w:val="28"/>
        </w:rPr>
        <w:t>投标人：</w:t>
      </w:r>
    </w:p>
    <w:p>
      <w:pPr>
        <w:widowControl/>
        <w:jc w:val="center"/>
        <w:textAlignment w:val="center"/>
        <w:rPr>
          <w:rFonts w:ascii="宋体" w:hAnsi="宋体" w:cs="宋体"/>
          <w:color w:val="000000"/>
          <w:sz w:val="28"/>
          <w:szCs w:val="28"/>
        </w:rPr>
      </w:pPr>
      <w:r>
        <w:rPr>
          <w:rFonts w:ascii="宋体" w:hAnsi="宋体" w:cs="宋体"/>
          <w:color w:val="000000"/>
          <w:kern w:val="0"/>
          <w:sz w:val="28"/>
          <w:szCs w:val="28"/>
        </w:rPr>
        <w:t xml:space="preserve">           (单位盖章)</w:t>
      </w: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rPr>
          <w:rFonts w:ascii="宋体" w:hAnsi="宋体" w:cs="宋体"/>
          <w:color w:val="000000"/>
          <w:sz w:val="20"/>
        </w:rPr>
      </w:pPr>
    </w:p>
    <w:p>
      <w:pPr>
        <w:widowControl/>
        <w:jc w:val="center"/>
        <w:textAlignment w:val="bottom"/>
        <w:rPr>
          <w:rFonts w:ascii="宋体" w:hAnsi="宋体" w:cs="宋体"/>
          <w:color w:val="000000"/>
          <w:sz w:val="28"/>
          <w:szCs w:val="28"/>
        </w:rPr>
      </w:pPr>
      <w:r>
        <w:rPr>
          <w:rFonts w:ascii="宋体" w:hAnsi="宋体" w:cs="宋体"/>
          <w:color w:val="000000"/>
          <w:kern w:val="0"/>
          <w:sz w:val="28"/>
          <w:szCs w:val="28"/>
        </w:rPr>
        <w:t xml:space="preserve">   年    月    日</w:t>
      </w:r>
    </w:p>
    <w:p>
      <w:pPr>
        <w:rPr>
          <w:rFonts w:ascii="宋体" w:hAnsi="宋体" w:cs="宋体"/>
          <w:color w:val="000000"/>
          <w:sz w:val="20"/>
        </w:rPr>
      </w:pPr>
    </w:p>
    <w:p>
      <w:pPr>
        <w:rPr>
          <w:rFonts w:ascii="宋体" w:hAnsi="宋体" w:cs="宋体"/>
          <w:color w:val="000000"/>
          <w:sz w:val="20"/>
        </w:rPr>
        <w:sectPr>
          <w:pgSz w:w="11906" w:h="16838"/>
          <w:pgMar w:top="1134" w:right="1134" w:bottom="1134" w:left="1134" w:header="851" w:footer="992" w:gutter="0"/>
          <w:cols w:space="720" w:num="1"/>
          <w:docGrid w:type="lines" w:linePitch="312" w:charSpace="0"/>
        </w:sectPr>
      </w:pPr>
    </w:p>
    <w:p>
      <w:pPr>
        <w:rPr>
          <w:rFonts w:ascii="宋体" w:hAnsi="宋体" w:cs="宋体"/>
          <w:color w:val="000000"/>
          <w:sz w:val="20"/>
        </w:rPr>
      </w:pPr>
    </w:p>
    <w:p>
      <w:pPr>
        <w:rPr>
          <w:rFonts w:ascii="宋体" w:hAnsi="宋体" w:cs="宋体"/>
          <w:b/>
          <w:color w:val="000000"/>
          <w:sz w:val="30"/>
          <w:szCs w:val="30"/>
        </w:rPr>
      </w:pPr>
      <w:r>
        <w:rPr>
          <w:rFonts w:hint="eastAsia" w:ascii="宋体" w:hAnsi="宋体" w:cs="宋体"/>
          <w:b/>
          <w:color w:val="000000"/>
          <w:sz w:val="30"/>
          <w:szCs w:val="30"/>
        </w:rPr>
        <w:t>B</w:t>
      </w:r>
      <w:r>
        <w:rPr>
          <w:rFonts w:ascii="宋体" w:hAnsi="宋体" w:cs="宋体"/>
          <w:b/>
          <w:color w:val="000000"/>
          <w:sz w:val="30"/>
          <w:szCs w:val="30"/>
        </w:rPr>
        <w:t>.3：投标总价扉页</w:t>
      </w:r>
    </w:p>
    <w:p>
      <w:pPr>
        <w:widowControl/>
        <w:jc w:val="center"/>
        <w:textAlignment w:val="center"/>
        <w:rPr>
          <w:rFonts w:ascii="宋体" w:hAnsi="宋体" w:cs="宋体"/>
          <w:b/>
          <w:color w:val="000000"/>
          <w:kern w:val="0"/>
          <w:sz w:val="50"/>
          <w:szCs w:val="50"/>
        </w:rPr>
      </w:pPr>
    </w:p>
    <w:p>
      <w:pPr>
        <w:widowControl/>
        <w:jc w:val="center"/>
        <w:textAlignment w:val="center"/>
        <w:rPr>
          <w:rFonts w:ascii="宋体" w:hAnsi="宋体" w:cs="宋体"/>
          <w:b/>
          <w:color w:val="000000"/>
          <w:sz w:val="50"/>
          <w:szCs w:val="50"/>
        </w:rPr>
      </w:pPr>
      <w:r>
        <w:rPr>
          <w:rFonts w:hint="eastAsia" w:ascii="宋体" w:hAnsi="宋体" w:cs="宋体"/>
          <w:b/>
          <w:color w:val="000000"/>
          <w:kern w:val="0"/>
          <w:sz w:val="50"/>
          <w:szCs w:val="50"/>
        </w:rPr>
        <w:t>投标总价</w:t>
      </w:r>
    </w:p>
    <w:p>
      <w:pPr>
        <w:rPr>
          <w:rFonts w:ascii="宋体" w:hAnsi="宋体" w:cs="宋体"/>
          <w:color w:val="000000"/>
          <w:sz w:val="20"/>
        </w:rPr>
      </w:pPr>
    </w:p>
    <w:p>
      <w:pPr>
        <w:widowControl/>
        <w:jc w:val="left"/>
        <w:textAlignment w:val="bottom"/>
        <w:rPr>
          <w:rFonts w:ascii="宋体" w:hAnsi="宋体" w:cs="宋体"/>
          <w:color w:val="000000"/>
          <w:kern w:val="0"/>
          <w:sz w:val="24"/>
        </w:rPr>
      </w:pPr>
    </w:p>
    <w:p>
      <w:pPr>
        <w:widowControl/>
        <w:jc w:val="left"/>
        <w:textAlignment w:val="bottom"/>
        <w:rPr>
          <w:rFonts w:ascii="宋体" w:hAnsi="宋体" w:cs="宋体"/>
          <w:color w:val="000000"/>
          <w:kern w:val="0"/>
          <w:sz w:val="24"/>
        </w:rPr>
      </w:pPr>
    </w:p>
    <w:p>
      <w:pPr>
        <w:widowControl/>
        <w:jc w:val="left"/>
        <w:textAlignment w:val="bottom"/>
        <w:rPr>
          <w:rFonts w:ascii="宋体" w:hAnsi="宋体" w:cs="宋体"/>
          <w:color w:val="000000"/>
          <w:kern w:val="0"/>
          <w:sz w:val="24"/>
        </w:rPr>
      </w:pPr>
    </w:p>
    <w:p>
      <w:pPr>
        <w:widowControl/>
        <w:jc w:val="left"/>
        <w:textAlignment w:val="bottom"/>
        <w:rPr>
          <w:rFonts w:ascii="宋体" w:hAnsi="宋体" w:cs="宋体"/>
          <w:color w:val="000000"/>
          <w:kern w:val="0"/>
          <w:sz w:val="24"/>
        </w:rPr>
      </w:pPr>
    </w:p>
    <w:p>
      <w:pPr>
        <w:widowControl/>
        <w:jc w:val="left"/>
        <w:textAlignment w:val="bottom"/>
        <w:rPr>
          <w:rFonts w:ascii="宋体" w:hAnsi="宋体" w:cs="宋体"/>
          <w:color w:val="000000"/>
          <w:kern w:val="0"/>
          <w:sz w:val="24"/>
        </w:rPr>
      </w:pP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招     标     人：</w:t>
      </w:r>
    </w:p>
    <w:p>
      <w:pPr>
        <w:widowControl/>
        <w:jc w:val="left"/>
        <w:textAlignment w:val="bottom"/>
        <w:rPr>
          <w:rFonts w:ascii="宋体" w:hAnsi="宋体" w:cs="宋体"/>
          <w:color w:val="000000"/>
          <w:sz w:val="24"/>
        </w:rPr>
      </w:pPr>
    </w:p>
    <w:p>
      <w:pPr>
        <w:rPr>
          <w:rFonts w:ascii="宋体" w:hAnsi="宋体" w:cs="宋体"/>
          <w:color w:val="000000"/>
          <w:sz w:val="24"/>
        </w:rPr>
      </w:pPr>
    </w:p>
    <w:p>
      <w:pPr>
        <w:rPr>
          <w:rFonts w:ascii="宋体" w:hAnsi="宋体" w:cs="宋体"/>
          <w:color w:val="000000"/>
          <w:sz w:val="24"/>
        </w:rPr>
      </w:pP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工   程   名  称：</w:t>
      </w:r>
    </w:p>
    <w:p>
      <w:pPr>
        <w:widowControl/>
        <w:jc w:val="left"/>
        <w:textAlignment w:val="bottom"/>
        <w:rPr>
          <w:rFonts w:ascii="宋体" w:hAnsi="宋体" w:cs="宋体"/>
          <w:color w:val="000000"/>
          <w:sz w:val="24"/>
        </w:rPr>
      </w:pPr>
    </w:p>
    <w:p>
      <w:pPr>
        <w:rPr>
          <w:rFonts w:ascii="宋体" w:hAnsi="宋体" w:cs="宋体"/>
          <w:color w:val="000000"/>
          <w:sz w:val="24"/>
        </w:rPr>
      </w:pPr>
    </w:p>
    <w:p>
      <w:pPr>
        <w:rPr>
          <w:rFonts w:ascii="宋体" w:hAnsi="宋体" w:cs="宋体"/>
          <w:color w:val="000000"/>
          <w:sz w:val="24"/>
        </w:rPr>
      </w:pP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投标总价（小写）：</w:t>
      </w:r>
    </w:p>
    <w:p>
      <w:pPr>
        <w:widowControl/>
        <w:textAlignment w:val="bottom"/>
        <w:rPr>
          <w:rFonts w:ascii="宋体" w:hAnsi="宋体" w:cs="宋体"/>
          <w:color w:val="000000"/>
          <w:sz w:val="24"/>
        </w:rPr>
      </w:pPr>
    </w:p>
    <w:p>
      <w:pPr>
        <w:widowControl/>
        <w:textAlignment w:val="bottom"/>
        <w:rPr>
          <w:rFonts w:ascii="宋体" w:hAnsi="宋体" w:cs="宋体"/>
          <w:color w:val="000000"/>
          <w:sz w:val="24"/>
          <w:u w:val="single"/>
        </w:rPr>
      </w:pPr>
      <w:r>
        <w:rPr>
          <w:rFonts w:ascii="宋体" w:hAnsi="宋体" w:cs="宋体"/>
          <w:color w:val="000000"/>
          <w:kern w:val="0"/>
          <w:sz w:val="24"/>
        </w:rPr>
        <w:t xml:space="preserve">      （大写) ：</w:t>
      </w:r>
    </w:p>
    <w:p>
      <w:pPr>
        <w:widowControl/>
        <w:jc w:val="left"/>
        <w:textAlignment w:val="bottom"/>
        <w:rPr>
          <w:rFonts w:ascii="宋体" w:hAnsi="宋体" w:cs="宋体"/>
          <w:color w:val="000000"/>
          <w:sz w:val="24"/>
        </w:rPr>
      </w:pP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投  标  人：</w:t>
      </w:r>
    </w:p>
    <w:p>
      <w:pPr>
        <w:widowControl/>
        <w:jc w:val="center"/>
        <w:textAlignment w:val="center"/>
        <w:rPr>
          <w:rFonts w:ascii="宋体" w:hAnsi="宋体" w:cs="宋体"/>
          <w:color w:val="000000"/>
          <w:sz w:val="24"/>
        </w:rPr>
      </w:pPr>
      <w:r>
        <w:rPr>
          <w:rFonts w:ascii="宋体" w:hAnsi="宋体" w:cs="宋体"/>
          <w:color w:val="000000"/>
          <w:kern w:val="0"/>
          <w:sz w:val="24"/>
        </w:rPr>
        <w:t>(单位盖章)</w:t>
      </w:r>
    </w:p>
    <w:p>
      <w:pPr>
        <w:rPr>
          <w:rFonts w:ascii="宋体" w:hAnsi="宋体" w:cs="宋体"/>
          <w:color w:val="000000"/>
          <w:sz w:val="24"/>
        </w:rPr>
      </w:pPr>
    </w:p>
    <w:p>
      <w:pPr>
        <w:rPr>
          <w:rFonts w:ascii="宋体" w:hAnsi="宋体" w:cs="宋体"/>
          <w:color w:val="000000"/>
          <w:sz w:val="24"/>
        </w:rPr>
      </w:pPr>
    </w:p>
    <w:p>
      <w:pPr>
        <w:widowControl/>
        <w:jc w:val="left"/>
        <w:textAlignment w:val="bottom"/>
        <w:rPr>
          <w:rFonts w:ascii="宋体" w:hAnsi="宋体" w:cs="宋体"/>
          <w:color w:val="000000"/>
          <w:kern w:val="0"/>
          <w:sz w:val="24"/>
        </w:rPr>
      </w:pPr>
      <w:r>
        <w:rPr>
          <w:rFonts w:ascii="宋体" w:hAnsi="宋体" w:cs="宋体"/>
          <w:color w:val="000000"/>
          <w:kern w:val="0"/>
          <w:sz w:val="24"/>
        </w:rPr>
        <w:t xml:space="preserve">         法定代表人 </w:t>
      </w: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或其授权人：</w:t>
      </w:r>
    </w:p>
    <w:p>
      <w:pPr>
        <w:widowControl/>
        <w:jc w:val="center"/>
        <w:textAlignment w:val="center"/>
        <w:rPr>
          <w:rFonts w:ascii="宋体" w:hAnsi="宋体" w:cs="宋体"/>
          <w:color w:val="000000"/>
          <w:sz w:val="24"/>
        </w:rPr>
      </w:pPr>
      <w:r>
        <w:rPr>
          <w:rFonts w:ascii="宋体" w:hAnsi="宋体" w:cs="宋体"/>
          <w:color w:val="000000"/>
          <w:kern w:val="0"/>
          <w:sz w:val="24"/>
        </w:rPr>
        <w:t>(签字或盖章)</w:t>
      </w:r>
    </w:p>
    <w:p>
      <w:pPr>
        <w:rPr>
          <w:rFonts w:ascii="宋体" w:hAnsi="宋体" w:cs="宋体"/>
          <w:color w:val="000000"/>
          <w:sz w:val="24"/>
        </w:rPr>
      </w:pPr>
    </w:p>
    <w:p>
      <w:pPr>
        <w:rPr>
          <w:rFonts w:ascii="宋体" w:hAnsi="宋体" w:cs="宋体"/>
          <w:color w:val="000000"/>
          <w:sz w:val="24"/>
        </w:rPr>
      </w:pPr>
    </w:p>
    <w:p>
      <w:pPr>
        <w:widowControl/>
        <w:jc w:val="left"/>
        <w:textAlignment w:val="bottom"/>
        <w:rPr>
          <w:rFonts w:ascii="宋体" w:hAnsi="宋体" w:cs="宋体"/>
          <w:color w:val="000000"/>
          <w:sz w:val="24"/>
          <w:u w:val="single"/>
        </w:rPr>
      </w:pPr>
      <w:r>
        <w:rPr>
          <w:rFonts w:ascii="宋体" w:hAnsi="宋体" w:cs="宋体"/>
          <w:color w:val="000000"/>
          <w:kern w:val="0"/>
          <w:sz w:val="24"/>
        </w:rPr>
        <w:t xml:space="preserve">         编  制  人：</w:t>
      </w:r>
    </w:p>
    <w:p>
      <w:pPr>
        <w:widowControl/>
        <w:jc w:val="center"/>
        <w:textAlignment w:val="center"/>
        <w:rPr>
          <w:rFonts w:ascii="宋体" w:hAnsi="宋体" w:cs="宋体"/>
          <w:color w:val="000000"/>
          <w:sz w:val="24"/>
        </w:rPr>
      </w:pPr>
      <w:r>
        <w:rPr>
          <w:rFonts w:ascii="宋体" w:hAnsi="宋体" w:cs="宋体"/>
          <w:color w:val="000000"/>
          <w:kern w:val="0"/>
          <w:sz w:val="24"/>
        </w:rPr>
        <w:t>(</w:t>
      </w:r>
      <w:r>
        <w:rPr>
          <w:rFonts w:hint="eastAsia" w:ascii="宋体" w:hAnsi="宋体" w:cs="宋体"/>
          <w:color w:val="000000"/>
          <w:kern w:val="0"/>
          <w:sz w:val="24"/>
        </w:rPr>
        <w:t>造价工程师</w:t>
      </w:r>
      <w:r>
        <w:rPr>
          <w:rFonts w:ascii="宋体" w:hAnsi="宋体" w:cs="宋体"/>
          <w:color w:val="000000"/>
          <w:kern w:val="0"/>
          <w:sz w:val="24"/>
        </w:rPr>
        <w:t>签字</w:t>
      </w:r>
      <w:r>
        <w:rPr>
          <w:rFonts w:hint="eastAsia" w:ascii="宋体" w:hAnsi="宋体" w:cs="宋体"/>
          <w:color w:val="000000"/>
          <w:kern w:val="0"/>
          <w:sz w:val="24"/>
        </w:rPr>
        <w:t>并</w:t>
      </w:r>
      <w:r>
        <w:rPr>
          <w:rFonts w:ascii="宋体" w:hAnsi="宋体" w:cs="宋体"/>
          <w:color w:val="000000"/>
          <w:kern w:val="0"/>
          <w:sz w:val="24"/>
        </w:rPr>
        <w:t>盖专用章)</w:t>
      </w:r>
    </w:p>
    <w:p>
      <w:pPr>
        <w:rPr>
          <w:rFonts w:ascii="宋体" w:hAnsi="宋体" w:cs="宋体"/>
          <w:color w:val="000000"/>
          <w:sz w:val="24"/>
        </w:rPr>
      </w:pPr>
    </w:p>
    <w:p>
      <w:pPr>
        <w:rPr>
          <w:rFonts w:ascii="宋体" w:hAnsi="宋体" w:cs="宋体"/>
          <w:color w:val="000000"/>
          <w:sz w:val="24"/>
        </w:rPr>
      </w:pPr>
    </w:p>
    <w:p>
      <w:pPr>
        <w:widowControl/>
        <w:jc w:val="left"/>
        <w:textAlignment w:val="bottom"/>
        <w:rPr>
          <w:rFonts w:ascii="宋体" w:hAnsi="宋体" w:cs="宋体"/>
          <w:color w:val="000000"/>
          <w:sz w:val="24"/>
        </w:rPr>
      </w:pPr>
      <w:r>
        <w:rPr>
          <w:rFonts w:ascii="宋体" w:hAnsi="宋体" w:cs="宋体"/>
          <w:color w:val="000000"/>
          <w:kern w:val="0"/>
          <w:sz w:val="24"/>
        </w:rPr>
        <w:t xml:space="preserve">         时      间：         年     月     日</w:t>
      </w:r>
    </w:p>
    <w:p>
      <w:pPr>
        <w:rPr>
          <w:rFonts w:ascii="宋体" w:hAnsi="宋体" w:cs="宋体"/>
          <w:color w:val="000000"/>
          <w:sz w:val="24"/>
        </w:rPr>
      </w:pPr>
    </w:p>
    <w:p>
      <w:pPr>
        <w:rPr>
          <w:color w:val="000000"/>
        </w:rPr>
      </w:pPr>
    </w:p>
    <w:p>
      <w:pPr>
        <w:rPr>
          <w:color w:val="000000"/>
        </w:rPr>
      </w:pPr>
    </w:p>
    <w:p>
      <w:pPr>
        <w:rPr>
          <w:color w:val="000000"/>
        </w:rPr>
        <w:sectPr>
          <w:pgSz w:w="11906" w:h="16838"/>
          <w:pgMar w:top="850" w:right="1134" w:bottom="850" w:left="1134" w:header="851" w:footer="992" w:gutter="0"/>
          <w:cols w:space="720" w:num="1"/>
          <w:docGrid w:type="lines" w:linePitch="312" w:charSpace="0"/>
        </w:sectPr>
      </w:pPr>
    </w:p>
    <w:p>
      <w:pPr>
        <w:rPr>
          <w:color w:val="000000"/>
        </w:rPr>
      </w:pPr>
      <w:r>
        <w:rPr>
          <w:rFonts w:hint="eastAsia" w:ascii="黑体" w:hAnsi="黑体" w:eastAsia="黑体"/>
          <w:sz w:val="30"/>
          <w:szCs w:val="30"/>
        </w:rPr>
        <w:t>附录C  工程计价总说明</w:t>
      </w:r>
    </w:p>
    <w:tbl>
      <w:tblPr>
        <w:tblStyle w:val="42"/>
        <w:tblW w:w="9749" w:type="dxa"/>
        <w:jc w:val="center"/>
        <w:tblInd w:w="0" w:type="dxa"/>
        <w:tblLayout w:type="fixed"/>
        <w:tblCellMar>
          <w:top w:w="15" w:type="dxa"/>
          <w:left w:w="15" w:type="dxa"/>
          <w:bottom w:w="15" w:type="dxa"/>
          <w:right w:w="15" w:type="dxa"/>
        </w:tblCellMar>
      </w:tblPr>
      <w:tblGrid>
        <w:gridCol w:w="9749"/>
      </w:tblGrid>
      <w:tr>
        <w:tblPrEx>
          <w:tblLayout w:type="fixed"/>
        </w:tblPrEx>
        <w:trPr>
          <w:trHeight w:val="960" w:hRule="atLeast"/>
          <w:jc w:val="center"/>
        </w:trPr>
        <w:tc>
          <w:tcPr>
            <w:tcW w:w="9749" w:type="dxa"/>
            <w:shd w:val="clear" w:color="auto" w:fill="FFFFFF"/>
            <w:vAlign w:val="center"/>
          </w:tcPr>
          <w:p>
            <w:pPr>
              <w:widowControl/>
              <w:jc w:val="center"/>
              <w:textAlignment w:val="center"/>
              <w:rPr>
                <w:rFonts w:ascii="宋体" w:hAnsi="宋体" w:cs="宋体"/>
                <w:b/>
                <w:color w:val="000000"/>
                <w:sz w:val="30"/>
                <w:szCs w:val="30"/>
              </w:rPr>
            </w:pPr>
            <w:r>
              <w:rPr>
                <w:rFonts w:hint="eastAsia" w:ascii="宋体" w:hAnsi="宋体" w:cs="宋体"/>
                <w:b/>
                <w:color w:val="000000"/>
                <w:kern w:val="0"/>
                <w:sz w:val="30"/>
                <w:szCs w:val="30"/>
              </w:rPr>
              <w:t>总说明</w:t>
            </w:r>
          </w:p>
        </w:tc>
      </w:tr>
    </w:tbl>
    <w:p>
      <w:pPr>
        <w:widowControl/>
        <w:jc w:val="left"/>
        <w:textAlignment w:val="center"/>
        <w:rPr>
          <w:rFonts w:ascii="宋体" w:hAnsi="宋体" w:cs="宋体"/>
          <w:color w:val="000000"/>
          <w:sz w:val="24"/>
        </w:rPr>
      </w:pPr>
      <w:r>
        <w:rPr>
          <w:rFonts w:hint="eastAsia" w:ascii="宋体" w:hAnsi="宋体" w:cs="宋体"/>
          <w:color w:val="000000"/>
          <w:kern w:val="0"/>
          <w:sz w:val="24"/>
        </w:rPr>
        <w:t>工程名称：第页共页</w:t>
      </w:r>
    </w:p>
    <w:tbl>
      <w:tblPr>
        <w:tblStyle w:val="42"/>
        <w:tblW w:w="99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2" w:hRule="atLeast"/>
          <w:jc w:val="center"/>
        </w:trPr>
        <w:tc>
          <w:tcPr>
            <w:tcW w:w="9971" w:type="dxa"/>
          </w:tcPr>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rFonts w:ascii="宋体" w:hAnsi="宋体" w:cs="宋体"/>
                <w:color w:val="000000"/>
                <w:sz w:val="18"/>
                <w:szCs w:val="18"/>
              </w:rPr>
            </w:pPr>
          </w:p>
          <w:p>
            <w:pPr>
              <w:ind w:left="15"/>
              <w:rPr>
                <w:color w:val="000000"/>
              </w:rPr>
            </w:pPr>
          </w:p>
          <w:p>
            <w:pPr>
              <w:ind w:left="15"/>
              <w:rPr>
                <w:color w:val="000000"/>
              </w:rPr>
            </w:pPr>
          </w:p>
          <w:p>
            <w:pPr>
              <w:ind w:left="15"/>
              <w:rPr>
                <w:color w:val="000000"/>
              </w:rPr>
            </w:pPr>
          </w:p>
          <w:p>
            <w:pPr>
              <w:ind w:left="15"/>
              <w:rPr>
                <w:color w:val="000000"/>
              </w:rPr>
            </w:pPr>
          </w:p>
          <w:p>
            <w:pPr>
              <w:ind w:left="15"/>
              <w:rPr>
                <w:rFonts w:ascii="宋体" w:hAnsi="宋体" w:cs="宋体"/>
                <w:color w:val="000000"/>
                <w:sz w:val="18"/>
                <w:szCs w:val="18"/>
              </w:rPr>
            </w:pPr>
          </w:p>
        </w:tc>
      </w:tr>
    </w:tbl>
    <w:p>
      <w:pPr>
        <w:widowControl/>
        <w:textAlignment w:val="center"/>
        <w:rPr>
          <w:rFonts w:ascii="宋体" w:hAnsi="宋体" w:cs="宋体"/>
          <w:color w:val="000000"/>
          <w:kern w:val="0"/>
          <w:szCs w:val="21"/>
        </w:rPr>
      </w:pPr>
      <w:r>
        <w:rPr>
          <w:rFonts w:hint="eastAsia" w:ascii="宋体" w:hAnsi="宋体" w:cs="宋体"/>
          <w:color w:val="000000"/>
          <w:kern w:val="0"/>
          <w:szCs w:val="21"/>
        </w:rPr>
        <w:t>投标人：（单位签章）</w:t>
      </w:r>
    </w:p>
    <w:p>
      <w:pPr>
        <w:widowControl/>
        <w:textAlignment w:val="center"/>
        <w:rPr>
          <w:rFonts w:ascii="宋体" w:hAnsi="宋体" w:cs="宋体"/>
          <w:color w:val="000000"/>
          <w:kern w:val="0"/>
          <w:szCs w:val="21"/>
        </w:rPr>
      </w:pPr>
      <w:r>
        <w:rPr>
          <w:rFonts w:hint="eastAsia" w:ascii="宋体" w:hAnsi="宋体" w:cs="宋体"/>
          <w:color w:val="000000"/>
          <w:kern w:val="0"/>
          <w:szCs w:val="21"/>
        </w:rPr>
        <w:t>法定代表人：（签字或盖章）</w:t>
      </w:r>
    </w:p>
    <w:p>
      <w:pPr>
        <w:widowControl/>
        <w:textAlignment w:val="center"/>
        <w:rPr>
          <w:rFonts w:ascii="宋体" w:hAnsi="宋体" w:cs="宋体"/>
          <w:b/>
          <w:color w:val="000000"/>
          <w:kern w:val="0"/>
          <w:sz w:val="30"/>
          <w:szCs w:val="30"/>
        </w:rPr>
      </w:pPr>
      <w:r>
        <w:rPr>
          <w:rFonts w:hint="eastAsia" w:ascii="宋体" w:hAnsi="宋体" w:cs="宋体"/>
          <w:color w:val="000000"/>
          <w:kern w:val="0"/>
          <w:szCs w:val="21"/>
        </w:rPr>
        <w:t>编制人：（造价工程师签字并盖专用章）</w:t>
      </w:r>
    </w:p>
    <w:p>
      <w:pPr>
        <w:widowControl/>
        <w:textAlignment w:val="center"/>
        <w:rPr>
          <w:rFonts w:ascii="宋体" w:hAnsi="宋体" w:cs="宋体"/>
          <w:color w:val="000000"/>
          <w:kern w:val="0"/>
          <w:szCs w:val="21"/>
        </w:rPr>
      </w:pPr>
    </w:p>
    <w:p>
      <w:pPr>
        <w:widowControl/>
        <w:textAlignment w:val="center"/>
        <w:rPr>
          <w:rFonts w:ascii="宋体" w:hAnsi="宋体" w:cs="宋体"/>
          <w:color w:val="000000"/>
          <w:kern w:val="0"/>
          <w:szCs w:val="21"/>
        </w:rPr>
      </w:pPr>
    </w:p>
    <w:p>
      <w:pPr>
        <w:widowControl/>
        <w:textAlignment w:val="center"/>
        <w:rPr>
          <w:rFonts w:ascii="宋体" w:hAnsi="宋体" w:cs="宋体"/>
          <w:color w:val="000000"/>
          <w:kern w:val="0"/>
          <w:szCs w:val="21"/>
        </w:rPr>
      </w:pPr>
    </w:p>
    <w:p>
      <w:pPr>
        <w:widowControl/>
        <w:textAlignment w:val="center"/>
        <w:rPr>
          <w:rFonts w:ascii="宋体" w:hAnsi="宋体" w:cs="宋体"/>
          <w:color w:val="000000"/>
          <w:kern w:val="0"/>
          <w:szCs w:val="21"/>
        </w:rPr>
      </w:pPr>
    </w:p>
    <w:p>
      <w:pPr>
        <w:widowControl/>
        <w:textAlignment w:val="center"/>
        <w:rPr>
          <w:rFonts w:ascii="宋体" w:hAnsi="宋体" w:cs="宋体"/>
          <w:color w:val="000000"/>
          <w:kern w:val="0"/>
          <w:szCs w:val="21"/>
        </w:rPr>
        <w:sectPr>
          <w:footerReference r:id="rId13" w:type="even"/>
          <w:pgSz w:w="11906" w:h="16838"/>
          <w:pgMar w:top="851" w:right="1797" w:bottom="851" w:left="1797" w:header="851" w:footer="992" w:gutter="0"/>
          <w:cols w:space="720" w:num="1"/>
          <w:docGrid w:type="lines" w:linePitch="312" w:charSpace="0"/>
        </w:sectPr>
      </w:pPr>
    </w:p>
    <w:p>
      <w:pPr>
        <w:jc w:val="center"/>
        <w:rPr>
          <w:rFonts w:ascii="黑体" w:hAnsi="黑体" w:eastAsia="黑体"/>
          <w:sz w:val="30"/>
          <w:szCs w:val="30"/>
        </w:rPr>
      </w:pPr>
      <w:r>
        <w:rPr>
          <w:rFonts w:hint="eastAsia" w:ascii="黑体" w:hAnsi="黑体" w:eastAsia="黑体"/>
          <w:sz w:val="30"/>
          <w:szCs w:val="30"/>
        </w:rPr>
        <w:t>附录D  工程计价汇总表</w:t>
      </w:r>
    </w:p>
    <w:p>
      <w:pPr>
        <w:jc w:val="center"/>
      </w:pPr>
      <w:r>
        <w:rPr>
          <w:rFonts w:hint="eastAsia" w:ascii="黑体" w:hAnsi="黑体" w:eastAsia="黑体"/>
          <w:sz w:val="28"/>
          <w:szCs w:val="28"/>
        </w:rPr>
        <w:t>D.1  建设项目（单项工程）工程造价汇总表</w:t>
      </w:r>
    </w:p>
    <w:p>
      <w:pPr>
        <w:jc w:val="center"/>
        <w:rPr>
          <w:rFonts w:ascii="黑体" w:hAnsi="黑体" w:eastAsia="黑体"/>
          <w:sz w:val="28"/>
          <w:szCs w:val="28"/>
        </w:rPr>
      </w:pPr>
      <w:r>
        <w:rPr>
          <w:rFonts w:hint="eastAsia" w:ascii="黑体" w:hAnsi="黑体" w:eastAsia="黑体"/>
          <w:sz w:val="28"/>
          <w:szCs w:val="28"/>
        </w:rPr>
        <w:t>（一般计税法）</w:t>
      </w:r>
    </w:p>
    <w:tbl>
      <w:tblPr>
        <w:tblStyle w:val="42"/>
        <w:tblW w:w="15280" w:type="dxa"/>
        <w:jc w:val="center"/>
        <w:tblInd w:w="0" w:type="dxa"/>
        <w:tblLayout w:type="fixed"/>
        <w:tblCellMar>
          <w:top w:w="0" w:type="dxa"/>
          <w:left w:w="0" w:type="dxa"/>
          <w:bottom w:w="0" w:type="dxa"/>
          <w:right w:w="0" w:type="dxa"/>
        </w:tblCellMar>
      </w:tblPr>
      <w:tblGrid>
        <w:gridCol w:w="533"/>
        <w:gridCol w:w="1981"/>
        <w:gridCol w:w="1477"/>
        <w:gridCol w:w="1572"/>
        <w:gridCol w:w="1041"/>
        <w:gridCol w:w="1042"/>
        <w:gridCol w:w="590"/>
        <w:gridCol w:w="503"/>
        <w:gridCol w:w="990"/>
        <w:gridCol w:w="1042"/>
        <w:gridCol w:w="1043"/>
        <w:gridCol w:w="1078"/>
        <w:gridCol w:w="77"/>
        <w:gridCol w:w="1156"/>
        <w:gridCol w:w="1155"/>
      </w:tblGrid>
      <w:tr>
        <w:tblPrEx>
          <w:tblLayout w:type="fixed"/>
          <w:tblCellMar>
            <w:top w:w="0" w:type="dxa"/>
            <w:left w:w="0" w:type="dxa"/>
            <w:bottom w:w="0" w:type="dxa"/>
            <w:right w:w="0" w:type="dxa"/>
          </w:tblCellMar>
        </w:tblPrEx>
        <w:trPr>
          <w:trHeight w:val="90" w:hRule="atLeast"/>
          <w:jc w:val="center"/>
        </w:trPr>
        <w:tc>
          <w:tcPr>
            <w:tcW w:w="2514" w:type="dxa"/>
            <w:gridSpan w:val="2"/>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工程名称：</w:t>
            </w:r>
          </w:p>
        </w:tc>
        <w:tc>
          <w:tcPr>
            <w:tcW w:w="5722" w:type="dxa"/>
            <w:gridSpan w:val="5"/>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xml:space="preserve">标段:    </w:t>
            </w:r>
          </w:p>
        </w:tc>
        <w:tc>
          <w:tcPr>
            <w:tcW w:w="3578" w:type="dxa"/>
            <w:gridSpan w:val="4"/>
            <w:tcBorders>
              <w:top w:val="nil"/>
              <w:left w:val="nil"/>
              <w:bottom w:val="single" w:color="auto" w:sz="8" w:space="0"/>
              <w:right w:val="nil"/>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p>
        </w:tc>
        <w:tc>
          <w:tcPr>
            <w:tcW w:w="1078" w:type="dxa"/>
            <w:tcBorders>
              <w:top w:val="nil"/>
              <w:left w:val="nil"/>
              <w:bottom w:val="single" w:color="auto" w:sz="8" w:space="0"/>
              <w:right w:val="nil"/>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2388" w:type="dxa"/>
            <w:gridSpan w:val="3"/>
            <w:tcBorders>
              <w:top w:val="nil"/>
              <w:left w:val="nil"/>
              <w:bottom w:val="single" w:color="auto" w:sz="8" w:space="0"/>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第   页 共   页</w:t>
            </w:r>
          </w:p>
        </w:tc>
      </w:tr>
      <w:tr>
        <w:tblPrEx>
          <w:tblLayout w:type="fixed"/>
          <w:tblCellMar>
            <w:top w:w="0" w:type="dxa"/>
            <w:left w:w="0" w:type="dxa"/>
            <w:bottom w:w="0" w:type="dxa"/>
            <w:right w:w="0" w:type="dxa"/>
          </w:tblCellMar>
        </w:tblPrEx>
        <w:trPr>
          <w:trHeight w:val="90" w:hRule="atLeast"/>
          <w:jc w:val="center"/>
        </w:trPr>
        <w:tc>
          <w:tcPr>
            <w:tcW w:w="533"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序号</w:t>
            </w:r>
          </w:p>
        </w:tc>
        <w:tc>
          <w:tcPr>
            <w:tcW w:w="1981"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单项工程名称</w:t>
            </w:r>
          </w:p>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（单位工程名称</w:t>
            </w:r>
            <w:r>
              <w:rPr>
                <w:rFonts w:ascii="宋体" w:hAnsi="宋体" w:cs="宋体"/>
                <w:color w:val="000000"/>
                <w:kern w:val="0"/>
                <w:szCs w:val="21"/>
              </w:rPr>
              <w:t>）</w:t>
            </w:r>
          </w:p>
        </w:tc>
        <w:tc>
          <w:tcPr>
            <w:tcW w:w="1477"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建安工程造价</w:t>
            </w:r>
            <w:r>
              <w:rPr>
                <w:rFonts w:hint="eastAsia" w:ascii="宋体" w:hAnsi="宋体" w:cs="宋体"/>
                <w:color w:val="000000"/>
                <w:kern w:val="0"/>
                <w:szCs w:val="21"/>
              </w:rPr>
              <w:br w:type="textWrapping"/>
            </w:r>
            <w:r>
              <w:rPr>
                <w:rFonts w:hint="eastAsia" w:ascii="宋体" w:hAnsi="宋体" w:cs="宋体"/>
                <w:color w:val="000000"/>
                <w:kern w:val="0"/>
                <w:szCs w:val="21"/>
              </w:rPr>
              <w:t>（元）</w:t>
            </w:r>
          </w:p>
        </w:tc>
        <w:tc>
          <w:tcPr>
            <w:tcW w:w="1572" w:type="dxa"/>
            <w:vMerge w:val="restart"/>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 xml:space="preserve"> 直接费用（元）（包括分部分项工程费和能计量的措施项目费）</w:t>
            </w:r>
          </w:p>
        </w:tc>
        <w:tc>
          <w:tcPr>
            <w:tcW w:w="6251" w:type="dxa"/>
            <w:gridSpan w:val="7"/>
            <w:tcBorders>
              <w:top w:val="single" w:color="auto" w:sz="8" w:space="0"/>
              <w:left w:val="nil"/>
              <w:bottom w:val="single" w:color="auto" w:sz="8" w:space="0"/>
              <w:right w:val="nil"/>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费用和利润（元）</w:t>
            </w:r>
          </w:p>
        </w:tc>
        <w:tc>
          <w:tcPr>
            <w:tcW w:w="1155" w:type="dxa"/>
            <w:gridSpan w:val="2"/>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销项税额（元）</w:t>
            </w:r>
          </w:p>
        </w:tc>
        <w:tc>
          <w:tcPr>
            <w:tcW w:w="1156"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附加税费（元）</w:t>
            </w:r>
          </w:p>
        </w:tc>
        <w:tc>
          <w:tcPr>
            <w:tcW w:w="1155" w:type="dxa"/>
            <w:vMerge w:val="restart"/>
            <w:tcBorders>
              <w:top w:val="single" w:color="auto" w:sz="8" w:space="0"/>
              <w:left w:val="single" w:color="auto" w:sz="8" w:space="0"/>
              <w:bottom w:val="single" w:color="000000"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其他项目费（元）</w:t>
            </w:r>
          </w:p>
        </w:tc>
      </w:tr>
      <w:tr>
        <w:tblPrEx>
          <w:tblLayout w:type="fixed"/>
          <w:tblCellMar>
            <w:top w:w="0" w:type="dxa"/>
            <w:left w:w="0" w:type="dxa"/>
            <w:bottom w:w="0" w:type="dxa"/>
            <w:right w:w="0" w:type="dxa"/>
          </w:tblCellMar>
        </w:tblPrEx>
        <w:trPr>
          <w:trHeight w:val="90" w:hRule="atLeast"/>
          <w:jc w:val="center"/>
        </w:trPr>
        <w:tc>
          <w:tcPr>
            <w:tcW w:w="53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981"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477"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572"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0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管理费</w:t>
            </w:r>
          </w:p>
        </w:tc>
        <w:tc>
          <w:tcPr>
            <w:tcW w:w="104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利润</w:t>
            </w:r>
          </w:p>
        </w:tc>
        <w:tc>
          <w:tcPr>
            <w:tcW w:w="1093"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kern w:val="0"/>
                <w:szCs w:val="21"/>
              </w:rPr>
              <w:t>总价措施项目费</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其中：安全文明施工费</w:t>
            </w:r>
          </w:p>
        </w:tc>
        <w:tc>
          <w:tcPr>
            <w:tcW w:w="1042"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规 费</w:t>
            </w:r>
          </w:p>
        </w:tc>
        <w:tc>
          <w:tcPr>
            <w:tcW w:w="1043" w:type="dxa"/>
            <w:tcBorders>
              <w:top w:val="nil"/>
              <w:left w:val="single" w:color="auto" w:sz="4" w:space="0"/>
              <w:bottom w:val="single" w:color="auto" w:sz="8" w:space="0"/>
              <w:right w:val="nil"/>
            </w:tcBorders>
            <w:vAlign w:val="center"/>
          </w:tcPr>
          <w:p>
            <w:pPr>
              <w:widowControl/>
              <w:spacing w:before="100" w:beforeAutospacing="1" w:after="100" w:afterAutospacing="1"/>
              <w:rPr>
                <w:rFonts w:ascii="宋体" w:hAnsi="宋体" w:cs="宋体"/>
                <w:kern w:val="0"/>
                <w:szCs w:val="21"/>
              </w:rPr>
            </w:pPr>
            <w:r>
              <w:rPr>
                <w:rFonts w:hint="eastAsia" w:ascii="宋体" w:hAnsi="宋体" w:cs="宋体"/>
                <w:kern w:val="0"/>
                <w:szCs w:val="21"/>
              </w:rPr>
              <w:t>其中：社会保险费</w:t>
            </w:r>
          </w:p>
        </w:tc>
        <w:tc>
          <w:tcPr>
            <w:tcW w:w="1155"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156"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155"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宋体" w:hAnsi="宋体" w:cs="宋体"/>
                <w:kern w:val="0"/>
                <w:szCs w:val="21"/>
              </w:rPr>
            </w:pP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Cs w:val="21"/>
              </w:rPr>
            </w:pPr>
            <w:r>
              <w:rPr>
                <w:rFonts w:hint="eastAsia" w:ascii="宋体" w:hAnsi="宋体" w:cs="宋体"/>
                <w:color w:val="000000"/>
                <w:kern w:val="0"/>
                <w:szCs w:val="21"/>
              </w:rPr>
              <w:t>　</w:t>
            </w: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Cs w:val="21"/>
              </w:rPr>
            </w:pP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90" w:hRule="atLeast"/>
          <w:jc w:val="center"/>
        </w:trPr>
        <w:tc>
          <w:tcPr>
            <w:tcW w:w="533" w:type="dxa"/>
            <w:tcBorders>
              <w:top w:val="nil"/>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98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7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nil"/>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2514"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本页合计</w:t>
            </w:r>
          </w:p>
        </w:tc>
        <w:tc>
          <w:tcPr>
            <w:tcW w:w="1477"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72"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1"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93" w:type="dxa"/>
            <w:gridSpan w:val="2"/>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90"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2" w:type="dxa"/>
            <w:tcBorders>
              <w:top w:val="single" w:color="auto" w:sz="8" w:space="0"/>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43" w:type="dxa"/>
            <w:tcBorders>
              <w:top w:val="single" w:color="auto" w:sz="8" w:space="0"/>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15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5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90" w:hRule="atLeast"/>
          <w:jc w:val="center"/>
        </w:trPr>
        <w:tc>
          <w:tcPr>
            <w:tcW w:w="2514"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累  计</w:t>
            </w:r>
          </w:p>
        </w:tc>
        <w:tc>
          <w:tcPr>
            <w:tcW w:w="1477"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572"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1"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2"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093" w:type="dxa"/>
            <w:gridSpan w:val="2"/>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990" w:type="dxa"/>
            <w:tcBorders>
              <w:top w:val="single" w:color="auto" w:sz="8"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042" w:type="dxa"/>
            <w:tcBorders>
              <w:top w:val="single" w:color="auto" w:sz="8" w:space="0"/>
              <w:left w:val="nil"/>
              <w:bottom w:val="single" w:color="auto" w:sz="8" w:space="0"/>
              <w:right w:val="single" w:color="auto" w:sz="4" w:space="0"/>
            </w:tcBorders>
            <w:vAlign w:val="center"/>
          </w:tcPr>
          <w:p>
            <w:pPr>
              <w:widowControl/>
              <w:spacing w:before="100" w:beforeAutospacing="1" w:after="100" w:afterAutospacing="1"/>
              <w:jc w:val="center"/>
              <w:rPr>
                <w:rFonts w:ascii="宋体" w:hAnsi="宋体" w:cs="宋体"/>
                <w:color w:val="000000"/>
                <w:kern w:val="0"/>
                <w:szCs w:val="21"/>
              </w:rPr>
            </w:pPr>
          </w:p>
        </w:tc>
        <w:tc>
          <w:tcPr>
            <w:tcW w:w="1043" w:type="dxa"/>
            <w:tcBorders>
              <w:top w:val="single" w:color="auto" w:sz="8" w:space="0"/>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15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15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155"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r>
    </w:tbl>
    <w:p>
      <w:pPr>
        <w:widowControl/>
        <w:textAlignment w:val="center"/>
        <w:rPr>
          <w:rFonts w:ascii="宋体" w:hAnsi="宋体" w:cs="宋体"/>
          <w:color w:val="000000"/>
          <w:kern w:val="0"/>
          <w:szCs w:val="21"/>
        </w:rPr>
      </w:pPr>
      <w:r>
        <w:rPr>
          <w:rFonts w:hint="eastAsia" w:ascii="宋体" w:hAnsi="宋体" w:cs="宋体"/>
          <w:color w:val="000000"/>
          <w:kern w:val="0"/>
          <w:szCs w:val="21"/>
        </w:rPr>
        <w:t>投标人：（单位签章）</w:t>
      </w:r>
    </w:p>
    <w:p>
      <w:pPr>
        <w:widowControl/>
        <w:textAlignment w:val="center"/>
        <w:rPr>
          <w:rFonts w:ascii="宋体" w:hAnsi="宋体" w:cs="宋体"/>
          <w:color w:val="000000"/>
          <w:kern w:val="0"/>
          <w:szCs w:val="21"/>
        </w:rPr>
      </w:pPr>
      <w:r>
        <w:rPr>
          <w:rFonts w:hint="eastAsia" w:ascii="宋体" w:hAnsi="宋体" w:cs="宋体"/>
          <w:color w:val="000000"/>
          <w:kern w:val="0"/>
          <w:szCs w:val="21"/>
        </w:rPr>
        <w:t>法定代表人：（签字或盖章）</w:t>
      </w:r>
    </w:p>
    <w:p>
      <w:pPr>
        <w:rPr>
          <w:rFonts w:ascii="宋体" w:hAnsi="宋体" w:cs="宋体"/>
          <w:color w:val="000000"/>
          <w:kern w:val="0"/>
          <w:szCs w:val="21"/>
        </w:rPr>
        <w:sectPr>
          <w:pgSz w:w="16838" w:h="11906" w:orient="landscape"/>
          <w:pgMar w:top="1418" w:right="1134" w:bottom="1418" w:left="1134" w:header="851" w:footer="992" w:gutter="0"/>
          <w:cols w:space="720" w:num="1"/>
          <w:docGrid w:type="lines" w:linePitch="312" w:charSpace="0"/>
        </w:sectPr>
      </w:pPr>
      <w:r>
        <w:rPr>
          <w:rFonts w:hint="eastAsia" w:ascii="宋体" w:hAnsi="宋体" w:cs="宋体"/>
          <w:color w:val="000000"/>
          <w:kern w:val="0"/>
          <w:szCs w:val="21"/>
        </w:rPr>
        <w:t>编制人：（造价工程师签字并盖专用章）</w:t>
      </w:r>
    </w:p>
    <w:tbl>
      <w:tblPr>
        <w:tblStyle w:val="42"/>
        <w:tblW w:w="9510" w:type="dxa"/>
        <w:jc w:val="center"/>
        <w:tblInd w:w="0" w:type="dxa"/>
        <w:tblLayout w:type="fixed"/>
        <w:tblCellMar>
          <w:top w:w="0" w:type="dxa"/>
          <w:left w:w="108" w:type="dxa"/>
          <w:bottom w:w="0" w:type="dxa"/>
          <w:right w:w="108" w:type="dxa"/>
        </w:tblCellMar>
      </w:tblPr>
      <w:tblGrid>
        <w:gridCol w:w="817"/>
        <w:gridCol w:w="2314"/>
        <w:gridCol w:w="2716"/>
        <w:gridCol w:w="992"/>
        <w:gridCol w:w="1111"/>
        <w:gridCol w:w="1560"/>
      </w:tblGrid>
      <w:tr>
        <w:tblPrEx>
          <w:tblLayout w:type="fixed"/>
          <w:tblCellMar>
            <w:top w:w="0" w:type="dxa"/>
            <w:left w:w="108" w:type="dxa"/>
            <w:bottom w:w="0" w:type="dxa"/>
            <w:right w:w="108" w:type="dxa"/>
          </w:tblCellMar>
        </w:tblPrEx>
        <w:trPr>
          <w:trHeight w:val="1121" w:hRule="atLeast"/>
          <w:jc w:val="center"/>
        </w:trPr>
        <w:tc>
          <w:tcPr>
            <w:tcW w:w="9510" w:type="dxa"/>
            <w:gridSpan w:val="6"/>
            <w:vAlign w:val="center"/>
          </w:tcPr>
          <w:p>
            <w:pPr>
              <w:widowControl/>
              <w:jc w:val="center"/>
              <w:rPr>
                <w:rFonts w:ascii="宋体" w:hAnsi="宋体" w:cs="宋体"/>
                <w:color w:val="000000"/>
                <w:kern w:val="0"/>
                <w:sz w:val="40"/>
                <w:szCs w:val="40"/>
              </w:rPr>
            </w:pPr>
            <w:r>
              <w:rPr>
                <w:rFonts w:hint="eastAsia" w:ascii="黑体" w:hAnsi="黑体" w:eastAsia="黑体" w:cs="宋体"/>
                <w:bCs/>
                <w:kern w:val="0"/>
                <w:sz w:val="28"/>
                <w:szCs w:val="28"/>
              </w:rPr>
              <w:t>D.3  单位工程费用计算表</w:t>
            </w:r>
            <w:r>
              <w:rPr>
                <w:rFonts w:hint="eastAsia" w:ascii="黑体" w:hAnsi="黑体" w:eastAsia="黑体" w:cs="宋体"/>
                <w:color w:val="000000"/>
                <w:kern w:val="0"/>
                <w:sz w:val="28"/>
                <w:szCs w:val="28"/>
              </w:rPr>
              <w:t>（一般计税法）</w:t>
            </w:r>
          </w:p>
        </w:tc>
      </w:tr>
      <w:tr>
        <w:tblPrEx>
          <w:tblLayout w:type="fixed"/>
          <w:tblCellMar>
            <w:top w:w="0" w:type="dxa"/>
            <w:left w:w="108" w:type="dxa"/>
            <w:bottom w:w="0" w:type="dxa"/>
            <w:right w:w="108" w:type="dxa"/>
          </w:tblCellMar>
        </w:tblPrEx>
        <w:trPr>
          <w:trHeight w:val="395" w:hRule="atLeast"/>
          <w:jc w:val="center"/>
        </w:trPr>
        <w:tc>
          <w:tcPr>
            <w:tcW w:w="6839" w:type="dxa"/>
            <w:gridSpan w:val="4"/>
            <w:tcBorders>
              <w:top w:val="nil"/>
              <w:left w:val="nil"/>
              <w:bottom w:val="single" w:color="000000" w:sz="4" w:space="0"/>
              <w:right w:val="nil"/>
            </w:tcBorders>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xml:space="preserve">工程名称：        标段：           单位工程名称：      </w:t>
            </w:r>
          </w:p>
        </w:tc>
        <w:tc>
          <w:tcPr>
            <w:tcW w:w="2671" w:type="dxa"/>
            <w:gridSpan w:val="2"/>
            <w:tcBorders>
              <w:top w:val="nil"/>
              <w:left w:val="nil"/>
              <w:bottom w:val="single" w:color="000000" w:sz="4" w:space="0"/>
              <w:right w:val="nil"/>
            </w:tcBorders>
            <w:vAlign w:val="center"/>
          </w:tcPr>
          <w:p>
            <w:pPr>
              <w:widowControl/>
              <w:jc w:val="right"/>
              <w:rPr>
                <w:rFonts w:ascii="宋体" w:hAnsi="宋体" w:cs="宋体"/>
                <w:color w:val="000000"/>
                <w:kern w:val="0"/>
                <w:szCs w:val="21"/>
              </w:rPr>
            </w:pPr>
            <w:r>
              <w:rPr>
                <w:rFonts w:hint="eastAsia" w:ascii="宋体" w:hAnsi="宋体" w:cs="宋体"/>
                <w:color w:val="000000"/>
                <w:kern w:val="0"/>
                <w:szCs w:val="21"/>
              </w:rPr>
              <w:t>第  页共  页</w:t>
            </w:r>
          </w:p>
        </w:tc>
      </w:tr>
      <w:tr>
        <w:tblPrEx>
          <w:tblLayout w:type="fixed"/>
          <w:tblCellMar>
            <w:top w:w="0" w:type="dxa"/>
            <w:left w:w="108" w:type="dxa"/>
            <w:bottom w:w="0" w:type="dxa"/>
            <w:right w:w="108" w:type="dxa"/>
          </w:tblCellMar>
        </w:tblPrEx>
        <w:trPr>
          <w:trHeight w:val="572"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工程内容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计费基础说明</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费率(%)</w:t>
            </w:r>
          </w:p>
        </w:tc>
        <w:tc>
          <w:tcPr>
            <w:tcW w:w="1111"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金额(元)</w:t>
            </w:r>
          </w:p>
        </w:tc>
        <w:tc>
          <w:tcPr>
            <w:tcW w:w="15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直接费用</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1.1+1.2+1.3</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B0F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B0F0"/>
                <w:kern w:val="0"/>
                <w:szCs w:val="21"/>
              </w:rPr>
            </w:pPr>
          </w:p>
        </w:tc>
        <w:tc>
          <w:tcPr>
            <w:tcW w:w="1560" w:type="dxa"/>
            <w:vMerge w:val="restart"/>
            <w:tcBorders>
              <w:top w:val="nil"/>
              <w:left w:val="nil"/>
              <w:right w:val="single" w:color="000000" w:sz="4" w:space="0"/>
            </w:tcBorders>
            <w:vAlign w:val="center"/>
          </w:tcPr>
          <w:p>
            <w:pPr>
              <w:widowControl/>
              <w:jc w:val="left"/>
              <w:rPr>
                <w:rFonts w:ascii="宋体" w:hAnsi="宋体" w:cs="宋体"/>
                <w:kern w:val="0"/>
                <w:szCs w:val="21"/>
              </w:rPr>
            </w:pPr>
            <w:r>
              <w:rPr>
                <w:rFonts w:hint="eastAsia" w:ascii="宋体" w:hAnsi="宋体" w:cs="宋体"/>
                <w:kern w:val="0"/>
                <w:szCs w:val="21"/>
              </w:rPr>
              <w:t>包括分部分项工程费和能计量的措施项目费</w:t>
            </w: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人工费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continue"/>
            <w:tcBorders>
              <w:left w:val="nil"/>
              <w:right w:val="single" w:color="000000"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其中：取费人工费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b/>
                <w:color w:val="0000FF"/>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continue"/>
            <w:tcBorders>
              <w:left w:val="nil"/>
              <w:right w:val="single" w:color="000000"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b/>
                <w:color w:val="0000FF"/>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continue"/>
            <w:tcBorders>
              <w:left w:val="nil"/>
              <w:right w:val="single" w:color="000000"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机械费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continue"/>
            <w:tcBorders>
              <w:left w:val="nil"/>
              <w:right w:val="single" w:color="000000" w:sz="4" w:space="0"/>
            </w:tcBorders>
            <w:vAlign w:val="center"/>
          </w:tcPr>
          <w:p>
            <w:pPr>
              <w:widowControl/>
              <w:jc w:val="left"/>
              <w:rPr>
                <w:rFonts w:ascii="宋体" w:hAnsi="宋体" w:cs="宋体"/>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bCs/>
                <w:kern w:val="0"/>
                <w:szCs w:val="21"/>
              </w:rPr>
            </w:pPr>
            <w:r>
              <w:rPr>
                <w:rFonts w:hint="eastAsia" w:ascii="宋体" w:hAnsi="宋体" w:cs="宋体"/>
                <w:color w:val="000000"/>
                <w:kern w:val="0"/>
                <w:szCs w:val="21"/>
              </w:rPr>
              <w:t>其中：</w:t>
            </w:r>
            <w:r>
              <w:rPr>
                <w:rFonts w:hint="eastAsia" w:ascii="宋体" w:hAnsi="宋体" w:cs="宋体"/>
                <w:bCs/>
                <w:kern w:val="0"/>
                <w:szCs w:val="21"/>
              </w:rPr>
              <w:t>取费机械费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b/>
                <w:color w:val="000000"/>
                <w:kern w:val="0"/>
                <w:szCs w:val="21"/>
              </w:rPr>
            </w:pPr>
          </w:p>
        </w:tc>
        <w:tc>
          <w:tcPr>
            <w:tcW w:w="1560" w:type="dxa"/>
            <w:vMerge w:val="continue"/>
            <w:tcBorders>
              <w:left w:val="nil"/>
              <w:bottom w:val="single" w:color="000000" w:sz="4" w:space="0"/>
              <w:right w:val="single" w:color="000000" w:sz="4" w:space="0"/>
            </w:tcBorders>
            <w:vAlign w:val="center"/>
          </w:tcPr>
          <w:p>
            <w:pPr>
              <w:widowControl/>
              <w:jc w:val="left"/>
              <w:rPr>
                <w:rFonts w:ascii="宋体" w:hAnsi="宋体" w:cs="宋体"/>
                <w:b/>
                <w:color w:val="0000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费用和利润</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2.1+2.2+2.3+2.4</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b/>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0000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管理费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1.1.1或1.1.1+1.3.1</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0000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利润</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1.1.1或1.1.1+1.3.1</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33CCCC"/>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总价措施项目费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restart"/>
            <w:tcBorders>
              <w:top w:val="nil"/>
              <w:left w:val="nil"/>
              <w:right w:val="single" w:color="000000" w:sz="4" w:space="0"/>
            </w:tcBorders>
            <w:vAlign w:val="center"/>
          </w:tcPr>
          <w:p>
            <w:pPr>
              <w:widowControl/>
              <w:spacing w:line="240" w:lineRule="exact"/>
              <w:jc w:val="left"/>
              <w:rPr>
                <w:rFonts w:ascii="宋体" w:hAnsi="宋体" w:cs="宋体"/>
                <w:kern w:val="0"/>
                <w:szCs w:val="21"/>
              </w:rPr>
            </w:pPr>
            <w:r>
              <w:rPr>
                <w:rFonts w:hint="eastAsia" w:ascii="宋体" w:hAnsi="宋体" w:cs="宋体"/>
                <w:kern w:val="0"/>
                <w:szCs w:val="21"/>
              </w:rPr>
              <w:t>按E.7总价措施项目清单计费表列项计算汇总本项</w:t>
            </w: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其中：安全文明施工费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vMerge w:val="continue"/>
            <w:tcBorders>
              <w:left w:val="nil"/>
              <w:bottom w:val="single" w:color="000000" w:sz="4" w:space="0"/>
              <w:right w:val="single" w:color="000000" w:sz="4" w:space="0"/>
            </w:tcBorders>
            <w:vAlign w:val="center"/>
          </w:tcPr>
          <w:p>
            <w:pPr>
              <w:widowControl/>
              <w:jc w:val="left"/>
              <w:rPr>
                <w:rFonts w:ascii="宋体" w:hAnsi="宋体" w:cs="宋体"/>
                <w:color w:val="33CCCC"/>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规费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2.4.1+2.4.2+2.4.3+2.4.4+2.4.5</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工程排污费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1+2.1+2.2+2.3</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3366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2.4.2</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职工教育和工会经费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1.1</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3366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2.4.3</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住房公积金</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1.1</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2.4.4</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安全生产责任险</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1+2.1+2.2+2.3</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ind w:right="255"/>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2.4.5</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社会保险费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1+2.1+2.2+2.3</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ind w:right="360"/>
              <w:jc w:val="center"/>
              <w:rPr>
                <w:rFonts w:ascii="宋体" w:hAnsi="宋体" w:cs="宋体"/>
                <w:b/>
                <w:color w:val="0000FF"/>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bCs/>
                <w:kern w:val="0"/>
                <w:szCs w:val="21"/>
              </w:rPr>
              <w:t>建安费用</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1+2</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销项税额</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3×税率</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附加税费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（3+4）×费率</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b/>
                <w:color w:val="0000FF"/>
                <w:kern w:val="0"/>
                <w:szCs w:val="21"/>
              </w:rPr>
            </w:pPr>
          </w:p>
        </w:tc>
      </w:tr>
      <w:tr>
        <w:tblPrEx>
          <w:tblLayout w:type="fixed"/>
          <w:tblCellMar>
            <w:top w:w="0" w:type="dxa"/>
            <w:left w:w="108" w:type="dxa"/>
            <w:bottom w:w="0" w:type="dxa"/>
            <w:right w:w="108" w:type="dxa"/>
          </w:tblCellMar>
        </w:tblPrEx>
        <w:trPr>
          <w:trHeight w:val="414" w:hRule="atLeast"/>
          <w:jc w:val="center"/>
        </w:trPr>
        <w:tc>
          <w:tcPr>
            <w:tcW w:w="817" w:type="dxa"/>
            <w:tcBorders>
              <w:top w:val="nil"/>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2314"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r>
              <w:rPr>
                <w:rFonts w:hint="eastAsia" w:ascii="宋体" w:hAnsi="宋体" w:cs="宋体"/>
                <w:kern w:val="0"/>
                <w:szCs w:val="21"/>
              </w:rPr>
              <w:t>其他项目费</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kern w:val="0"/>
                <w:szCs w:val="21"/>
              </w:rPr>
            </w:pPr>
          </w:p>
        </w:tc>
        <w:tc>
          <w:tcPr>
            <w:tcW w:w="1560" w:type="dxa"/>
            <w:tcBorders>
              <w:top w:val="nil"/>
              <w:left w:val="nil"/>
              <w:bottom w:val="single" w:color="auto" w:sz="4" w:space="0"/>
              <w:right w:val="single" w:color="000000" w:sz="4" w:space="0"/>
            </w:tcBorders>
            <w:vAlign w:val="center"/>
          </w:tcPr>
          <w:p>
            <w:pPr>
              <w:widowControl/>
              <w:spacing w:line="240" w:lineRule="exact"/>
              <w:jc w:val="left"/>
              <w:rPr>
                <w:rFonts w:ascii="宋体" w:hAnsi="宋体" w:cs="宋体"/>
                <w:kern w:val="0"/>
                <w:szCs w:val="21"/>
              </w:rPr>
            </w:pPr>
            <w:r>
              <w:rPr>
                <w:rFonts w:hint="eastAsia" w:ascii="宋体" w:hAnsi="宋体" w:cs="宋体"/>
                <w:kern w:val="0"/>
                <w:szCs w:val="21"/>
              </w:rPr>
              <w:t xml:space="preserve">详注3说明  </w:t>
            </w:r>
          </w:p>
        </w:tc>
      </w:tr>
      <w:tr>
        <w:tblPrEx>
          <w:tblLayout w:type="fixed"/>
          <w:tblCellMar>
            <w:top w:w="0" w:type="dxa"/>
            <w:left w:w="108" w:type="dxa"/>
            <w:bottom w:w="0" w:type="dxa"/>
            <w:right w:w="108" w:type="dxa"/>
          </w:tblCellMar>
        </w:tblPrEx>
        <w:trPr>
          <w:trHeight w:val="414" w:hRule="atLeast"/>
          <w:jc w:val="center"/>
        </w:trPr>
        <w:tc>
          <w:tcPr>
            <w:tcW w:w="313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建安工程造价</w:t>
            </w:r>
          </w:p>
        </w:tc>
        <w:tc>
          <w:tcPr>
            <w:tcW w:w="2716"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3+4+5+6</w:t>
            </w:r>
          </w:p>
        </w:tc>
        <w:tc>
          <w:tcPr>
            <w:tcW w:w="99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Cs w:val="21"/>
              </w:rPr>
            </w:pPr>
          </w:p>
        </w:tc>
        <w:tc>
          <w:tcPr>
            <w:tcW w:w="1111" w:type="dxa"/>
            <w:tcBorders>
              <w:top w:val="nil"/>
              <w:left w:val="nil"/>
              <w:bottom w:val="single" w:color="000000" w:sz="4" w:space="0"/>
              <w:right w:val="single" w:color="000000" w:sz="4" w:space="0"/>
            </w:tcBorders>
            <w:vAlign w:val="center"/>
          </w:tcPr>
          <w:p>
            <w:pPr>
              <w:widowControl/>
              <w:jc w:val="right"/>
              <w:rPr>
                <w:rFonts w:ascii="宋体" w:hAnsi="宋体" w:cs="宋体"/>
                <w:color w:val="000000"/>
                <w:kern w:val="0"/>
                <w:szCs w:val="21"/>
              </w:rPr>
            </w:pPr>
          </w:p>
        </w:tc>
        <w:tc>
          <w:tcPr>
            <w:tcW w:w="1560" w:type="dxa"/>
            <w:tcBorders>
              <w:top w:val="nil"/>
              <w:left w:val="nil"/>
              <w:bottom w:val="single" w:color="000000" w:sz="4" w:space="0"/>
              <w:right w:val="single" w:color="000000" w:sz="4" w:space="0"/>
            </w:tcBorders>
            <w:vAlign w:val="center"/>
          </w:tcPr>
          <w:p>
            <w:pPr>
              <w:widowControl/>
              <w:jc w:val="left"/>
              <w:rPr>
                <w:rFonts w:ascii="宋体" w:hAnsi="宋体" w:cs="宋体"/>
                <w:color w:val="000000"/>
                <w:kern w:val="0"/>
                <w:szCs w:val="21"/>
              </w:rPr>
            </w:pPr>
          </w:p>
        </w:tc>
      </w:tr>
      <w:tr>
        <w:tblPrEx>
          <w:tblLayout w:type="fixed"/>
          <w:tblCellMar>
            <w:top w:w="0" w:type="dxa"/>
            <w:left w:w="108" w:type="dxa"/>
            <w:bottom w:w="0" w:type="dxa"/>
            <w:right w:w="108" w:type="dxa"/>
          </w:tblCellMar>
        </w:tblPrEx>
        <w:trPr>
          <w:trHeight w:val="909" w:hRule="atLeast"/>
          <w:jc w:val="center"/>
        </w:trPr>
        <w:tc>
          <w:tcPr>
            <w:tcW w:w="9510" w:type="dxa"/>
            <w:gridSpan w:val="6"/>
            <w:tcBorders>
              <w:top w:val="single" w:color="000000" w:sz="4" w:space="0"/>
              <w:left w:val="nil"/>
              <w:bottom w:val="nil"/>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注：1.采用一般计税法时，材料、机械台班单价均执行除税单价。   2.建安费用=直接费用+费用和利润。</w:t>
            </w:r>
          </w:p>
          <w:p>
            <w:pPr>
              <w:widowControl/>
              <w:ind w:firstLine="360" w:firstLineChars="200"/>
              <w:jc w:val="left"/>
              <w:rPr>
                <w:rFonts w:ascii="宋体" w:hAnsi="宋体" w:cs="宋体"/>
                <w:kern w:val="0"/>
                <w:szCs w:val="21"/>
              </w:rPr>
            </w:pPr>
            <w:r>
              <w:rPr>
                <w:rFonts w:hint="eastAsia" w:ascii="宋体" w:hAnsi="宋体" w:cs="宋体"/>
                <w:kern w:val="0"/>
                <w:sz w:val="18"/>
                <w:szCs w:val="18"/>
              </w:rPr>
              <w:t>3.按附录F其他项目计价表列项计算汇总本项 (详F.1)。其中，材料（工程设备）暂估价进入直接费用与综合单价，此处不重复汇总。   4. 社会保险费包括养老保险费、失业保险费、医疗保险费、生育保险费和工伤保险费。</w:t>
            </w:r>
          </w:p>
        </w:tc>
      </w:tr>
    </w:tbl>
    <w:p>
      <w:pPr>
        <w:rPr>
          <w:color w:val="000000"/>
        </w:rPr>
      </w:pPr>
    </w:p>
    <w:p>
      <w:pPr>
        <w:spacing w:line="360" w:lineRule="auto"/>
        <w:rPr>
          <w:rFonts w:ascii="宋体" w:hAnsi="宋体" w:cs="宋体"/>
          <w:color w:val="000000"/>
        </w:rPr>
      </w:pPr>
      <w:r>
        <w:rPr>
          <w:rFonts w:hint="eastAsia" w:ascii="宋体" w:hAnsi="宋体" w:cs="宋体"/>
          <w:color w:val="000000"/>
        </w:rPr>
        <w:t xml:space="preserve">    投标人：                                  （单位签章）</w:t>
      </w:r>
    </w:p>
    <w:p>
      <w:pPr>
        <w:spacing w:line="360" w:lineRule="auto"/>
        <w:rPr>
          <w:rFonts w:ascii="宋体" w:hAnsi="宋体" w:cs="宋体"/>
          <w:color w:val="000000"/>
        </w:rPr>
      </w:pPr>
      <w:r>
        <w:rPr>
          <w:rFonts w:hint="eastAsia" w:ascii="宋体" w:hAnsi="宋体" w:cs="宋体"/>
          <w:color w:val="000000"/>
        </w:rPr>
        <w:t xml:space="preserve">    法定代表人：                             （签字或盖章）</w:t>
      </w:r>
    </w:p>
    <w:p>
      <w:pPr>
        <w:spacing w:line="360" w:lineRule="auto"/>
        <w:rPr>
          <w:color w:val="000000"/>
        </w:rPr>
        <w:sectPr>
          <w:pgSz w:w="11906" w:h="16838"/>
          <w:pgMar w:top="851" w:right="1797" w:bottom="851" w:left="1797" w:header="851" w:footer="992" w:gutter="0"/>
          <w:cols w:space="720" w:num="1"/>
          <w:docGrid w:type="lines" w:linePitch="312" w:charSpace="0"/>
        </w:sectPr>
      </w:pPr>
      <w:r>
        <w:rPr>
          <w:rFonts w:hint="eastAsia" w:ascii="宋体" w:hAnsi="宋体" w:cs="宋体"/>
          <w:color w:val="000000"/>
        </w:rPr>
        <w:t xml:space="preserve">    编制人：                   （造价工程师签字并盖专用章）</w:t>
      </w:r>
    </w:p>
    <w:p>
      <w:pPr>
        <w:jc w:val="center"/>
        <w:rPr>
          <w:rFonts w:ascii="黑体" w:hAnsi="黑体" w:eastAsia="黑体"/>
          <w:sz w:val="30"/>
          <w:szCs w:val="30"/>
        </w:rPr>
      </w:pPr>
      <w:r>
        <w:rPr>
          <w:rFonts w:hint="eastAsia" w:ascii="黑体" w:hAnsi="黑体" w:eastAsia="黑体"/>
          <w:sz w:val="30"/>
          <w:szCs w:val="30"/>
        </w:rPr>
        <w:t>附录E  清单项目计价表</w:t>
      </w:r>
    </w:p>
    <w:p>
      <w:pPr>
        <w:jc w:val="center"/>
      </w:pPr>
      <w:r>
        <w:rPr>
          <w:rFonts w:hint="eastAsia" w:ascii="黑体" w:hAnsi="黑体" w:eastAsia="黑体"/>
          <w:sz w:val="28"/>
          <w:szCs w:val="28"/>
        </w:rPr>
        <w:t>E.1 单位工程工程量清单与造价表</w:t>
      </w:r>
    </w:p>
    <w:p>
      <w:pPr>
        <w:jc w:val="center"/>
        <w:rPr>
          <w:rFonts w:ascii="黑体" w:hAnsi="黑体" w:eastAsia="黑体"/>
          <w:sz w:val="28"/>
          <w:szCs w:val="28"/>
        </w:rPr>
      </w:pPr>
      <w:r>
        <w:rPr>
          <w:rFonts w:hint="eastAsia" w:ascii="黑体" w:hAnsi="黑体" w:eastAsia="黑体"/>
          <w:sz w:val="28"/>
          <w:szCs w:val="28"/>
        </w:rPr>
        <w:t>（一般计税法）</w:t>
      </w:r>
    </w:p>
    <w:tbl>
      <w:tblPr>
        <w:tblStyle w:val="42"/>
        <w:tblW w:w="13640" w:type="dxa"/>
        <w:jc w:val="center"/>
        <w:tblInd w:w="0" w:type="dxa"/>
        <w:tblLayout w:type="fixed"/>
        <w:tblCellMar>
          <w:top w:w="0" w:type="dxa"/>
          <w:left w:w="0" w:type="dxa"/>
          <w:bottom w:w="0" w:type="dxa"/>
          <w:right w:w="0" w:type="dxa"/>
        </w:tblCellMar>
      </w:tblPr>
      <w:tblGrid>
        <w:gridCol w:w="852"/>
        <w:gridCol w:w="1555"/>
        <w:gridCol w:w="1413"/>
        <w:gridCol w:w="3109"/>
        <w:gridCol w:w="830"/>
        <w:gridCol w:w="866"/>
        <w:gridCol w:w="748"/>
        <w:gridCol w:w="245"/>
        <w:gridCol w:w="561"/>
        <w:gridCol w:w="1131"/>
        <w:gridCol w:w="1130"/>
        <w:gridCol w:w="1200"/>
      </w:tblGrid>
      <w:tr>
        <w:tblPrEx>
          <w:tblLayout w:type="fixed"/>
          <w:tblCellMar>
            <w:top w:w="0" w:type="dxa"/>
            <w:left w:w="0" w:type="dxa"/>
            <w:bottom w:w="0" w:type="dxa"/>
            <w:right w:w="0" w:type="dxa"/>
          </w:tblCellMar>
        </w:tblPrEx>
        <w:trPr>
          <w:trHeight w:val="349" w:hRule="atLeast"/>
          <w:jc w:val="center"/>
        </w:trPr>
        <w:tc>
          <w:tcPr>
            <w:tcW w:w="9618" w:type="dxa"/>
            <w:gridSpan w:val="8"/>
            <w:tcBorders>
              <w:top w:val="nil"/>
              <w:left w:val="nil"/>
              <w:bottom w:val="single" w:color="000000" w:sz="8" w:space="0"/>
              <w:right w:val="nil"/>
            </w:tcBorders>
            <w:tcMar>
              <w:top w:w="0" w:type="dxa"/>
              <w:left w:w="108" w:type="dxa"/>
              <w:bottom w:w="0" w:type="dxa"/>
              <w:right w:w="108" w:type="dxa"/>
            </w:tcMar>
            <w:vAlign w:val="center"/>
          </w:tcPr>
          <w:p>
            <w:pPr>
              <w:widowControl/>
              <w:spacing w:before="100" w:beforeAutospacing="1" w:after="100" w:afterAutospacing="1"/>
              <w:rPr>
                <w:rFonts w:ascii="宋体" w:hAnsi="宋体" w:cs="宋体"/>
                <w:kern w:val="0"/>
                <w:szCs w:val="21"/>
              </w:rPr>
            </w:pPr>
            <w:r>
              <w:rPr>
                <w:rFonts w:hint="eastAsia" w:ascii="宋体" w:hAnsi="宋体" w:cs="宋体"/>
                <w:color w:val="000000"/>
                <w:kern w:val="0"/>
                <w:szCs w:val="21"/>
              </w:rPr>
              <w:t>工程名称：      标段：          单位工程名称：              </w:t>
            </w:r>
          </w:p>
        </w:tc>
        <w:tc>
          <w:tcPr>
            <w:tcW w:w="4022" w:type="dxa"/>
            <w:gridSpan w:val="4"/>
            <w:tcBorders>
              <w:top w:val="nil"/>
              <w:left w:val="nil"/>
              <w:bottom w:val="single" w:color="000000" w:sz="8" w:space="0"/>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xml:space="preserve">                   第  页共  页</w:t>
            </w:r>
          </w:p>
        </w:tc>
      </w:tr>
      <w:tr>
        <w:tblPrEx>
          <w:tblLayout w:type="fixed"/>
          <w:tblCellMar>
            <w:top w:w="0" w:type="dxa"/>
            <w:left w:w="0" w:type="dxa"/>
            <w:bottom w:w="0" w:type="dxa"/>
            <w:right w:w="0" w:type="dxa"/>
          </w:tblCellMar>
        </w:tblPrEx>
        <w:trPr>
          <w:trHeight w:val="376" w:hRule="atLeast"/>
          <w:jc w:val="center"/>
        </w:trPr>
        <w:tc>
          <w:tcPr>
            <w:tcW w:w="852"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序号</w:t>
            </w:r>
          </w:p>
        </w:tc>
        <w:tc>
          <w:tcPr>
            <w:tcW w:w="1555"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项目编码</w:t>
            </w:r>
          </w:p>
        </w:tc>
        <w:tc>
          <w:tcPr>
            <w:tcW w:w="1413"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项目名称</w:t>
            </w:r>
          </w:p>
        </w:tc>
        <w:tc>
          <w:tcPr>
            <w:tcW w:w="3109"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项目特征描述</w:t>
            </w:r>
          </w:p>
        </w:tc>
        <w:tc>
          <w:tcPr>
            <w:tcW w:w="830"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计量</w:t>
            </w:r>
            <w:r>
              <w:rPr>
                <w:rFonts w:hint="eastAsia" w:ascii="宋体" w:hAnsi="宋体" w:cs="宋体"/>
                <w:color w:val="000000"/>
                <w:kern w:val="0"/>
                <w:szCs w:val="21"/>
              </w:rPr>
              <w:br w:type="textWrapping"/>
            </w:r>
            <w:r>
              <w:rPr>
                <w:rFonts w:hint="eastAsia" w:ascii="宋体" w:hAnsi="宋体" w:cs="宋体"/>
                <w:color w:val="000000"/>
                <w:kern w:val="0"/>
                <w:szCs w:val="21"/>
              </w:rPr>
              <w:t>单位</w:t>
            </w:r>
          </w:p>
        </w:tc>
        <w:tc>
          <w:tcPr>
            <w:tcW w:w="866" w:type="dxa"/>
            <w:vMerge w:val="restart"/>
            <w:tcBorders>
              <w:top w:val="nil"/>
              <w:left w:val="single" w:color="000000" w:sz="8" w:space="0"/>
              <w:bottom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工程量</w:t>
            </w:r>
          </w:p>
        </w:tc>
        <w:tc>
          <w:tcPr>
            <w:tcW w:w="5015" w:type="dxa"/>
            <w:gridSpan w:val="6"/>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金额(元)</w:t>
            </w:r>
          </w:p>
        </w:tc>
      </w:tr>
      <w:tr>
        <w:tblPrEx>
          <w:tblLayout w:type="fixed"/>
          <w:tblCellMar>
            <w:top w:w="0" w:type="dxa"/>
            <w:left w:w="0" w:type="dxa"/>
            <w:bottom w:w="0" w:type="dxa"/>
            <w:right w:w="0" w:type="dxa"/>
          </w:tblCellMar>
        </w:tblPrEx>
        <w:trPr>
          <w:trHeight w:val="376" w:hRule="atLeast"/>
          <w:jc w:val="center"/>
        </w:trPr>
        <w:tc>
          <w:tcPr>
            <w:tcW w:w="852" w:type="dxa"/>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Cs w:val="21"/>
              </w:rPr>
            </w:pPr>
          </w:p>
        </w:tc>
        <w:tc>
          <w:tcPr>
            <w:tcW w:w="1555" w:type="dxa"/>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Cs w:val="21"/>
              </w:rPr>
            </w:pPr>
          </w:p>
        </w:tc>
        <w:tc>
          <w:tcPr>
            <w:tcW w:w="1413" w:type="dxa"/>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Cs w:val="21"/>
              </w:rPr>
            </w:pPr>
          </w:p>
        </w:tc>
        <w:tc>
          <w:tcPr>
            <w:tcW w:w="3109" w:type="dxa"/>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Cs w:val="21"/>
              </w:rPr>
            </w:pPr>
          </w:p>
        </w:tc>
        <w:tc>
          <w:tcPr>
            <w:tcW w:w="830" w:type="dxa"/>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Cs w:val="21"/>
              </w:rPr>
            </w:pPr>
          </w:p>
        </w:tc>
        <w:tc>
          <w:tcPr>
            <w:tcW w:w="866" w:type="dxa"/>
            <w:vMerge w:val="continue"/>
            <w:tcBorders>
              <w:top w:val="nil"/>
              <w:left w:val="single" w:color="000000" w:sz="8" w:space="0"/>
              <w:bottom w:val="nil"/>
              <w:right w:val="single" w:color="000000" w:sz="8" w:space="0"/>
            </w:tcBorders>
            <w:vAlign w:val="center"/>
          </w:tcPr>
          <w:p>
            <w:pPr>
              <w:widowControl/>
              <w:jc w:val="left"/>
              <w:rPr>
                <w:rFonts w:ascii="宋体" w:hAnsi="宋体" w:cs="宋体"/>
                <w:kern w:val="0"/>
                <w:szCs w:val="21"/>
              </w:rPr>
            </w:pPr>
          </w:p>
        </w:tc>
        <w:tc>
          <w:tcPr>
            <w:tcW w:w="748" w:type="dxa"/>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综合</w:t>
            </w:r>
            <w:r>
              <w:rPr>
                <w:rFonts w:hint="eastAsia" w:ascii="宋体" w:hAnsi="宋体" w:cs="宋体"/>
                <w:color w:val="000000"/>
                <w:kern w:val="0"/>
                <w:szCs w:val="21"/>
              </w:rPr>
              <w:br w:type="textWrapping"/>
            </w:r>
            <w:r>
              <w:rPr>
                <w:rFonts w:hint="eastAsia" w:ascii="宋体" w:hAnsi="宋体" w:cs="宋体"/>
                <w:color w:val="000000"/>
                <w:kern w:val="0"/>
                <w:szCs w:val="21"/>
              </w:rPr>
              <w:t>单价</w:t>
            </w:r>
          </w:p>
        </w:tc>
        <w:tc>
          <w:tcPr>
            <w:tcW w:w="806" w:type="dxa"/>
            <w:gridSpan w:val="2"/>
            <w:vMerge w:val="restart"/>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合价</w:t>
            </w:r>
          </w:p>
        </w:tc>
        <w:tc>
          <w:tcPr>
            <w:tcW w:w="3461" w:type="dxa"/>
            <w:gridSpan w:val="3"/>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其  中</w:t>
            </w:r>
          </w:p>
        </w:tc>
      </w:tr>
      <w:tr>
        <w:tblPrEx>
          <w:tblLayout w:type="fixed"/>
          <w:tblCellMar>
            <w:top w:w="0" w:type="dxa"/>
            <w:left w:w="0" w:type="dxa"/>
            <w:bottom w:w="0" w:type="dxa"/>
            <w:right w:w="0" w:type="dxa"/>
          </w:tblCellMar>
        </w:tblPrEx>
        <w:trPr>
          <w:trHeight w:val="348" w:hRule="atLeast"/>
          <w:jc w:val="center"/>
        </w:trPr>
        <w:tc>
          <w:tcPr>
            <w:tcW w:w="852"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1555"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1413"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3109"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830"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866" w:type="dxa"/>
            <w:vMerge w:val="continue"/>
            <w:tcBorders>
              <w:top w:val="nil"/>
              <w:left w:val="single" w:color="000000" w:sz="8" w:space="0"/>
              <w:bottom w:val="single" w:color="auto" w:sz="4" w:space="0"/>
              <w:right w:val="single" w:color="000000" w:sz="8" w:space="0"/>
            </w:tcBorders>
            <w:shd w:val="clear" w:color="auto" w:fill="auto"/>
            <w:vAlign w:val="center"/>
          </w:tcPr>
          <w:p>
            <w:pPr>
              <w:widowControl/>
              <w:jc w:val="left"/>
              <w:rPr>
                <w:rFonts w:ascii="宋体" w:hAnsi="宋体" w:cs="宋体"/>
                <w:kern w:val="0"/>
                <w:szCs w:val="21"/>
              </w:rPr>
            </w:pPr>
          </w:p>
        </w:tc>
        <w:tc>
          <w:tcPr>
            <w:tcW w:w="748" w:type="dxa"/>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806" w:type="dxa"/>
            <w:gridSpan w:val="2"/>
            <w:vMerge w:val="continue"/>
            <w:tcBorders>
              <w:top w:val="nil"/>
              <w:left w:val="single" w:color="000000" w:sz="8" w:space="0"/>
              <w:bottom w:val="single" w:color="000000" w:sz="8" w:space="0"/>
              <w:right w:val="single" w:color="000000" w:sz="8" w:space="0"/>
            </w:tcBorders>
            <w:shd w:val="clear" w:color="auto" w:fill="auto"/>
            <w:vAlign w:val="center"/>
          </w:tcPr>
          <w:p>
            <w:pPr>
              <w:widowControl/>
              <w:jc w:val="left"/>
              <w:rPr>
                <w:rFonts w:ascii="宋体" w:hAnsi="宋体" w:cs="宋体"/>
                <w:kern w:val="0"/>
                <w:szCs w:val="21"/>
              </w:rPr>
            </w:pPr>
          </w:p>
        </w:tc>
        <w:tc>
          <w:tcPr>
            <w:tcW w:w="113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建安费用</w:t>
            </w:r>
          </w:p>
        </w:tc>
        <w:tc>
          <w:tcPr>
            <w:tcW w:w="113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销项税额</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附加税费</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single" w:color="auto" w:sz="4" w:space="0"/>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63" w:hRule="atLeast"/>
          <w:jc w:val="center"/>
        </w:trPr>
        <w:tc>
          <w:tcPr>
            <w:tcW w:w="852"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5"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13"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31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66"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4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06" w:type="dxa"/>
            <w:gridSpan w:val="2"/>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282" w:hRule="atLeast"/>
          <w:jc w:val="center"/>
        </w:trPr>
        <w:tc>
          <w:tcPr>
            <w:tcW w:w="9373" w:type="dxa"/>
            <w:gridSpan w:val="7"/>
            <w:tcBorders>
              <w:top w:val="single" w:color="000000" w:sz="8" w:space="0"/>
              <w:left w:val="single" w:color="000000" w:sz="8" w:space="0"/>
              <w:bottom w:val="single" w:color="auto" w:sz="4"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本页合计</w:t>
            </w:r>
          </w:p>
        </w:tc>
        <w:tc>
          <w:tcPr>
            <w:tcW w:w="806" w:type="dxa"/>
            <w:gridSpan w:val="2"/>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1"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3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0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290" w:hRule="atLeast"/>
          <w:jc w:val="center"/>
        </w:trPr>
        <w:tc>
          <w:tcPr>
            <w:tcW w:w="9373" w:type="dxa"/>
            <w:gridSpan w:val="7"/>
            <w:tcBorders>
              <w:top w:val="single" w:color="auto" w:sz="4" w:space="0"/>
              <w:left w:val="single" w:color="000000" w:sz="8" w:space="0"/>
              <w:bottom w:val="single" w:color="000000" w:sz="8" w:space="0"/>
              <w:right w:val="single" w:color="000000" w:sz="8" w:space="0"/>
            </w:tcBorders>
            <w:vAlign w:val="center"/>
          </w:tcPr>
          <w:p>
            <w:pPr>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累   计</w:t>
            </w:r>
          </w:p>
        </w:tc>
        <w:tc>
          <w:tcPr>
            <w:tcW w:w="806" w:type="dxa"/>
            <w:gridSpan w:val="2"/>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131"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130"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00"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r>
    </w:tbl>
    <w:p>
      <w:pPr>
        <w:widowControl/>
        <w:shd w:val="clear" w:color="auto" w:fill="FFFFFF"/>
        <w:spacing w:before="100" w:beforeAutospacing="1" w:after="100" w:afterAutospacing="1"/>
        <w:rPr>
          <w:rFonts w:ascii="宋体" w:hAnsi="宋体" w:cs="宋体"/>
          <w:color w:val="000000"/>
          <w:kern w:val="0"/>
          <w:sz w:val="18"/>
          <w:szCs w:val="18"/>
        </w:rPr>
      </w:pPr>
      <w:r>
        <w:rPr>
          <w:rFonts w:cs="宋体"/>
          <w:color w:val="000000"/>
          <w:kern w:val="0"/>
          <w:sz w:val="18"/>
          <w:szCs w:val="18"/>
        </w:rPr>
        <w:t> </w:t>
      </w:r>
      <w:r>
        <w:rPr>
          <w:rFonts w:hint="eastAsia" w:cs="宋体"/>
          <w:color w:val="000000"/>
          <w:kern w:val="0"/>
          <w:sz w:val="18"/>
          <w:szCs w:val="18"/>
        </w:rPr>
        <w:t>注：本表用于分部分项工程和能计量的措施项目清单与计价。</w:t>
      </w:r>
    </w:p>
    <w:p>
      <w:pPr>
        <w:rPr>
          <w:color w:val="000000"/>
        </w:rPr>
        <w:sectPr>
          <w:pgSz w:w="16838" w:h="11906" w:orient="landscape"/>
          <w:pgMar w:top="1418" w:right="1134" w:bottom="1418" w:left="1134" w:header="851" w:footer="992" w:gutter="0"/>
          <w:cols w:space="720" w:num="1"/>
          <w:docGrid w:type="linesAndChars" w:linePitch="312" w:charSpace="0"/>
        </w:sectPr>
      </w:pPr>
    </w:p>
    <w:tbl>
      <w:tblPr>
        <w:tblStyle w:val="42"/>
        <w:tblW w:w="13697" w:type="dxa"/>
        <w:jc w:val="center"/>
        <w:tblInd w:w="0" w:type="dxa"/>
        <w:tblLayout w:type="fixed"/>
        <w:tblCellMar>
          <w:top w:w="0" w:type="dxa"/>
          <w:left w:w="0" w:type="dxa"/>
          <w:bottom w:w="0" w:type="dxa"/>
          <w:right w:w="0" w:type="dxa"/>
        </w:tblCellMar>
      </w:tblPr>
      <w:tblGrid>
        <w:gridCol w:w="1509"/>
        <w:gridCol w:w="2861"/>
        <w:gridCol w:w="900"/>
        <w:gridCol w:w="1277"/>
        <w:gridCol w:w="836"/>
        <w:gridCol w:w="1127"/>
        <w:gridCol w:w="720"/>
        <w:gridCol w:w="781"/>
        <w:gridCol w:w="1058"/>
        <w:gridCol w:w="1559"/>
        <w:gridCol w:w="1069"/>
      </w:tblGrid>
      <w:tr>
        <w:tblPrEx>
          <w:tblLayout w:type="fixed"/>
          <w:tblCellMar>
            <w:top w:w="0" w:type="dxa"/>
            <w:left w:w="0" w:type="dxa"/>
            <w:bottom w:w="0" w:type="dxa"/>
            <w:right w:w="0" w:type="dxa"/>
          </w:tblCellMar>
        </w:tblPrEx>
        <w:trPr>
          <w:trHeight w:val="1103" w:hRule="atLeast"/>
          <w:jc w:val="center"/>
        </w:trPr>
        <w:tc>
          <w:tcPr>
            <w:tcW w:w="13697" w:type="dxa"/>
            <w:gridSpan w:val="11"/>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hint="eastAsia" w:ascii="黑体" w:hAnsi="黑体" w:eastAsia="黑体" w:cs="宋体"/>
                <w:kern w:val="0"/>
                <w:sz w:val="28"/>
                <w:szCs w:val="28"/>
              </w:rPr>
              <w:t xml:space="preserve">E.3  </w:t>
            </w:r>
            <w:r>
              <w:rPr>
                <w:rFonts w:hint="eastAsia" w:ascii="黑体" w:hAnsi="黑体" w:eastAsia="黑体" w:cs="宋体"/>
                <w:color w:val="000000"/>
                <w:kern w:val="0"/>
                <w:sz w:val="28"/>
                <w:szCs w:val="28"/>
              </w:rPr>
              <w:t>清单项目直接费用预算表</w:t>
            </w:r>
          </w:p>
        </w:tc>
      </w:tr>
      <w:tr>
        <w:tblPrEx>
          <w:tblLayout w:type="fixed"/>
          <w:tblCellMar>
            <w:top w:w="0" w:type="dxa"/>
            <w:left w:w="0" w:type="dxa"/>
            <w:bottom w:w="0" w:type="dxa"/>
            <w:right w:w="0" w:type="dxa"/>
          </w:tblCellMar>
        </w:tblPrEx>
        <w:trPr>
          <w:trHeight w:val="319" w:hRule="atLeast"/>
          <w:jc w:val="center"/>
        </w:trPr>
        <w:tc>
          <w:tcPr>
            <w:tcW w:w="10011" w:type="dxa"/>
            <w:gridSpan w:val="8"/>
            <w:tcBorders>
              <w:top w:val="nil"/>
              <w:left w:val="nil"/>
              <w:bottom w:val="nil"/>
              <w:right w:val="nil"/>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工程名称：                 标段：                        </w:t>
            </w:r>
          </w:p>
        </w:tc>
        <w:tc>
          <w:tcPr>
            <w:tcW w:w="1058" w:type="dxa"/>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2628" w:type="dxa"/>
            <w:gridSpan w:val="2"/>
            <w:tcBorders>
              <w:top w:val="nil"/>
              <w:left w:val="nil"/>
              <w:bottom w:val="single" w:color="auto" w:sz="8" w:space="0"/>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xml:space="preserve">          第 页共 页</w:t>
            </w:r>
          </w:p>
        </w:tc>
      </w:tr>
      <w:tr>
        <w:tblPrEx>
          <w:tblLayout w:type="fixed"/>
          <w:tblCellMar>
            <w:top w:w="0" w:type="dxa"/>
            <w:left w:w="0" w:type="dxa"/>
            <w:bottom w:w="0" w:type="dxa"/>
            <w:right w:w="0" w:type="dxa"/>
          </w:tblCellMar>
        </w:tblPrEx>
        <w:trPr>
          <w:trHeight w:val="383" w:hRule="atLeast"/>
          <w:jc w:val="center"/>
        </w:trPr>
        <w:tc>
          <w:tcPr>
            <w:tcW w:w="15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清单编码</w:t>
            </w:r>
          </w:p>
        </w:tc>
        <w:tc>
          <w:tcPr>
            <w:tcW w:w="2861" w:type="dxa"/>
            <w:tcBorders>
              <w:top w:val="single" w:color="auto" w:sz="8" w:space="0"/>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00" w:type="dxa"/>
            <w:tcBorders>
              <w:top w:val="single" w:color="auto" w:sz="8" w:space="0"/>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名称</w:t>
            </w:r>
          </w:p>
        </w:tc>
        <w:tc>
          <w:tcPr>
            <w:tcW w:w="2113" w:type="dxa"/>
            <w:gridSpan w:val="2"/>
            <w:tcBorders>
              <w:top w:val="single" w:color="auto" w:sz="8" w:space="0"/>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2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计量单位</w:t>
            </w:r>
          </w:p>
        </w:tc>
        <w:tc>
          <w:tcPr>
            <w:tcW w:w="72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数量</w:t>
            </w:r>
          </w:p>
        </w:tc>
        <w:tc>
          <w:tcPr>
            <w:tcW w:w="105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bottom"/>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155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直接费用指标</w:t>
            </w:r>
          </w:p>
        </w:tc>
        <w:tc>
          <w:tcPr>
            <w:tcW w:w="1069"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514" w:hRule="atLeast"/>
          <w:jc w:val="center"/>
        </w:trPr>
        <w:tc>
          <w:tcPr>
            <w:tcW w:w="150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消耗量</w:t>
            </w:r>
            <w:r>
              <w:rPr>
                <w:rFonts w:hint="eastAsia" w:ascii="宋体" w:hAnsi="宋体" w:cs="宋体"/>
                <w:color w:val="000000"/>
                <w:kern w:val="0"/>
                <w:szCs w:val="21"/>
              </w:rPr>
              <w:br w:type="textWrapping"/>
            </w:r>
            <w:r>
              <w:rPr>
                <w:rFonts w:hint="eastAsia" w:ascii="宋体" w:hAnsi="宋体" w:cs="宋体"/>
                <w:color w:val="000000"/>
                <w:kern w:val="0"/>
                <w:szCs w:val="21"/>
              </w:rPr>
              <w:t>标准编号</w:t>
            </w:r>
          </w:p>
        </w:tc>
        <w:tc>
          <w:tcPr>
            <w:tcW w:w="286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项目名称</w:t>
            </w:r>
          </w:p>
        </w:tc>
        <w:tc>
          <w:tcPr>
            <w:tcW w:w="90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单位</w:t>
            </w:r>
          </w:p>
        </w:tc>
        <w:tc>
          <w:tcPr>
            <w:tcW w:w="127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数量</w:t>
            </w:r>
          </w:p>
        </w:tc>
        <w:tc>
          <w:tcPr>
            <w:tcW w:w="1963"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基期价</w:t>
            </w:r>
          </w:p>
        </w:tc>
        <w:tc>
          <w:tcPr>
            <w:tcW w:w="518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市场价</w:t>
            </w:r>
          </w:p>
        </w:tc>
      </w:tr>
      <w:tr>
        <w:tblPrEx>
          <w:tblLayout w:type="fixed"/>
          <w:tblCellMar>
            <w:top w:w="0" w:type="dxa"/>
            <w:left w:w="0" w:type="dxa"/>
            <w:bottom w:w="0" w:type="dxa"/>
            <w:right w:w="0" w:type="dxa"/>
          </w:tblCellMar>
        </w:tblPrEx>
        <w:trPr>
          <w:trHeight w:val="300" w:hRule="atLeast"/>
          <w:jc w:val="center"/>
        </w:trPr>
        <w:tc>
          <w:tcPr>
            <w:tcW w:w="150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2861"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90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27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83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单价</w:t>
            </w:r>
          </w:p>
        </w:tc>
        <w:tc>
          <w:tcPr>
            <w:tcW w:w="112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小计</w:t>
            </w:r>
          </w:p>
        </w:tc>
        <w:tc>
          <w:tcPr>
            <w:tcW w:w="72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单价</w:t>
            </w:r>
          </w:p>
        </w:tc>
        <w:tc>
          <w:tcPr>
            <w:tcW w:w="78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小计</w:t>
            </w:r>
          </w:p>
        </w:tc>
        <w:tc>
          <w:tcPr>
            <w:tcW w:w="3686"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其中</w:t>
            </w:r>
          </w:p>
        </w:tc>
      </w:tr>
      <w:tr>
        <w:tblPrEx>
          <w:tblLayout w:type="fixed"/>
          <w:tblCellMar>
            <w:top w:w="0" w:type="dxa"/>
            <w:left w:w="0" w:type="dxa"/>
            <w:bottom w:w="0" w:type="dxa"/>
            <w:right w:w="0" w:type="dxa"/>
          </w:tblCellMar>
        </w:tblPrEx>
        <w:trPr>
          <w:trHeight w:val="383" w:hRule="atLeast"/>
          <w:jc w:val="center"/>
        </w:trPr>
        <w:tc>
          <w:tcPr>
            <w:tcW w:w="1509" w:type="dxa"/>
            <w:vMerge w:val="continue"/>
            <w:tcBorders>
              <w:top w:val="nil"/>
              <w:left w:val="single" w:color="auto" w:sz="8" w:space="0"/>
              <w:bottom w:val="single" w:color="auto" w:sz="4" w:space="0"/>
              <w:right w:val="single" w:color="auto" w:sz="8" w:space="0"/>
            </w:tcBorders>
            <w:vAlign w:val="center"/>
          </w:tcPr>
          <w:p>
            <w:pPr>
              <w:widowControl/>
              <w:jc w:val="left"/>
              <w:rPr>
                <w:rFonts w:ascii="宋体" w:hAnsi="宋体" w:cs="宋体"/>
                <w:kern w:val="0"/>
                <w:szCs w:val="21"/>
              </w:rPr>
            </w:pPr>
          </w:p>
        </w:tc>
        <w:tc>
          <w:tcPr>
            <w:tcW w:w="2861"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90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27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836"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127"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72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781"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Cs w:val="21"/>
              </w:rPr>
            </w:pPr>
          </w:p>
        </w:tc>
        <w:tc>
          <w:tcPr>
            <w:tcW w:w="10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人工费</w:t>
            </w:r>
          </w:p>
        </w:tc>
        <w:tc>
          <w:tcPr>
            <w:tcW w:w="155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材料费</w:t>
            </w:r>
          </w:p>
        </w:tc>
        <w:tc>
          <w:tcPr>
            <w:tcW w:w="106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机械费</w:t>
            </w: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861"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0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2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81"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58"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9"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69"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900"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836"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127"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720"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781"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058"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55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06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45" w:hRule="atLeast"/>
          <w:jc w:val="center"/>
        </w:trPr>
        <w:tc>
          <w:tcPr>
            <w:tcW w:w="1509"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861"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90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27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36"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127"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81"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58"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559"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069"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836"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127"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720"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781"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058"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55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06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p>
        </w:tc>
        <w:tc>
          <w:tcPr>
            <w:tcW w:w="836"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p>
        </w:tc>
        <w:tc>
          <w:tcPr>
            <w:tcW w:w="1127"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p>
        </w:tc>
        <w:tc>
          <w:tcPr>
            <w:tcW w:w="781"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058"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p>
        </w:tc>
        <w:tc>
          <w:tcPr>
            <w:tcW w:w="155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kern w:val="0"/>
                <w:szCs w:val="21"/>
              </w:rPr>
            </w:pPr>
          </w:p>
        </w:tc>
        <w:tc>
          <w:tcPr>
            <w:tcW w:w="1069"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83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112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72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78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105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155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c>
          <w:tcPr>
            <w:tcW w:w="106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83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12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2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8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105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55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06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836"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12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2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8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105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55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06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45" w:hRule="atLeast"/>
          <w:jc w:val="center"/>
        </w:trPr>
        <w:tc>
          <w:tcPr>
            <w:tcW w:w="1509"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2861"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90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center"/>
              <w:rPr>
                <w:rFonts w:ascii="宋体" w:hAnsi="宋体" w:cs="宋体"/>
                <w:color w:val="000000"/>
                <w:kern w:val="0"/>
                <w:szCs w:val="21"/>
              </w:rPr>
            </w:pPr>
          </w:p>
        </w:tc>
        <w:tc>
          <w:tcPr>
            <w:tcW w:w="1277"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836"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127"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20"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781"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left"/>
              <w:rPr>
                <w:rFonts w:ascii="宋体" w:hAnsi="宋体" w:cs="宋体"/>
                <w:color w:val="000000"/>
                <w:kern w:val="0"/>
                <w:szCs w:val="21"/>
              </w:rPr>
            </w:pPr>
          </w:p>
        </w:tc>
        <w:tc>
          <w:tcPr>
            <w:tcW w:w="1058"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55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c>
          <w:tcPr>
            <w:tcW w:w="1069"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pPr>
              <w:spacing w:before="100" w:beforeAutospacing="1" w:after="100" w:afterAutospacing="1"/>
              <w:jc w:val="righ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45" w:hRule="atLeast"/>
          <w:jc w:val="center"/>
        </w:trPr>
        <w:tc>
          <w:tcPr>
            <w:tcW w:w="9230" w:type="dxa"/>
            <w:gridSpan w:val="7"/>
            <w:tcBorders>
              <w:top w:val="single" w:color="auto" w:sz="8" w:space="0"/>
              <w:left w:val="single" w:color="auto" w:sz="8" w:space="0"/>
              <w:bottom w:val="single" w:color="auto"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本页合计（元）</w:t>
            </w:r>
          </w:p>
        </w:tc>
        <w:tc>
          <w:tcPr>
            <w:tcW w:w="7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0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55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06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45" w:hRule="atLeast"/>
          <w:jc w:val="center"/>
        </w:trPr>
        <w:tc>
          <w:tcPr>
            <w:tcW w:w="9230" w:type="dxa"/>
            <w:gridSpan w:val="7"/>
            <w:tcBorders>
              <w:top w:val="single" w:color="auto" w:sz="8" w:space="0"/>
              <w:left w:val="single" w:color="auto" w:sz="8" w:space="0"/>
              <w:bottom w:val="single" w:color="auto"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累   计（元）</w:t>
            </w:r>
          </w:p>
        </w:tc>
        <w:tc>
          <w:tcPr>
            <w:tcW w:w="78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c>
          <w:tcPr>
            <w:tcW w:w="10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c>
          <w:tcPr>
            <w:tcW w:w="155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c>
          <w:tcPr>
            <w:tcW w:w="106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1013" w:hRule="atLeast"/>
          <w:jc w:val="center"/>
        </w:trPr>
        <w:tc>
          <w:tcPr>
            <w:tcW w:w="13697" w:type="dxa"/>
            <w:gridSpan w:val="11"/>
            <w:tcBorders>
              <w:top w:val="nil"/>
              <w:left w:val="nil"/>
              <w:bottom w:val="nil"/>
              <w:right w:val="nil"/>
            </w:tcBorders>
            <w:tcMar>
              <w:top w:w="0" w:type="dxa"/>
              <w:left w:w="108" w:type="dxa"/>
              <w:bottom w:w="0" w:type="dxa"/>
              <w:right w:w="108" w:type="dxa"/>
            </w:tcMar>
            <w:vAlign w:val="center"/>
          </w:tcPr>
          <w:p>
            <w:pPr>
              <w:widowControl/>
              <w:spacing w:line="240" w:lineRule="exact"/>
              <w:jc w:val="left"/>
              <w:rPr>
                <w:rFonts w:ascii="宋体" w:hAnsi="宋体" w:cs="宋体"/>
                <w:color w:val="000000"/>
                <w:kern w:val="0"/>
                <w:sz w:val="18"/>
                <w:szCs w:val="18"/>
              </w:rPr>
            </w:pPr>
            <w:r>
              <w:rPr>
                <w:rFonts w:hint="eastAsia" w:ascii="宋体" w:hAnsi="宋体" w:cs="宋体"/>
                <w:color w:val="000000"/>
                <w:kern w:val="0"/>
                <w:sz w:val="18"/>
                <w:szCs w:val="18"/>
              </w:rPr>
              <w:t xml:space="preserve">注：1.清单直接费用指标=累计金额÷数量。   </w:t>
            </w:r>
          </w:p>
          <w:p>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2.</w:t>
            </w:r>
            <w:r>
              <w:rPr>
                <w:rFonts w:hint="eastAsia" w:ascii="宋体" w:hAnsi="宋体" w:cs="宋体"/>
                <w:bCs/>
                <w:kern w:val="0"/>
                <w:sz w:val="18"/>
                <w:szCs w:val="18"/>
              </w:rPr>
              <w:t>采用一般计税法时，材料、机械台班单价均执行除税单价；</w:t>
            </w:r>
            <w:r>
              <w:rPr>
                <w:rFonts w:hint="eastAsia" w:ascii="宋体" w:hAnsi="宋体" w:cs="宋体"/>
                <w:color w:val="000000"/>
                <w:kern w:val="0"/>
                <w:sz w:val="18"/>
                <w:szCs w:val="18"/>
              </w:rPr>
              <w:t>安装工程材料费中已包含主材费和设备费用。</w:t>
            </w:r>
          </w:p>
          <w:p>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3.采用简易计税法时，</w:t>
            </w:r>
            <w:r>
              <w:rPr>
                <w:rFonts w:hint="eastAsia" w:ascii="宋体" w:hAnsi="宋体" w:cs="宋体"/>
                <w:bCs/>
                <w:kern w:val="0"/>
                <w:sz w:val="18"/>
                <w:szCs w:val="18"/>
              </w:rPr>
              <w:t>材料、机械台班单价均执行含税单价；</w:t>
            </w:r>
            <w:r>
              <w:rPr>
                <w:rFonts w:hint="eastAsia" w:ascii="宋体" w:hAnsi="宋体" w:cs="宋体"/>
                <w:color w:val="000000"/>
                <w:kern w:val="0"/>
                <w:sz w:val="18"/>
                <w:szCs w:val="18"/>
              </w:rPr>
              <w:t>安装工程材料费中已包含主材费和设备费用。</w:t>
            </w:r>
          </w:p>
          <w:p>
            <w:pPr>
              <w:widowControl/>
              <w:spacing w:line="240" w:lineRule="exact"/>
              <w:ind w:firstLine="360" w:firstLineChars="200"/>
              <w:jc w:val="left"/>
              <w:rPr>
                <w:rFonts w:ascii="宋体" w:hAnsi="宋体" w:cs="宋体"/>
                <w:color w:val="000000"/>
                <w:kern w:val="0"/>
                <w:sz w:val="18"/>
                <w:szCs w:val="18"/>
              </w:rPr>
            </w:pPr>
            <w:r>
              <w:rPr>
                <w:rFonts w:hint="eastAsia" w:ascii="宋体" w:hAnsi="宋体" w:cs="宋体"/>
                <w:color w:val="000000"/>
                <w:kern w:val="0"/>
                <w:sz w:val="18"/>
                <w:szCs w:val="18"/>
              </w:rPr>
              <w:t>4.</w:t>
            </w:r>
            <w:r>
              <w:rPr>
                <w:rFonts w:hint="eastAsia" w:ascii="宋体" w:hAnsi="宋体" w:cs="宋体"/>
                <w:bCs/>
                <w:kern w:val="0"/>
                <w:sz w:val="18"/>
                <w:szCs w:val="18"/>
              </w:rPr>
              <w:t>本表用于分部分项工程和能计量的措施项目清单与计价。</w:t>
            </w:r>
          </w:p>
        </w:tc>
      </w:tr>
    </w:tbl>
    <w:p>
      <w:pPr>
        <w:rPr>
          <w:sz w:val="18"/>
          <w:szCs w:val="18"/>
          <w:lang w:val="zh-CN"/>
        </w:rPr>
        <w:sectPr>
          <w:pgSz w:w="16838" w:h="11906" w:orient="landscape"/>
          <w:pgMar w:top="1418" w:right="1134" w:bottom="1418" w:left="1134" w:header="851" w:footer="992" w:gutter="0"/>
          <w:cols w:space="720" w:num="1"/>
          <w:docGrid w:type="lines" w:linePitch="319" w:charSpace="0"/>
        </w:sectPr>
      </w:pPr>
    </w:p>
    <w:tbl>
      <w:tblPr>
        <w:tblStyle w:val="42"/>
        <w:tblW w:w="9715" w:type="dxa"/>
        <w:jc w:val="center"/>
        <w:tblInd w:w="0" w:type="dxa"/>
        <w:tblLayout w:type="fixed"/>
        <w:tblCellMar>
          <w:top w:w="0" w:type="dxa"/>
          <w:left w:w="0" w:type="dxa"/>
          <w:bottom w:w="0" w:type="dxa"/>
          <w:right w:w="0" w:type="dxa"/>
        </w:tblCellMar>
      </w:tblPr>
      <w:tblGrid>
        <w:gridCol w:w="643"/>
        <w:gridCol w:w="709"/>
        <w:gridCol w:w="2705"/>
        <w:gridCol w:w="660"/>
        <w:gridCol w:w="851"/>
        <w:gridCol w:w="1134"/>
        <w:gridCol w:w="708"/>
        <w:gridCol w:w="709"/>
        <w:gridCol w:w="851"/>
        <w:gridCol w:w="745"/>
      </w:tblGrid>
      <w:tr>
        <w:tblPrEx>
          <w:tblLayout w:type="fixed"/>
          <w:tblCellMar>
            <w:top w:w="0" w:type="dxa"/>
            <w:left w:w="0" w:type="dxa"/>
            <w:bottom w:w="0" w:type="dxa"/>
            <w:right w:w="0" w:type="dxa"/>
          </w:tblCellMar>
        </w:tblPrEx>
        <w:trPr>
          <w:trHeight w:val="1276" w:hRule="atLeast"/>
          <w:jc w:val="center"/>
        </w:trPr>
        <w:tc>
          <w:tcPr>
            <w:tcW w:w="9715" w:type="dxa"/>
            <w:gridSpan w:val="10"/>
            <w:tcBorders>
              <w:top w:val="nil"/>
              <w:left w:val="nil"/>
              <w:bottom w:val="single" w:color="auto" w:sz="4" w:space="0"/>
              <w:right w:val="nil"/>
            </w:tcBorders>
            <w:tcMar>
              <w:top w:w="0" w:type="dxa"/>
              <w:left w:w="108" w:type="dxa"/>
              <w:bottom w:w="0" w:type="dxa"/>
              <w:right w:w="108" w:type="dxa"/>
            </w:tcMar>
            <w:vAlign w:val="center"/>
          </w:tcPr>
          <w:p>
            <w:pPr>
              <w:widowControl/>
              <w:spacing w:before="100" w:beforeAutospacing="1" w:after="100" w:afterAutospacing="1"/>
              <w:ind w:left="342" w:leftChars="163"/>
              <w:jc w:val="center"/>
              <w:rPr>
                <w:rFonts w:ascii="黑体" w:hAnsi="宋体" w:eastAsia="黑体" w:cs="宋体"/>
                <w:color w:val="000000"/>
                <w:kern w:val="0"/>
                <w:szCs w:val="21"/>
              </w:rPr>
            </w:pPr>
            <w:r>
              <w:rPr>
                <w:rFonts w:hint="eastAsia" w:ascii="仿宋_GB2312" w:hAnsi="宋体" w:eastAsia="仿宋_GB2312" w:cs="宋体"/>
                <w:kern w:val="0"/>
                <w:sz w:val="28"/>
                <w:szCs w:val="28"/>
              </w:rPr>
              <w:t xml:space="preserve">E.4  </w:t>
            </w:r>
            <w:r>
              <w:rPr>
                <w:rFonts w:hint="eastAsia" w:ascii="黑体" w:hAnsi="黑体" w:eastAsia="黑体" w:cs="宋体"/>
                <w:color w:val="000000"/>
                <w:kern w:val="0"/>
                <w:sz w:val="28"/>
                <w:szCs w:val="28"/>
              </w:rPr>
              <w:t>清单项目人材机用量与单价表</w:t>
            </w:r>
          </w:p>
          <w:p>
            <w:pPr>
              <w:widowControl/>
              <w:spacing w:beforeLines="50" w:afterLines="50" w:line="200" w:lineRule="exact"/>
              <w:rPr>
                <w:rFonts w:ascii="仿宋_GB2312" w:hAnsi="宋体" w:eastAsia="仿宋_GB2312" w:cs="宋体"/>
                <w:color w:val="000000"/>
                <w:kern w:val="0"/>
                <w:szCs w:val="21"/>
              </w:rPr>
            </w:pPr>
            <w:r>
              <w:rPr>
                <w:rFonts w:hint="eastAsia" w:ascii="宋体" w:hAnsi="宋体" w:cs="宋体"/>
                <w:color w:val="000000"/>
                <w:kern w:val="0"/>
                <w:szCs w:val="21"/>
              </w:rPr>
              <w:t>工程名称：                      标段：</w:t>
            </w:r>
          </w:p>
          <w:p>
            <w:pPr>
              <w:widowControl/>
              <w:spacing w:beforeLines="50" w:afterLines="50" w:line="200" w:lineRule="exact"/>
              <w:rPr>
                <w:rFonts w:ascii="宋体" w:hAnsi="宋体" w:cs="宋体"/>
                <w:color w:val="000000"/>
                <w:kern w:val="0"/>
                <w:szCs w:val="21"/>
              </w:rPr>
            </w:pPr>
            <w:r>
              <w:rPr>
                <w:rFonts w:hint="eastAsia" w:ascii="宋体" w:hAnsi="宋体" w:cs="宋体"/>
                <w:color w:val="000000"/>
                <w:kern w:val="0"/>
                <w:szCs w:val="21"/>
              </w:rPr>
              <w:t>清单编号：                      单位：</w:t>
            </w:r>
          </w:p>
          <w:p>
            <w:pPr>
              <w:widowControl/>
              <w:spacing w:beforeLines="50" w:afterLines="50" w:line="200" w:lineRule="exact"/>
              <w:rPr>
                <w:rFonts w:ascii="黑体" w:hAnsi="宋体" w:eastAsia="黑体" w:cs="宋体"/>
                <w:color w:val="000000"/>
                <w:kern w:val="0"/>
                <w:sz w:val="18"/>
                <w:szCs w:val="18"/>
              </w:rPr>
            </w:pPr>
            <w:r>
              <w:rPr>
                <w:rFonts w:hint="eastAsia" w:ascii="宋体" w:hAnsi="宋体" w:cs="宋体"/>
                <w:color w:val="000000"/>
                <w:kern w:val="0"/>
                <w:szCs w:val="21"/>
              </w:rPr>
              <w:t>清单名称：                      数量：   第  页共  页</w:t>
            </w:r>
          </w:p>
        </w:tc>
      </w:tr>
      <w:tr>
        <w:tblPrEx>
          <w:tblLayout w:type="fixed"/>
          <w:tblCellMar>
            <w:top w:w="0" w:type="dxa"/>
            <w:left w:w="0" w:type="dxa"/>
            <w:bottom w:w="0" w:type="dxa"/>
            <w:right w:w="0" w:type="dxa"/>
          </w:tblCellMar>
        </w:tblPrEx>
        <w:trPr>
          <w:trHeight w:val="315" w:hRule="atLeast"/>
          <w:jc w:val="center"/>
        </w:trPr>
        <w:tc>
          <w:tcPr>
            <w:tcW w:w="643" w:type="dxa"/>
            <w:vMerge w:val="restart"/>
            <w:tcBorders>
              <w:top w:val="single" w:color="auto" w:sz="4" w:space="0"/>
              <w:left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序号</w:t>
            </w:r>
          </w:p>
        </w:tc>
        <w:tc>
          <w:tcPr>
            <w:tcW w:w="709"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编码</w:t>
            </w:r>
          </w:p>
        </w:tc>
        <w:tc>
          <w:tcPr>
            <w:tcW w:w="2705"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名称(材料、机械规格型号)</w:t>
            </w:r>
          </w:p>
        </w:tc>
        <w:tc>
          <w:tcPr>
            <w:tcW w:w="660"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单位</w:t>
            </w:r>
          </w:p>
        </w:tc>
        <w:tc>
          <w:tcPr>
            <w:tcW w:w="851"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数量</w:t>
            </w:r>
          </w:p>
        </w:tc>
        <w:tc>
          <w:tcPr>
            <w:tcW w:w="1134"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基期价(元)</w:t>
            </w:r>
          </w:p>
        </w:tc>
        <w:tc>
          <w:tcPr>
            <w:tcW w:w="1417" w:type="dxa"/>
            <w:gridSpan w:val="2"/>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市场价(元)</w:t>
            </w:r>
          </w:p>
        </w:tc>
        <w:tc>
          <w:tcPr>
            <w:tcW w:w="851"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合价(元)</w:t>
            </w:r>
          </w:p>
        </w:tc>
        <w:tc>
          <w:tcPr>
            <w:tcW w:w="745" w:type="dxa"/>
            <w:vMerge w:val="restart"/>
            <w:tcBorders>
              <w:top w:val="single" w:color="auto" w:sz="4" w:space="0"/>
              <w:left w:val="nil"/>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315" w:hRule="atLeast"/>
          <w:jc w:val="center"/>
        </w:trPr>
        <w:tc>
          <w:tcPr>
            <w:tcW w:w="643" w:type="dxa"/>
            <w:vMerge w:val="continue"/>
            <w:tcBorders>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709" w:type="dxa"/>
            <w:vMerge w:val="continue"/>
            <w:tcBorders>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2705" w:type="dxa"/>
            <w:vMerge w:val="continue"/>
            <w:tcBorders>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660" w:type="dxa"/>
            <w:vMerge w:val="continue"/>
            <w:tcBorders>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851" w:type="dxa"/>
            <w:vMerge w:val="continue"/>
            <w:tcBorders>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1134" w:type="dxa"/>
            <w:vMerge w:val="continue"/>
            <w:tcBorders>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708"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含税</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除税</w:t>
            </w:r>
          </w:p>
        </w:tc>
        <w:tc>
          <w:tcPr>
            <w:tcW w:w="851" w:type="dxa"/>
            <w:vMerge w:val="continue"/>
            <w:tcBorders>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745" w:type="dxa"/>
            <w:vMerge w:val="continue"/>
            <w:tcBorders>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bottom"/>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709"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2705" w:type="dxa"/>
            <w:tcBorders>
              <w:top w:val="nil"/>
              <w:left w:val="nil"/>
              <w:bottom w:val="single" w:color="000000" w:sz="8" w:space="0"/>
              <w:right w:val="single" w:color="000000" w:sz="8" w:space="0"/>
            </w:tcBorders>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bottom"/>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c>
          <w:tcPr>
            <w:tcW w:w="3414" w:type="dxa"/>
            <w:gridSpan w:val="2"/>
            <w:tcBorders>
              <w:top w:val="single" w:color="000000" w:sz="8" w:space="0"/>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本  页  合  计</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kern w:val="0"/>
                <w:szCs w:val="21"/>
              </w:rPr>
            </w:pPr>
          </w:p>
        </w:tc>
        <w:tc>
          <w:tcPr>
            <w:tcW w:w="709" w:type="dxa"/>
            <w:tcBorders>
              <w:top w:val="nil"/>
              <w:left w:val="single" w:color="auto" w:sz="4" w:space="0"/>
              <w:bottom w:val="single" w:color="000000" w:sz="8" w:space="0"/>
              <w:right w:val="single" w:color="000000" w:sz="8" w:space="0"/>
            </w:tcBorders>
            <w:vAlign w:val="center"/>
          </w:tcPr>
          <w:p>
            <w:pPr>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432" w:hRule="atLeast"/>
          <w:jc w:val="center"/>
        </w:trPr>
        <w:tc>
          <w:tcPr>
            <w:tcW w:w="643" w:type="dxa"/>
            <w:tcBorders>
              <w:top w:val="nil"/>
              <w:left w:val="single" w:color="000000" w:sz="8" w:space="0"/>
              <w:bottom w:val="single" w:color="000000" w:sz="8" w:space="0"/>
              <w:right w:val="single" w:color="000000" w:sz="8" w:space="0"/>
            </w:tcBorders>
            <w:vAlign w:val="bottom"/>
          </w:tcPr>
          <w:p>
            <w:pPr>
              <w:widowControl/>
              <w:spacing w:before="100" w:beforeAutospacing="1" w:after="100" w:afterAutospacing="1"/>
              <w:jc w:val="left"/>
              <w:rPr>
                <w:rFonts w:ascii="宋体" w:hAnsi="宋体" w:cs="宋体"/>
                <w:color w:val="000000"/>
                <w:kern w:val="0"/>
                <w:szCs w:val="21"/>
              </w:rPr>
            </w:pPr>
          </w:p>
        </w:tc>
        <w:tc>
          <w:tcPr>
            <w:tcW w:w="3414" w:type="dxa"/>
            <w:gridSpan w:val="2"/>
            <w:tcBorders>
              <w:top w:val="single" w:color="000000" w:sz="8" w:space="0"/>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累  计</w:t>
            </w:r>
          </w:p>
        </w:tc>
        <w:tc>
          <w:tcPr>
            <w:tcW w:w="660" w:type="dxa"/>
            <w:tcBorders>
              <w:top w:val="nil"/>
              <w:left w:val="nil"/>
              <w:bottom w:val="single" w:color="000000" w:sz="8" w:space="0"/>
              <w:right w:val="single" w:color="000000" w:sz="8" w:space="0"/>
            </w:tcBorders>
            <w:vAlign w:val="center"/>
          </w:tcPr>
          <w:p>
            <w:pPr>
              <w:widowControl/>
              <w:spacing w:before="100" w:beforeAutospacing="1" w:after="100" w:afterAutospacing="1"/>
              <w:jc w:val="center"/>
              <w:rPr>
                <w:rFonts w:ascii="宋体" w:hAnsi="宋体" w:cs="宋体"/>
                <w:color w:val="000000"/>
                <w:kern w:val="0"/>
                <w:szCs w:val="21"/>
              </w:rPr>
            </w:pPr>
          </w:p>
        </w:tc>
        <w:tc>
          <w:tcPr>
            <w:tcW w:w="851"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color w:val="000000"/>
                <w:kern w:val="0"/>
                <w:szCs w:val="21"/>
              </w:rPr>
            </w:pPr>
          </w:p>
        </w:tc>
        <w:tc>
          <w:tcPr>
            <w:tcW w:w="1134" w:type="dxa"/>
            <w:tcBorders>
              <w:top w:val="nil"/>
              <w:left w:val="nil"/>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color w:val="000000"/>
                <w:kern w:val="0"/>
                <w:szCs w:val="21"/>
              </w:rPr>
            </w:pPr>
          </w:p>
        </w:tc>
        <w:tc>
          <w:tcPr>
            <w:tcW w:w="708" w:type="dxa"/>
            <w:tcBorders>
              <w:top w:val="nil"/>
              <w:left w:val="nil"/>
              <w:bottom w:val="single" w:color="000000" w:sz="8" w:space="0"/>
              <w:right w:val="single" w:color="auto" w:sz="4" w:space="0"/>
            </w:tcBorders>
            <w:vAlign w:val="center"/>
          </w:tcPr>
          <w:p>
            <w:pPr>
              <w:widowControl/>
              <w:spacing w:before="100" w:beforeAutospacing="1" w:after="100" w:afterAutospacing="1"/>
              <w:jc w:val="right"/>
              <w:rPr>
                <w:rFonts w:ascii="宋体" w:hAnsi="宋体" w:cs="宋体"/>
                <w:color w:val="000000"/>
                <w:kern w:val="0"/>
                <w:szCs w:val="21"/>
              </w:rPr>
            </w:pPr>
          </w:p>
        </w:tc>
        <w:tc>
          <w:tcPr>
            <w:tcW w:w="709" w:type="dxa"/>
            <w:tcBorders>
              <w:top w:val="nil"/>
              <w:left w:val="single" w:color="auto" w:sz="4" w:space="0"/>
              <w:bottom w:val="single" w:color="000000" w:sz="8" w:space="0"/>
              <w:right w:val="single" w:color="000000" w:sz="8" w:space="0"/>
            </w:tcBorders>
            <w:vAlign w:val="center"/>
          </w:tcPr>
          <w:p>
            <w:pPr>
              <w:widowControl/>
              <w:spacing w:before="100" w:beforeAutospacing="1" w:after="100" w:afterAutospacing="1"/>
              <w:jc w:val="right"/>
              <w:rPr>
                <w:rFonts w:ascii="宋体" w:hAnsi="宋体" w:cs="宋体"/>
                <w:color w:val="000000"/>
                <w:kern w:val="0"/>
                <w:szCs w:val="21"/>
              </w:rPr>
            </w:pPr>
          </w:p>
        </w:tc>
        <w:tc>
          <w:tcPr>
            <w:tcW w:w="851"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c>
          <w:tcPr>
            <w:tcW w:w="74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right"/>
              <w:rPr>
                <w:rFonts w:ascii="宋体" w:hAnsi="宋体" w:cs="宋体"/>
                <w:color w:val="000000"/>
                <w:kern w:val="0"/>
                <w:szCs w:val="21"/>
              </w:rPr>
            </w:pPr>
          </w:p>
        </w:tc>
      </w:tr>
    </w:tbl>
    <w:p>
      <w:pPr>
        <w:rPr>
          <w:sz w:val="18"/>
          <w:szCs w:val="18"/>
          <w:lang w:val="zh-CN"/>
        </w:rPr>
      </w:pPr>
    </w:p>
    <w:p>
      <w:pPr>
        <w:rPr>
          <w:sz w:val="18"/>
          <w:szCs w:val="18"/>
          <w:lang w:val="zh-CN"/>
        </w:rPr>
        <w:sectPr>
          <w:pgSz w:w="11906" w:h="16838"/>
          <w:pgMar w:top="1418" w:right="1418" w:bottom="1418" w:left="1418" w:header="851" w:footer="992" w:gutter="0"/>
          <w:cols w:space="720" w:num="1"/>
          <w:docGrid w:type="lines" w:linePitch="312" w:charSpace="0"/>
        </w:sectPr>
      </w:pPr>
    </w:p>
    <w:tbl>
      <w:tblPr>
        <w:tblStyle w:val="42"/>
        <w:tblW w:w="10574" w:type="dxa"/>
        <w:jc w:val="center"/>
        <w:tblInd w:w="0" w:type="dxa"/>
        <w:tblLayout w:type="fixed"/>
        <w:tblCellMar>
          <w:top w:w="0" w:type="dxa"/>
          <w:left w:w="0" w:type="dxa"/>
          <w:bottom w:w="0" w:type="dxa"/>
          <w:right w:w="0" w:type="dxa"/>
        </w:tblCellMar>
      </w:tblPr>
      <w:tblGrid>
        <w:gridCol w:w="752"/>
        <w:gridCol w:w="2393"/>
        <w:gridCol w:w="3196"/>
        <w:gridCol w:w="1468"/>
        <w:gridCol w:w="789"/>
        <w:gridCol w:w="680"/>
        <w:gridCol w:w="1296"/>
      </w:tblGrid>
      <w:tr>
        <w:tblPrEx>
          <w:tblLayout w:type="fixed"/>
          <w:tblCellMar>
            <w:top w:w="0" w:type="dxa"/>
            <w:left w:w="0" w:type="dxa"/>
            <w:bottom w:w="0" w:type="dxa"/>
            <w:right w:w="0" w:type="dxa"/>
          </w:tblCellMar>
        </w:tblPrEx>
        <w:trPr>
          <w:trHeight w:val="1035" w:hRule="atLeast"/>
          <w:jc w:val="center"/>
        </w:trPr>
        <w:tc>
          <w:tcPr>
            <w:tcW w:w="10574" w:type="dxa"/>
            <w:gridSpan w:val="7"/>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hint="eastAsia" w:ascii="黑体" w:hAnsi="宋体" w:eastAsia="黑体" w:cs="宋体"/>
                <w:color w:val="000000"/>
                <w:kern w:val="0"/>
                <w:sz w:val="28"/>
                <w:szCs w:val="28"/>
              </w:rPr>
              <w:t>E.5  清单项目费用计算表（综合单价表）（一般计税法）</w:t>
            </w:r>
          </w:p>
        </w:tc>
      </w:tr>
      <w:tr>
        <w:tblPrEx>
          <w:tblLayout w:type="fixed"/>
          <w:tblCellMar>
            <w:top w:w="0" w:type="dxa"/>
            <w:left w:w="0" w:type="dxa"/>
            <w:bottom w:w="0" w:type="dxa"/>
            <w:right w:w="0" w:type="dxa"/>
          </w:tblCellMar>
        </w:tblPrEx>
        <w:trPr>
          <w:trHeight w:val="347" w:hRule="atLeast"/>
          <w:jc w:val="center"/>
        </w:trPr>
        <w:tc>
          <w:tcPr>
            <w:tcW w:w="10574" w:type="dxa"/>
            <w:gridSpan w:val="7"/>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工程名称：               标段：           </w:t>
            </w:r>
          </w:p>
        </w:tc>
      </w:tr>
      <w:tr>
        <w:tblPrEx>
          <w:tblLayout w:type="fixed"/>
          <w:tblCellMar>
            <w:top w:w="0" w:type="dxa"/>
            <w:left w:w="0" w:type="dxa"/>
            <w:bottom w:w="0" w:type="dxa"/>
            <w:right w:w="0" w:type="dxa"/>
          </w:tblCellMar>
        </w:tblPrEx>
        <w:trPr>
          <w:trHeight w:val="364" w:hRule="atLeast"/>
          <w:jc w:val="center"/>
        </w:trPr>
        <w:tc>
          <w:tcPr>
            <w:tcW w:w="10574" w:type="dxa"/>
            <w:gridSpan w:val="7"/>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color w:val="000000"/>
                <w:kern w:val="0"/>
                <w:szCs w:val="21"/>
              </w:rPr>
            </w:pPr>
            <w:r>
              <w:rPr>
                <w:rFonts w:hint="eastAsia" w:ascii="宋体" w:hAnsi="宋体" w:cs="宋体"/>
                <w:color w:val="000000"/>
                <w:kern w:val="0"/>
                <w:szCs w:val="21"/>
              </w:rPr>
              <w:t xml:space="preserve">清单编号：               单位：                      </w:t>
            </w:r>
          </w:p>
        </w:tc>
      </w:tr>
      <w:tr>
        <w:tblPrEx>
          <w:tblLayout w:type="fixed"/>
          <w:tblCellMar>
            <w:top w:w="0" w:type="dxa"/>
            <w:left w:w="0" w:type="dxa"/>
            <w:bottom w:w="0" w:type="dxa"/>
            <w:right w:w="0" w:type="dxa"/>
          </w:tblCellMar>
        </w:tblPrEx>
        <w:trPr>
          <w:trHeight w:val="330" w:hRule="atLeast"/>
          <w:jc w:val="center"/>
        </w:trPr>
        <w:tc>
          <w:tcPr>
            <w:tcW w:w="3145" w:type="dxa"/>
            <w:gridSpan w:val="2"/>
            <w:tcBorders>
              <w:top w:val="nil"/>
              <w:left w:val="nil"/>
              <w:bottom w:val="single" w:color="auto" w:sz="8" w:space="0"/>
              <w:right w:val="nil"/>
            </w:tcBorders>
            <w:vAlign w:val="center"/>
          </w:tcPr>
          <w:p>
            <w:pPr>
              <w:widowControl/>
              <w:spacing w:before="100" w:beforeAutospacing="1" w:after="100" w:afterAutospacing="1"/>
              <w:ind w:firstLine="105" w:firstLineChars="50"/>
              <w:rPr>
                <w:rFonts w:ascii="宋体" w:hAnsi="宋体" w:cs="宋体"/>
                <w:color w:val="000000"/>
                <w:kern w:val="0"/>
                <w:szCs w:val="21"/>
              </w:rPr>
            </w:pPr>
            <w:r>
              <w:rPr>
                <w:rFonts w:hint="eastAsia" w:ascii="宋体" w:hAnsi="宋体" w:cs="宋体"/>
                <w:color w:val="000000"/>
                <w:kern w:val="0"/>
                <w:szCs w:val="21"/>
              </w:rPr>
              <w:t>清单名称</w:t>
            </w:r>
          </w:p>
        </w:tc>
        <w:tc>
          <w:tcPr>
            <w:tcW w:w="3196" w:type="dxa"/>
            <w:tcBorders>
              <w:top w:val="nil"/>
              <w:left w:val="nil"/>
              <w:bottom w:val="nil"/>
              <w:right w:val="nil"/>
            </w:tcBorders>
            <w:vAlign w:val="center"/>
          </w:tcPr>
          <w:p>
            <w:pPr>
              <w:widowControl/>
              <w:spacing w:before="100" w:beforeAutospacing="1" w:after="100" w:afterAutospacing="1"/>
              <w:ind w:firstLine="1155" w:firstLineChars="550"/>
              <w:rPr>
                <w:rFonts w:ascii="宋体" w:hAnsi="宋体" w:cs="宋体"/>
                <w:color w:val="000000"/>
                <w:kern w:val="0"/>
                <w:szCs w:val="21"/>
              </w:rPr>
            </w:pPr>
            <w:r>
              <w:rPr>
                <w:rFonts w:hint="eastAsia" w:ascii="宋体" w:hAnsi="宋体" w:cs="宋体"/>
                <w:color w:val="000000"/>
                <w:kern w:val="0"/>
                <w:szCs w:val="21"/>
              </w:rPr>
              <w:t>数量：</w:t>
            </w:r>
          </w:p>
        </w:tc>
        <w:tc>
          <w:tcPr>
            <w:tcW w:w="2257" w:type="dxa"/>
            <w:gridSpan w:val="2"/>
            <w:tcBorders>
              <w:top w:val="nil"/>
              <w:left w:val="nil"/>
              <w:bottom w:val="single" w:color="auto" w:sz="4" w:space="0"/>
              <w:right w:val="nil"/>
            </w:tcBorders>
            <w:vAlign w:val="center"/>
          </w:tcPr>
          <w:p>
            <w:pPr>
              <w:widowControl/>
              <w:spacing w:before="100" w:beforeAutospacing="1" w:after="100" w:afterAutospacing="1"/>
              <w:rPr>
                <w:rFonts w:ascii="宋体" w:hAnsi="宋体" w:cs="宋体"/>
                <w:color w:val="000000"/>
                <w:kern w:val="0"/>
                <w:szCs w:val="21"/>
              </w:rPr>
            </w:pPr>
            <w:r>
              <w:rPr>
                <w:rFonts w:hint="eastAsia" w:ascii="宋体" w:hAnsi="宋体" w:cs="宋体"/>
                <w:kern w:val="0"/>
                <w:szCs w:val="21"/>
              </w:rPr>
              <w:t>综合单价：</w:t>
            </w:r>
          </w:p>
        </w:tc>
        <w:tc>
          <w:tcPr>
            <w:tcW w:w="1976" w:type="dxa"/>
            <w:gridSpan w:val="2"/>
            <w:tcBorders>
              <w:top w:val="nil"/>
              <w:left w:val="nil"/>
              <w:bottom w:val="nil"/>
              <w:right w:val="nil"/>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第  页共  页</w:t>
            </w:r>
          </w:p>
        </w:tc>
      </w:tr>
      <w:tr>
        <w:tblPrEx>
          <w:tblLayout w:type="fixed"/>
          <w:tblCellMar>
            <w:top w:w="0" w:type="dxa"/>
            <w:left w:w="0" w:type="dxa"/>
            <w:bottom w:w="0" w:type="dxa"/>
            <w:right w:w="0" w:type="dxa"/>
          </w:tblCellMar>
        </w:tblPrEx>
        <w:trPr>
          <w:trHeight w:val="486"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序号</w:t>
            </w:r>
          </w:p>
        </w:tc>
        <w:tc>
          <w:tcPr>
            <w:tcW w:w="23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工程内容</w:t>
            </w:r>
          </w:p>
        </w:tc>
        <w:tc>
          <w:tcPr>
            <w:tcW w:w="31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计费基础说明</w:t>
            </w:r>
          </w:p>
        </w:tc>
        <w:tc>
          <w:tcPr>
            <w:tcW w:w="1468"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费率(%)</w:t>
            </w:r>
          </w:p>
        </w:tc>
        <w:tc>
          <w:tcPr>
            <w:tcW w:w="1469" w:type="dxa"/>
            <w:gridSpan w:val="2"/>
            <w:tcBorders>
              <w:top w:val="single" w:color="auto" w:sz="8" w:space="0"/>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金额（元）</w:t>
            </w:r>
          </w:p>
        </w:tc>
        <w:tc>
          <w:tcPr>
            <w:tcW w:w="1296"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直接费用</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1.1+1.2+1.3</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人工费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1.1.1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rPr>
                <w:rFonts w:ascii="宋体" w:hAnsi="宋体" w:cs="宋体"/>
                <w:color w:val="000000"/>
                <w:kern w:val="0"/>
                <w:szCs w:val="21"/>
              </w:rPr>
            </w:pPr>
            <w:r>
              <w:rPr>
                <w:rFonts w:hint="eastAsia" w:ascii="宋体" w:hAnsi="宋体" w:cs="宋体"/>
                <w:color w:val="000000"/>
                <w:kern w:val="0"/>
                <w:szCs w:val="21"/>
              </w:rPr>
              <w:t>其中：取费人工费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1.2</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材料费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1.3</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机械费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r>
              <w:rPr>
                <w:rFonts w:hint="eastAsia" w:ascii="宋体" w:hAnsi="宋体" w:cs="宋体"/>
                <w:color w:val="000000"/>
                <w:kern w:val="0"/>
                <w:szCs w:val="21"/>
              </w:rPr>
              <w:t>1.3.1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rPr>
                <w:rFonts w:ascii="宋体" w:hAnsi="宋体" w:cs="宋体"/>
                <w:color w:val="000000"/>
                <w:kern w:val="0"/>
                <w:szCs w:val="21"/>
              </w:rPr>
            </w:pPr>
            <w:r>
              <w:rPr>
                <w:rFonts w:hint="eastAsia" w:ascii="宋体" w:hAnsi="宋体" w:cs="宋体"/>
                <w:color w:val="000000"/>
                <w:kern w:val="0"/>
                <w:szCs w:val="21"/>
              </w:rPr>
              <w:t>其中：取费机械费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color w:val="000000"/>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费用和利润</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2.1+2.2+2.3</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管理费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xml:space="preserve">  1.1.1或1.1.1+1.3.1　</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2.2</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利润</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1.1.1或1.1.1+1.3.1　</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规费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2.3.1+2.3.2+2.3.3+2.3.4+2.3.5</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2.3.1</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工程排污费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1+2.1+2.2</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23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2.3.2</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职工教育和工会经费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1.1</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2.3.3</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住房公积金</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1.1</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2.3.4</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安全生产责任险</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1+2.1+2.2</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2.3.5</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社会保险费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1+2.1+2.2</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3</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建安费用</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1+2</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4</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销项税额</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3</w:t>
            </w:r>
            <w:r>
              <w:rPr>
                <w:rFonts w:ascii="宋体" w:hAnsi="宋体" w:cs="宋体"/>
                <w:color w:val="000000"/>
                <w:kern w:val="0"/>
                <w:szCs w:val="21"/>
              </w:rPr>
              <w:t>×</w:t>
            </w:r>
            <w:r>
              <w:rPr>
                <w:rFonts w:hint="eastAsia" w:ascii="宋体" w:hAnsi="宋体" w:cs="宋体"/>
                <w:color w:val="000000"/>
                <w:kern w:val="0"/>
                <w:szCs w:val="21"/>
              </w:rPr>
              <w:t>税率</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75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5</w:t>
            </w:r>
          </w:p>
        </w:tc>
        <w:tc>
          <w:tcPr>
            <w:tcW w:w="239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附加税费</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（3+4）×费率</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r>
        <w:tblPrEx>
          <w:tblLayout w:type="fixed"/>
          <w:tblCellMar>
            <w:top w:w="0" w:type="dxa"/>
            <w:left w:w="0" w:type="dxa"/>
            <w:bottom w:w="0" w:type="dxa"/>
            <w:right w:w="0" w:type="dxa"/>
          </w:tblCellMar>
        </w:tblPrEx>
        <w:trPr>
          <w:trHeight w:val="383" w:hRule="atLeast"/>
          <w:jc w:val="center"/>
        </w:trPr>
        <w:tc>
          <w:tcPr>
            <w:tcW w:w="3145" w:type="dxa"/>
            <w:gridSpan w:val="2"/>
            <w:tcBorders>
              <w:top w:val="single" w:color="auto" w:sz="8" w:space="0"/>
              <w:left w:val="single" w:color="auto" w:sz="8"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合计</w:t>
            </w:r>
          </w:p>
        </w:tc>
        <w:tc>
          <w:tcPr>
            <w:tcW w:w="31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3+4+5</w:t>
            </w:r>
          </w:p>
        </w:tc>
        <w:tc>
          <w:tcPr>
            <w:tcW w:w="1468"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Cs w:val="21"/>
              </w:rPr>
            </w:pPr>
            <w:r>
              <w:rPr>
                <w:rFonts w:hint="eastAsia" w:ascii="宋体" w:hAnsi="宋体" w:cs="宋体"/>
                <w:color w:val="000000"/>
                <w:kern w:val="0"/>
                <w:szCs w:val="21"/>
              </w:rPr>
              <w:t>　</w:t>
            </w:r>
          </w:p>
        </w:tc>
        <w:tc>
          <w:tcPr>
            <w:tcW w:w="1469" w:type="dxa"/>
            <w:gridSpan w:val="2"/>
            <w:tcBorders>
              <w:top w:val="nil"/>
              <w:left w:val="single" w:color="auto" w:sz="4"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Cs w:val="21"/>
              </w:rPr>
            </w:pPr>
          </w:p>
        </w:tc>
        <w:tc>
          <w:tcPr>
            <w:tcW w:w="12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Cs w:val="21"/>
              </w:rPr>
            </w:pPr>
            <w:r>
              <w:rPr>
                <w:rFonts w:hint="eastAsia" w:ascii="宋体" w:hAnsi="宋体" w:cs="宋体"/>
                <w:color w:val="000000"/>
                <w:kern w:val="0"/>
                <w:szCs w:val="21"/>
              </w:rPr>
              <w:t>　</w:t>
            </w:r>
          </w:p>
        </w:tc>
      </w:tr>
    </w:tbl>
    <w:p>
      <w:pPr>
        <w:rPr>
          <w:sz w:val="18"/>
          <w:szCs w:val="18"/>
          <w:lang w:val="zh-CN"/>
        </w:rPr>
      </w:pPr>
    </w:p>
    <w:p>
      <w:pPr>
        <w:rPr>
          <w:sz w:val="18"/>
          <w:szCs w:val="18"/>
          <w:lang w:val="zh-CN"/>
        </w:rPr>
      </w:pPr>
    </w:p>
    <w:p>
      <w:pPr>
        <w:rPr>
          <w:sz w:val="18"/>
          <w:szCs w:val="18"/>
          <w:lang w:val="zh-CN"/>
        </w:rPr>
      </w:pPr>
    </w:p>
    <w:p>
      <w:pPr>
        <w:rPr>
          <w:sz w:val="18"/>
          <w:szCs w:val="18"/>
          <w:lang w:val="zh-CN"/>
        </w:rPr>
      </w:pPr>
    </w:p>
    <w:p>
      <w:pPr>
        <w:rPr>
          <w:sz w:val="18"/>
          <w:szCs w:val="18"/>
          <w:lang w:val="zh-CN"/>
        </w:rPr>
      </w:pPr>
    </w:p>
    <w:p>
      <w:pPr>
        <w:jc w:val="center"/>
        <w:rPr>
          <w:rFonts w:ascii="黑体" w:hAnsi="宋体" w:eastAsia="黑体" w:cs="宋体"/>
          <w:kern w:val="0"/>
          <w:sz w:val="28"/>
          <w:szCs w:val="28"/>
        </w:rPr>
        <w:sectPr>
          <w:pgSz w:w="11906" w:h="16838"/>
          <w:pgMar w:top="1418" w:right="1418" w:bottom="1418" w:left="1418" w:header="851" w:footer="992" w:gutter="0"/>
          <w:cols w:space="720" w:num="1"/>
          <w:docGrid w:type="lines" w:linePitch="312" w:charSpace="0"/>
        </w:sectPr>
      </w:pPr>
    </w:p>
    <w:p>
      <w:pPr>
        <w:jc w:val="center"/>
        <w:rPr>
          <w:rFonts w:ascii="黑体" w:hAnsi="宋体" w:eastAsia="黑体" w:cs="宋体"/>
          <w:kern w:val="0"/>
          <w:sz w:val="28"/>
          <w:szCs w:val="28"/>
        </w:rPr>
      </w:pPr>
      <w:r>
        <w:rPr>
          <w:rFonts w:hint="eastAsia" w:ascii="黑体" w:hAnsi="宋体" w:eastAsia="黑体" w:cs="宋体"/>
          <w:kern w:val="0"/>
          <w:sz w:val="28"/>
          <w:szCs w:val="28"/>
        </w:rPr>
        <w:t>E.7  总价措施项目清单计费表</w:t>
      </w:r>
    </w:p>
    <w:p>
      <w:pPr>
        <w:rPr>
          <w:rFonts w:ascii="宋体" w:hAnsi="宋体"/>
          <w:szCs w:val="21"/>
        </w:rPr>
      </w:pPr>
      <w:r>
        <w:rPr>
          <w:rFonts w:hint="eastAsia" w:ascii="宋体" w:hAnsi="宋体"/>
          <w:szCs w:val="21"/>
        </w:rPr>
        <w:t>工程名称：                          标段：                                                                           第  页共  页</w:t>
      </w:r>
    </w:p>
    <w:tbl>
      <w:tblPr>
        <w:tblStyle w:val="42"/>
        <w:tblW w:w="138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2126"/>
        <w:gridCol w:w="3956"/>
        <w:gridCol w:w="1918"/>
        <w:gridCol w:w="1329"/>
        <w:gridCol w:w="162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1613"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jc w:val="center"/>
              <w:rPr>
                <w:rFonts w:ascii="宋体" w:hAnsi="宋体"/>
                <w:szCs w:val="21"/>
              </w:rPr>
            </w:pPr>
            <w:r>
              <w:rPr>
                <w:rFonts w:hint="eastAsia" w:ascii="宋体" w:hAnsi="宋体"/>
                <w:szCs w:val="21"/>
              </w:rPr>
              <w:t>项目编码</w:t>
            </w:r>
          </w:p>
        </w:tc>
        <w:tc>
          <w:tcPr>
            <w:tcW w:w="3956" w:type="dxa"/>
            <w:vAlign w:val="center"/>
          </w:tcPr>
          <w:p>
            <w:pPr>
              <w:jc w:val="center"/>
              <w:rPr>
                <w:rFonts w:ascii="宋体" w:hAnsi="宋体"/>
                <w:szCs w:val="21"/>
              </w:rPr>
            </w:pPr>
            <w:r>
              <w:rPr>
                <w:rFonts w:hint="eastAsia" w:ascii="宋体" w:hAnsi="宋体"/>
                <w:szCs w:val="21"/>
              </w:rPr>
              <w:t>项目名称</w:t>
            </w:r>
          </w:p>
        </w:tc>
        <w:tc>
          <w:tcPr>
            <w:tcW w:w="1918" w:type="dxa"/>
            <w:vAlign w:val="center"/>
          </w:tcPr>
          <w:p>
            <w:pPr>
              <w:jc w:val="center"/>
              <w:rPr>
                <w:rFonts w:ascii="宋体" w:hAnsi="宋体"/>
                <w:szCs w:val="21"/>
              </w:rPr>
            </w:pPr>
            <w:r>
              <w:rPr>
                <w:rFonts w:hint="eastAsia" w:ascii="宋体" w:hAnsi="宋体"/>
                <w:szCs w:val="21"/>
              </w:rPr>
              <w:t>计算基础</w:t>
            </w:r>
          </w:p>
        </w:tc>
        <w:tc>
          <w:tcPr>
            <w:tcW w:w="1329" w:type="dxa"/>
            <w:vAlign w:val="center"/>
          </w:tcPr>
          <w:p>
            <w:pPr>
              <w:jc w:val="center"/>
              <w:rPr>
                <w:rFonts w:ascii="宋体" w:hAnsi="宋体"/>
                <w:szCs w:val="21"/>
              </w:rPr>
            </w:pPr>
            <w:r>
              <w:rPr>
                <w:rFonts w:hint="eastAsia" w:ascii="宋体" w:hAnsi="宋体"/>
                <w:szCs w:val="21"/>
              </w:rPr>
              <w:t>费率（%）</w:t>
            </w:r>
          </w:p>
        </w:tc>
        <w:tc>
          <w:tcPr>
            <w:tcW w:w="1624" w:type="dxa"/>
            <w:vAlign w:val="center"/>
          </w:tcPr>
          <w:p>
            <w:pPr>
              <w:jc w:val="center"/>
              <w:rPr>
                <w:rFonts w:ascii="宋体" w:hAnsi="宋体"/>
                <w:szCs w:val="21"/>
              </w:rPr>
            </w:pPr>
            <w:r>
              <w:rPr>
                <w:rFonts w:hint="eastAsia" w:ascii="宋体" w:hAnsi="宋体"/>
                <w:szCs w:val="21"/>
              </w:rPr>
              <w:t>金额（元）</w:t>
            </w:r>
          </w:p>
        </w:tc>
        <w:tc>
          <w:tcPr>
            <w:tcW w:w="1326" w:type="dxa"/>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1</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安全文明施工费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2</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夜间施工增加费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3</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提前竣工（赶工）费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4</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冬雨季施工增加费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5</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工程定位复测费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r>
              <w:rPr>
                <w:rFonts w:hint="eastAsia" w:ascii="宋体" w:hAnsi="宋体"/>
                <w:szCs w:val="21"/>
              </w:rPr>
              <w:t>6</w:t>
            </w: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r>
              <w:rPr>
                <w:rFonts w:hint="eastAsia" w:ascii="宋体" w:hAnsi="宋体"/>
                <w:szCs w:val="21"/>
              </w:rPr>
              <w:t>（专业工程中的有关措施项目费）</w:t>
            </w: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613" w:type="dxa"/>
            <w:vAlign w:val="center"/>
          </w:tcPr>
          <w:p>
            <w:pPr>
              <w:jc w:val="center"/>
              <w:rPr>
                <w:rFonts w:ascii="宋体" w:hAnsi="宋体"/>
                <w:szCs w:val="21"/>
              </w:rPr>
            </w:pPr>
          </w:p>
        </w:tc>
        <w:tc>
          <w:tcPr>
            <w:tcW w:w="2126" w:type="dxa"/>
            <w:vAlign w:val="center"/>
          </w:tcPr>
          <w:p>
            <w:pPr>
              <w:jc w:val="center"/>
              <w:rPr>
                <w:rFonts w:ascii="宋体" w:hAnsi="宋体"/>
                <w:szCs w:val="21"/>
              </w:rPr>
            </w:pPr>
          </w:p>
        </w:tc>
        <w:tc>
          <w:tcPr>
            <w:tcW w:w="3956" w:type="dxa"/>
            <w:vAlign w:val="center"/>
          </w:tcPr>
          <w:p>
            <w:pPr>
              <w:jc w:val="center"/>
              <w:rPr>
                <w:rFonts w:ascii="宋体" w:hAnsi="宋体"/>
                <w:szCs w:val="21"/>
              </w:rPr>
            </w:pPr>
          </w:p>
        </w:tc>
        <w:tc>
          <w:tcPr>
            <w:tcW w:w="1918" w:type="dxa"/>
            <w:vAlign w:val="center"/>
          </w:tcPr>
          <w:p>
            <w:pPr>
              <w:jc w:val="center"/>
              <w:rPr>
                <w:rFonts w:ascii="宋体" w:hAnsi="宋体"/>
                <w:szCs w:val="21"/>
              </w:rPr>
            </w:pPr>
          </w:p>
        </w:tc>
        <w:tc>
          <w:tcPr>
            <w:tcW w:w="1329" w:type="dxa"/>
            <w:vAlign w:val="center"/>
          </w:tcPr>
          <w:p>
            <w:pPr>
              <w:jc w:val="center"/>
              <w:rPr>
                <w:rFonts w:ascii="宋体" w:hAnsi="宋体"/>
                <w:szCs w:val="21"/>
              </w:rPr>
            </w:pP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10942" w:type="dxa"/>
            <w:gridSpan w:val="5"/>
            <w:vAlign w:val="center"/>
          </w:tcPr>
          <w:p>
            <w:pPr>
              <w:jc w:val="center"/>
              <w:rPr>
                <w:rFonts w:ascii="宋体" w:hAnsi="宋体"/>
                <w:szCs w:val="21"/>
              </w:rPr>
            </w:pPr>
            <w:r>
              <w:rPr>
                <w:rFonts w:hint="eastAsia" w:ascii="宋体" w:hAnsi="宋体"/>
                <w:szCs w:val="21"/>
              </w:rPr>
              <w:t>合计</w:t>
            </w:r>
          </w:p>
        </w:tc>
        <w:tc>
          <w:tcPr>
            <w:tcW w:w="1624" w:type="dxa"/>
            <w:vAlign w:val="center"/>
          </w:tcPr>
          <w:p>
            <w:pPr>
              <w:jc w:val="center"/>
              <w:rPr>
                <w:rFonts w:ascii="宋体" w:hAnsi="宋体"/>
                <w:szCs w:val="21"/>
              </w:rPr>
            </w:pPr>
          </w:p>
        </w:tc>
        <w:tc>
          <w:tcPr>
            <w:tcW w:w="1326" w:type="dxa"/>
            <w:vAlign w:val="center"/>
          </w:tcPr>
          <w:p>
            <w:pPr>
              <w:jc w:val="center"/>
              <w:rPr>
                <w:rFonts w:ascii="宋体" w:hAnsi="宋体"/>
                <w:szCs w:val="21"/>
              </w:rPr>
            </w:pPr>
          </w:p>
        </w:tc>
      </w:tr>
    </w:tbl>
    <w:p>
      <w:pPr>
        <w:rPr>
          <w:sz w:val="18"/>
          <w:szCs w:val="18"/>
        </w:rPr>
      </w:pPr>
    </w:p>
    <w:p>
      <w:pPr>
        <w:rPr>
          <w:sz w:val="18"/>
          <w:szCs w:val="18"/>
        </w:rPr>
      </w:pPr>
      <w:r>
        <w:rPr>
          <w:rFonts w:hint="eastAsia"/>
          <w:sz w:val="18"/>
          <w:szCs w:val="18"/>
        </w:rPr>
        <w:t>注：按施工方案计算的措施费，若无“计算基础”和“费率”的数值，也可只填“金额”数值，但应在备注栏说明施工方案出处或计算方法。</w:t>
      </w:r>
    </w:p>
    <w:p>
      <w:pPr>
        <w:sectPr>
          <w:pgSz w:w="16838" w:h="11906" w:orient="landscape"/>
          <w:pgMar w:top="1803" w:right="1440" w:bottom="1803" w:left="1440" w:header="851" w:footer="992" w:gutter="0"/>
          <w:cols w:space="720" w:num="1"/>
          <w:docGrid w:type="lines" w:linePitch="319" w:charSpace="0"/>
        </w:sectPr>
      </w:pPr>
    </w:p>
    <w:p>
      <w:pPr>
        <w:shd w:val="clear" w:color="auto" w:fill="FFFFFF"/>
        <w:snapToGrid w:val="0"/>
        <w:spacing w:line="480" w:lineRule="exact"/>
        <w:jc w:val="center"/>
        <w:rPr>
          <w:rFonts w:ascii="黑体" w:hAnsi="黑体" w:eastAsia="黑体"/>
          <w:sz w:val="30"/>
          <w:szCs w:val="30"/>
        </w:rPr>
      </w:pPr>
      <w:r>
        <w:rPr>
          <w:rFonts w:hint="eastAsia" w:ascii="黑体" w:hAnsi="黑体" w:eastAsia="黑体"/>
          <w:sz w:val="30"/>
          <w:szCs w:val="30"/>
        </w:rPr>
        <w:t xml:space="preserve"> 附录F  其他项目计价表</w:t>
      </w:r>
    </w:p>
    <w:p>
      <w:pPr>
        <w:shd w:val="clear" w:color="auto" w:fill="FFFFFF"/>
        <w:snapToGrid w:val="0"/>
        <w:spacing w:line="480" w:lineRule="exact"/>
        <w:jc w:val="center"/>
        <w:rPr>
          <w:rFonts w:ascii="黑体" w:hAnsi="宋体" w:eastAsia="黑体" w:cs="宋体"/>
          <w:color w:val="000000"/>
          <w:kern w:val="0"/>
          <w:szCs w:val="21"/>
        </w:rPr>
      </w:pPr>
      <w:r>
        <w:rPr>
          <w:rFonts w:hint="eastAsia" w:ascii="黑体" w:hAnsi="黑体" w:eastAsia="黑体"/>
          <w:sz w:val="28"/>
          <w:szCs w:val="28"/>
        </w:rPr>
        <w:t>F.1  其他项目清单与计价汇总表</w:t>
      </w:r>
    </w:p>
    <w:p>
      <w:pPr>
        <w:shd w:val="clear" w:color="auto" w:fill="FFFFFF"/>
        <w:snapToGrid w:val="0"/>
        <w:spacing w:line="480" w:lineRule="exact"/>
        <w:ind w:firstLine="420"/>
        <w:jc w:val="center"/>
        <w:rPr>
          <w:rFonts w:ascii="黑体" w:hAnsi="黑体" w:eastAsia="黑体"/>
          <w:color w:val="FF0000"/>
          <w:sz w:val="28"/>
          <w:szCs w:val="28"/>
        </w:rPr>
      </w:pPr>
      <w:r>
        <w:rPr>
          <w:rFonts w:hint="eastAsia" w:ascii="黑体" w:hAnsi="黑体" w:eastAsia="黑体"/>
          <w:sz w:val="28"/>
          <w:szCs w:val="28"/>
        </w:rPr>
        <w:t>（一般计税法）</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874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3478"/>
        <w:gridCol w:w="1276"/>
        <w:gridCol w:w="1542"/>
        <w:gridCol w:w="17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5"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序号</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项目名称</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金额（元）</w:t>
            </w: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结算金额（元）</w:t>
            </w: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1</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暂列金额</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2</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暂估价</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2.1</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材料（工程设备）暂估价／结算价</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2.2</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专业工程暂估价／结算价</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3</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计日工</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4</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总承包服务费</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5</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索赔与现场签证</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明细详见F.8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xml:space="preserve">  6</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ind w:left="315"/>
              <w:rPr>
                <w:rFonts w:ascii="宋体" w:hAnsi="宋体"/>
                <w:szCs w:val="21"/>
              </w:rPr>
            </w:pPr>
            <w:r>
              <w:rPr>
                <w:rFonts w:hint="eastAsia" w:ascii="宋体" w:hAnsi="宋体"/>
                <w:szCs w:val="21"/>
              </w:rPr>
              <w:t>1+2.2+3+4+5合计</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ind w:firstLine="210" w:firstLineChars="100"/>
              <w:rPr>
                <w:rFonts w:ascii="宋体" w:hAnsi="宋体"/>
                <w:szCs w:val="21"/>
              </w:rPr>
            </w:pPr>
            <w:r>
              <w:rPr>
                <w:rFonts w:hint="eastAsia" w:ascii="宋体" w:hAnsi="宋体"/>
                <w:szCs w:val="21"/>
              </w:rPr>
              <w:t>7</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ind w:firstLine="315" w:firstLineChars="150"/>
              <w:rPr>
                <w:rFonts w:ascii="宋体" w:hAnsi="宋体"/>
                <w:szCs w:val="21"/>
              </w:rPr>
            </w:pPr>
            <w:r>
              <w:rPr>
                <w:rFonts w:hint="eastAsia" w:ascii="宋体" w:hAnsi="宋体"/>
                <w:szCs w:val="21"/>
              </w:rPr>
              <w:t>销项税额  6×11%</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8</w:t>
            </w:r>
          </w:p>
        </w:tc>
        <w:tc>
          <w:tcPr>
            <w:tcW w:w="3478"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 xml:space="preserve">   附加税费（6＋7）×费率</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60" w:hRule="atLeast"/>
          <w:jc w:val="center"/>
        </w:trPr>
        <w:tc>
          <w:tcPr>
            <w:tcW w:w="421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6+7+8合计</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54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1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hd w:val="clear" w:color="auto" w:fill="FFFFFF"/>
        <w:snapToGrid w:val="0"/>
        <w:spacing w:line="320" w:lineRule="exact"/>
        <w:rPr>
          <w:rFonts w:ascii="宋体" w:hAnsi="宋体"/>
          <w:sz w:val="18"/>
          <w:szCs w:val="18"/>
        </w:rPr>
      </w:pPr>
      <w:r>
        <w:rPr>
          <w:rFonts w:hint="eastAsia" w:ascii="宋体" w:hAnsi="宋体"/>
          <w:sz w:val="18"/>
          <w:szCs w:val="18"/>
        </w:rPr>
        <w:t>注：材料（工程设备）暂估单价及调价表在F.4填报时按除税价填报；材料（工程设备）暂估单价计入直接费与清单项目综合单价，此处不汇总。</w:t>
      </w:r>
    </w:p>
    <w:p>
      <w:pPr>
        <w:shd w:val="clear" w:color="auto" w:fill="FFFFFF"/>
        <w:snapToGrid w:val="0"/>
        <w:spacing w:line="320" w:lineRule="exact"/>
      </w:pPr>
    </w:p>
    <w:p>
      <w:pPr/>
    </w:p>
    <w:p>
      <w:pPr/>
    </w:p>
    <w:p>
      <w:pPr>
        <w:sectPr>
          <w:footerReference r:id="rId14" w:type="default"/>
          <w:pgSz w:w="11906" w:h="16838"/>
          <w:pgMar w:top="1440" w:right="1800" w:bottom="1440" w:left="1800" w:header="851" w:footer="992" w:gutter="0"/>
          <w:cols w:space="720" w:num="1"/>
          <w:docGrid w:type="lines" w:linePitch="312" w:charSpace="0"/>
        </w:sectPr>
      </w:pPr>
    </w:p>
    <w:p>
      <w:pPr>
        <w:shd w:val="clear" w:color="auto" w:fill="FFFFFF"/>
        <w:snapToGrid w:val="0"/>
        <w:spacing w:line="480" w:lineRule="exact"/>
        <w:jc w:val="center"/>
        <w:rPr>
          <w:rFonts w:ascii="黑体" w:hAnsi="黑体" w:eastAsia="黑体"/>
          <w:sz w:val="28"/>
          <w:szCs w:val="28"/>
        </w:rPr>
      </w:pPr>
      <w:r>
        <w:rPr>
          <w:rFonts w:hint="eastAsia" w:ascii="黑体" w:hAnsi="黑体" w:eastAsia="黑体"/>
          <w:sz w:val="28"/>
          <w:szCs w:val="28"/>
        </w:rPr>
        <w:t>F.3  暂列金额明细表</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852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8"/>
        <w:gridCol w:w="3294"/>
        <w:gridCol w:w="1789"/>
        <w:gridCol w:w="1219"/>
        <w:gridCol w:w="148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5"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序号</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项目名称</w:t>
            </w: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计量单位</w:t>
            </w: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暂定金额</w:t>
            </w:r>
          </w:p>
          <w:p>
            <w:pPr>
              <w:spacing w:line="240" w:lineRule="exact"/>
              <w:jc w:val="center"/>
              <w:rPr>
                <w:rFonts w:ascii="宋体" w:hAnsi="宋体"/>
                <w:szCs w:val="21"/>
              </w:rPr>
            </w:pPr>
            <w:r>
              <w:rPr>
                <w:rFonts w:hint="eastAsia" w:ascii="宋体" w:hAnsi="宋体"/>
                <w:szCs w:val="21"/>
              </w:rPr>
              <w:t>（元）</w:t>
            </w: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1</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不可预见费</w:t>
            </w: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2</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r>
              <w:rPr>
                <w:rFonts w:hint="eastAsia" w:ascii="宋体" w:hAnsi="宋体"/>
                <w:szCs w:val="21"/>
              </w:rPr>
              <w:t>检验试验费</w:t>
            </w: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3</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4</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5</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6</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7</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8</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9</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10</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11</w:t>
            </w:r>
          </w:p>
        </w:tc>
        <w:tc>
          <w:tcPr>
            <w:tcW w:w="329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szCs w:val="21"/>
              </w:rPr>
            </w:pP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2" w:hRule="atLeast"/>
          <w:jc w:val="center"/>
        </w:trPr>
        <w:tc>
          <w:tcPr>
            <w:tcW w:w="403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合　　计</w:t>
            </w:r>
          </w:p>
        </w:tc>
        <w:tc>
          <w:tcPr>
            <w:tcW w:w="178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21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4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hd w:val="clear" w:color="auto" w:fill="FFFFFF"/>
        <w:snapToGrid w:val="0"/>
        <w:spacing w:line="240" w:lineRule="exact"/>
        <w:rPr>
          <w:rFonts w:ascii="宋体" w:hAnsi="宋体"/>
          <w:sz w:val="18"/>
          <w:szCs w:val="18"/>
        </w:rPr>
      </w:pPr>
      <w:r>
        <w:rPr>
          <w:rFonts w:hint="eastAsia" w:ascii="宋体" w:hAnsi="宋体"/>
          <w:sz w:val="18"/>
          <w:szCs w:val="18"/>
        </w:rPr>
        <w:t>注：1.此表由招标人填写，如不能详列，也可只列暂定金额总额，投标人应将上述暂列金额计入投标总价中。</w:t>
      </w:r>
    </w:p>
    <w:p>
      <w:pPr>
        <w:shd w:val="clear" w:color="auto" w:fill="FFFFFF"/>
        <w:snapToGrid w:val="0"/>
        <w:spacing w:line="240" w:lineRule="exact"/>
        <w:rPr>
          <w:rFonts w:ascii="宋体" w:hAnsi="宋体"/>
          <w:sz w:val="18"/>
          <w:szCs w:val="18"/>
        </w:rPr>
      </w:pPr>
      <w:r>
        <w:rPr>
          <w:rFonts w:hint="eastAsia" w:ascii="宋体" w:hAnsi="宋体"/>
          <w:sz w:val="18"/>
          <w:szCs w:val="18"/>
        </w:rPr>
        <w:t xml:space="preserve">    2. 检验试验费按直接费用的0.5%～1.0%计取。</w:t>
      </w:r>
    </w:p>
    <w:p>
      <w:pPr>
        <w:shd w:val="clear" w:color="auto" w:fill="FFFFFF"/>
        <w:snapToGrid w:val="0"/>
        <w:spacing w:line="480" w:lineRule="exact"/>
        <w:rPr>
          <w:rFonts w:ascii="方正黑体简体" w:eastAsia="方正黑体简体"/>
          <w:sz w:val="32"/>
          <w:szCs w:val="32"/>
        </w:rPr>
      </w:pPr>
    </w:p>
    <w:p>
      <w:pPr>
        <w:shd w:val="clear" w:color="auto" w:fill="FFFFFF"/>
        <w:snapToGrid w:val="0"/>
        <w:spacing w:line="480" w:lineRule="exact"/>
        <w:rPr>
          <w:rFonts w:ascii="方正书宋_GBK" w:eastAsia="方正书宋_GBK"/>
          <w:szCs w:val="21"/>
        </w:rPr>
      </w:pPr>
    </w:p>
    <w:p>
      <w:pPr>
        <w:shd w:val="clear" w:color="auto" w:fill="FFFFFF"/>
        <w:snapToGrid w:val="0"/>
        <w:spacing w:line="480" w:lineRule="exact"/>
        <w:rPr>
          <w:rFonts w:ascii="方正书宋_GBK" w:eastAsia="方正书宋_GBK"/>
          <w:szCs w:val="21"/>
        </w:rPr>
      </w:pPr>
    </w:p>
    <w:p>
      <w:pPr>
        <w:shd w:val="clear" w:color="auto" w:fill="FFFFFF"/>
        <w:snapToGrid w:val="0"/>
        <w:spacing w:line="480" w:lineRule="exact"/>
        <w:jc w:val="center"/>
        <w:rPr>
          <w:rFonts w:ascii="黑体" w:hAnsi="黑体" w:eastAsia="黑体"/>
          <w:sz w:val="28"/>
          <w:szCs w:val="28"/>
        </w:rPr>
        <w:sectPr>
          <w:pgSz w:w="11906" w:h="16838"/>
          <w:pgMar w:top="1440" w:right="1800" w:bottom="1440" w:left="1800" w:header="851" w:footer="992" w:gutter="0"/>
          <w:cols w:space="720" w:num="1"/>
          <w:docGrid w:type="lines" w:linePitch="312" w:charSpace="0"/>
        </w:sectPr>
      </w:pPr>
    </w:p>
    <w:p>
      <w:pPr>
        <w:shd w:val="clear" w:color="auto" w:fill="FFFFFF"/>
        <w:snapToGrid w:val="0"/>
        <w:spacing w:line="480" w:lineRule="exact"/>
        <w:jc w:val="center"/>
        <w:rPr>
          <w:rFonts w:ascii="黑体" w:hAnsi="黑体" w:eastAsia="黑体"/>
          <w:sz w:val="28"/>
          <w:szCs w:val="28"/>
        </w:rPr>
      </w:pPr>
      <w:r>
        <w:rPr>
          <w:rFonts w:hint="eastAsia" w:ascii="黑体" w:hAnsi="黑体" w:eastAsia="黑体"/>
          <w:sz w:val="28"/>
          <w:szCs w:val="28"/>
        </w:rPr>
        <w:t>F.4  材料（工程设备）暂估单价及调整表</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9217"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1"/>
        <w:gridCol w:w="2222"/>
        <w:gridCol w:w="724"/>
        <w:gridCol w:w="625"/>
        <w:gridCol w:w="626"/>
        <w:gridCol w:w="626"/>
        <w:gridCol w:w="626"/>
        <w:gridCol w:w="625"/>
        <w:gridCol w:w="626"/>
        <w:gridCol w:w="626"/>
        <w:gridCol w:w="626"/>
        <w:gridCol w:w="7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7" w:hRule="atLeast"/>
          <w:jc w:val="center"/>
        </w:trPr>
        <w:tc>
          <w:tcPr>
            <w:tcW w:w="531" w:type="dxa"/>
            <w:vMerge w:val="restar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序号</w:t>
            </w:r>
          </w:p>
        </w:tc>
        <w:tc>
          <w:tcPr>
            <w:tcW w:w="2222" w:type="dxa"/>
            <w:vMerge w:val="restar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材料（工程设备）</w:t>
            </w:r>
          </w:p>
          <w:p>
            <w:pPr>
              <w:spacing w:line="240" w:lineRule="exact"/>
              <w:jc w:val="center"/>
              <w:rPr>
                <w:rFonts w:ascii="宋体" w:hAnsi="宋体"/>
                <w:szCs w:val="21"/>
              </w:rPr>
            </w:pPr>
            <w:r>
              <w:rPr>
                <w:rFonts w:hint="eastAsia" w:ascii="宋体" w:hAnsi="宋体"/>
                <w:szCs w:val="21"/>
              </w:rPr>
              <w:t xml:space="preserve">名称、规格、型号   </w:t>
            </w:r>
          </w:p>
        </w:tc>
        <w:tc>
          <w:tcPr>
            <w:tcW w:w="724" w:type="dxa"/>
            <w:vMerge w:val="restar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计量</w:t>
            </w:r>
          </w:p>
          <w:p>
            <w:pPr>
              <w:spacing w:line="240" w:lineRule="exact"/>
              <w:jc w:val="center"/>
              <w:rPr>
                <w:rFonts w:ascii="宋体" w:hAnsi="宋体"/>
                <w:szCs w:val="21"/>
              </w:rPr>
            </w:pPr>
            <w:r>
              <w:rPr>
                <w:rFonts w:hint="eastAsia" w:ascii="宋体" w:hAnsi="宋体"/>
                <w:szCs w:val="21"/>
              </w:rPr>
              <w:t>单位</w:t>
            </w:r>
          </w:p>
        </w:tc>
        <w:tc>
          <w:tcPr>
            <w:tcW w:w="1251"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数量</w:t>
            </w:r>
          </w:p>
        </w:tc>
        <w:tc>
          <w:tcPr>
            <w:tcW w:w="1252"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暂估（元）</w:t>
            </w:r>
          </w:p>
        </w:tc>
        <w:tc>
          <w:tcPr>
            <w:tcW w:w="1251"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确认（元）</w:t>
            </w:r>
          </w:p>
        </w:tc>
        <w:tc>
          <w:tcPr>
            <w:tcW w:w="1252"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差额±（元）</w:t>
            </w:r>
          </w:p>
        </w:tc>
        <w:tc>
          <w:tcPr>
            <w:tcW w:w="734" w:type="dxa"/>
            <w:vMerge w:val="restar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2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7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暂估</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确认</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单价</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合价</w:t>
            </w: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单价</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合价</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单价</w:t>
            </w: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合价</w:t>
            </w:r>
          </w:p>
        </w:tc>
        <w:tc>
          <w:tcPr>
            <w:tcW w:w="7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53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22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2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1" w:hRule="atLeast"/>
          <w:jc w:val="center"/>
        </w:trPr>
        <w:tc>
          <w:tcPr>
            <w:tcW w:w="347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合　　计</w:t>
            </w: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626"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73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r>
    </w:tbl>
    <w:p>
      <w:pPr>
        <w:shd w:val="clear" w:color="auto" w:fill="FFFFFF"/>
        <w:snapToGrid w:val="0"/>
        <w:spacing w:line="240" w:lineRule="exact"/>
        <w:rPr>
          <w:rFonts w:ascii="宋体" w:hAnsi="宋体"/>
          <w:sz w:val="18"/>
          <w:szCs w:val="18"/>
        </w:rPr>
      </w:pPr>
      <w:r>
        <w:rPr>
          <w:rFonts w:hint="eastAsia" w:ascii="宋体" w:hAnsi="宋体"/>
          <w:sz w:val="18"/>
          <w:szCs w:val="18"/>
        </w:rPr>
        <w:t>注：1.此表由招标人填写“暂估单价”，并在备注栏说明暂估价的材料、工程设备拟用在那些清单项目上，投标人应将上述材料、工程设备暂估单价计入工程量清单综合单价报价中。</w:t>
      </w:r>
    </w:p>
    <w:p>
      <w:pPr>
        <w:shd w:val="clear" w:color="auto" w:fill="FFFFFF"/>
        <w:snapToGrid w:val="0"/>
        <w:spacing w:line="320" w:lineRule="exact"/>
        <w:ind w:firstLine="420"/>
        <w:rPr>
          <w:rFonts w:ascii="宋体" w:hAnsi="宋体"/>
          <w:sz w:val="18"/>
          <w:szCs w:val="18"/>
        </w:rPr>
      </w:pPr>
      <w:r>
        <w:rPr>
          <w:rFonts w:hint="eastAsia" w:ascii="宋体" w:hAnsi="宋体"/>
          <w:sz w:val="18"/>
          <w:szCs w:val="18"/>
        </w:rPr>
        <w:t>2.采用一般计税法时按除税价填报；采用简易计税法时按含税价填报。</w:t>
      </w:r>
    </w:p>
    <w:p>
      <w:pPr>
        <w:shd w:val="clear" w:color="auto" w:fill="FFFFFF"/>
        <w:snapToGrid w:val="0"/>
        <w:spacing w:line="320" w:lineRule="exact"/>
        <w:ind w:firstLine="420"/>
        <w:rPr>
          <w:rFonts w:ascii="宋体" w:hAnsi="宋体"/>
          <w:sz w:val="18"/>
          <w:szCs w:val="18"/>
        </w:rPr>
      </w:pPr>
      <w:r>
        <w:rPr>
          <w:rFonts w:hint="eastAsia" w:ascii="宋体" w:hAnsi="宋体"/>
          <w:sz w:val="18"/>
          <w:szCs w:val="18"/>
        </w:rPr>
        <w:t>3.材料（工程设备）暂估单价计入直接费与清单项目综合单价，此处汇总后不再重复相加。</w:t>
      </w:r>
    </w:p>
    <w:p>
      <w:pPr>
        <w:shd w:val="clear" w:color="auto" w:fill="FFFFFF"/>
        <w:snapToGrid w:val="0"/>
        <w:spacing w:line="240" w:lineRule="exact"/>
        <w:rPr>
          <w:rFonts w:ascii="方正书宋_GBK" w:eastAsia="方正书宋_GBK"/>
          <w:szCs w:val="21"/>
        </w:rPr>
      </w:pPr>
    </w:p>
    <w:p>
      <w:pPr>
        <w:shd w:val="clear" w:color="auto" w:fill="FFFFFF"/>
        <w:snapToGrid w:val="0"/>
        <w:spacing w:line="240" w:lineRule="exact"/>
        <w:ind w:firstLine="420" w:firstLineChars="200"/>
        <w:rPr>
          <w:rFonts w:ascii="方正书宋_GBK" w:eastAsia="方正书宋_GBK"/>
          <w:szCs w:val="21"/>
        </w:rPr>
      </w:pPr>
    </w:p>
    <w:p>
      <w:pPr>
        <w:shd w:val="clear" w:color="auto" w:fill="FFFFFF"/>
        <w:snapToGrid w:val="0"/>
        <w:spacing w:line="480" w:lineRule="exact"/>
        <w:rPr>
          <w:rFonts w:ascii="方正书宋_GBK" w:eastAsia="方正书宋_GBK"/>
          <w:szCs w:val="21"/>
        </w:rPr>
      </w:pPr>
      <w:r>
        <w:rPr>
          <w:rFonts w:hint="eastAsia" w:ascii="方正书宋_GBK" w:hAnsi="宋体" w:eastAsia="方正书宋_GBK" w:cs="宋体"/>
          <w:kern w:val="0"/>
          <w:sz w:val="24"/>
          <w:szCs w:val="21"/>
        </w:rPr>
        <w:br w:type="page"/>
      </w:r>
    </w:p>
    <w:p>
      <w:pPr>
        <w:shd w:val="clear" w:color="auto" w:fill="FFFFFF"/>
        <w:snapToGrid w:val="0"/>
        <w:spacing w:line="480" w:lineRule="exact"/>
        <w:jc w:val="center"/>
        <w:rPr>
          <w:rFonts w:ascii="黑体" w:hAnsi="黑体" w:eastAsia="黑体"/>
          <w:sz w:val="28"/>
          <w:szCs w:val="28"/>
        </w:rPr>
      </w:pPr>
      <w:r>
        <w:rPr>
          <w:rFonts w:hint="eastAsia" w:ascii="黑体" w:hAnsi="黑体" w:eastAsia="黑体"/>
          <w:sz w:val="28"/>
          <w:szCs w:val="28"/>
        </w:rPr>
        <w:t>F.5  专业工程暂估价及结算价表</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862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1988"/>
        <w:gridCol w:w="1780"/>
        <w:gridCol w:w="1126"/>
        <w:gridCol w:w="1070"/>
        <w:gridCol w:w="1068"/>
        <w:gridCol w:w="7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序号</w:t>
            </w: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工程名称</w:t>
            </w: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工程内容</w:t>
            </w: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暂估金额</w:t>
            </w:r>
          </w:p>
          <w:p>
            <w:pPr>
              <w:spacing w:line="240" w:lineRule="exact"/>
              <w:jc w:val="center"/>
              <w:rPr>
                <w:rFonts w:ascii="宋体" w:hAnsi="宋体"/>
                <w:szCs w:val="21"/>
              </w:rPr>
            </w:pPr>
            <w:r>
              <w:rPr>
                <w:rFonts w:hint="eastAsia" w:ascii="宋体" w:hAnsi="宋体"/>
                <w:szCs w:val="21"/>
              </w:rPr>
              <w:t>（元）</w:t>
            </w: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结算金额</w:t>
            </w:r>
          </w:p>
          <w:p>
            <w:pPr>
              <w:spacing w:line="240" w:lineRule="exact"/>
              <w:jc w:val="center"/>
              <w:rPr>
                <w:rFonts w:ascii="宋体" w:hAnsi="宋体"/>
                <w:szCs w:val="21"/>
              </w:rPr>
            </w:pPr>
            <w:r>
              <w:rPr>
                <w:rFonts w:hint="eastAsia" w:ascii="宋体" w:hAnsi="宋体"/>
                <w:szCs w:val="21"/>
              </w:rPr>
              <w:t>（元）</w:t>
            </w: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差额</w:t>
            </w:r>
          </w:p>
          <w:p>
            <w:pPr>
              <w:spacing w:line="240" w:lineRule="exact"/>
              <w:jc w:val="center"/>
              <w:rPr>
                <w:rFonts w:ascii="宋体" w:hAnsi="宋体"/>
                <w:szCs w:val="21"/>
              </w:rPr>
            </w:pPr>
            <w:r>
              <w:rPr>
                <w:rFonts w:hint="eastAsia" w:ascii="宋体" w:hAnsi="宋体"/>
                <w:szCs w:val="21"/>
              </w:rPr>
              <w:t>±（元）</w:t>
            </w: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83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p>
        </w:tc>
        <w:tc>
          <w:tcPr>
            <w:tcW w:w="198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atLeast"/>
          <w:jc w:val="center"/>
        </w:trPr>
        <w:tc>
          <w:tcPr>
            <w:tcW w:w="4607"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合　　计</w:t>
            </w:r>
          </w:p>
        </w:tc>
        <w:tc>
          <w:tcPr>
            <w:tcW w:w="112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7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06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hd w:val="clear" w:color="auto" w:fill="FFFFFF"/>
        <w:snapToGrid w:val="0"/>
        <w:spacing w:line="240" w:lineRule="exact"/>
        <w:rPr>
          <w:rFonts w:ascii="宋体" w:hAnsi="宋体"/>
          <w:sz w:val="18"/>
          <w:szCs w:val="18"/>
        </w:rPr>
      </w:pPr>
      <w:r>
        <w:rPr>
          <w:rFonts w:hint="eastAsia" w:ascii="宋体" w:hAnsi="宋体"/>
          <w:sz w:val="18"/>
          <w:szCs w:val="18"/>
        </w:rPr>
        <w:t>注：1.此表“暂估金额”由招标人填写，投标人应将“暂估金额”计入投标总价中。结算时按合同约定结算金额填写。</w:t>
      </w:r>
    </w:p>
    <w:p>
      <w:pPr>
        <w:shd w:val="clear" w:color="auto" w:fill="FFFFFF"/>
        <w:snapToGrid w:val="0"/>
        <w:spacing w:line="320" w:lineRule="exact"/>
        <w:ind w:firstLine="270" w:firstLineChars="150"/>
        <w:rPr>
          <w:rFonts w:ascii="宋体" w:hAnsi="宋体"/>
          <w:sz w:val="18"/>
          <w:szCs w:val="18"/>
        </w:rPr>
      </w:pPr>
      <w:r>
        <w:rPr>
          <w:rFonts w:hint="eastAsia" w:ascii="宋体" w:hAnsi="宋体"/>
          <w:sz w:val="18"/>
          <w:szCs w:val="18"/>
        </w:rPr>
        <w:t xml:space="preserve"> 2.专业工程暂估价及结算价应包含费用和利润。</w:t>
      </w:r>
    </w:p>
    <w:p>
      <w:pPr>
        <w:shd w:val="clear" w:color="auto" w:fill="FFFFFF"/>
        <w:snapToGrid w:val="0"/>
        <w:spacing w:line="240" w:lineRule="exact"/>
        <w:rPr>
          <w:rFonts w:ascii="方正书宋_GBK" w:eastAsia="方正书宋_GBK"/>
          <w:szCs w:val="21"/>
        </w:rPr>
      </w:pPr>
    </w:p>
    <w:p>
      <w:pPr>
        <w:shd w:val="clear" w:color="auto" w:fill="FFFFFF"/>
        <w:snapToGrid w:val="0"/>
        <w:spacing w:line="480" w:lineRule="exact"/>
        <w:rPr>
          <w:rFonts w:ascii="方正书宋_GBK" w:eastAsia="方正书宋_GBK"/>
          <w:szCs w:val="21"/>
        </w:rPr>
      </w:pPr>
      <w:r>
        <w:rPr>
          <w:rFonts w:hint="eastAsia" w:ascii="方正书宋_GBK" w:hAnsi="宋体" w:eastAsia="方正书宋_GBK" w:cs="宋体"/>
          <w:kern w:val="0"/>
          <w:sz w:val="24"/>
          <w:szCs w:val="21"/>
        </w:rPr>
        <w:br w:type="page"/>
      </w:r>
    </w:p>
    <w:p>
      <w:pPr>
        <w:shd w:val="clear" w:color="auto" w:fill="FFFFFF"/>
        <w:snapToGrid w:val="0"/>
        <w:spacing w:line="480" w:lineRule="exact"/>
        <w:jc w:val="center"/>
        <w:rPr>
          <w:rFonts w:ascii="黑体" w:hAnsi="黑体" w:eastAsia="黑体"/>
          <w:sz w:val="28"/>
          <w:szCs w:val="28"/>
        </w:rPr>
      </w:pPr>
      <w:r>
        <w:rPr>
          <w:rFonts w:hint="eastAsia" w:ascii="黑体" w:hAnsi="黑体" w:eastAsia="黑体"/>
          <w:sz w:val="28"/>
          <w:szCs w:val="28"/>
        </w:rPr>
        <w:t>F.6  计 日 工 表</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848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0"/>
        <w:gridCol w:w="2783"/>
        <w:gridCol w:w="861"/>
        <w:gridCol w:w="835"/>
        <w:gridCol w:w="836"/>
        <w:gridCol w:w="846"/>
        <w:gridCol w:w="821"/>
        <w:gridCol w:w="8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vMerge w:val="restar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编号</w:t>
            </w:r>
          </w:p>
        </w:tc>
        <w:tc>
          <w:tcPr>
            <w:tcW w:w="2783"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项 目 名 称</w:t>
            </w:r>
          </w:p>
        </w:tc>
        <w:tc>
          <w:tcPr>
            <w:tcW w:w="861"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单位</w:t>
            </w:r>
          </w:p>
        </w:tc>
        <w:tc>
          <w:tcPr>
            <w:tcW w:w="83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暂定</w:t>
            </w:r>
          </w:p>
          <w:p>
            <w:pPr>
              <w:spacing w:line="240" w:lineRule="exact"/>
              <w:jc w:val="center"/>
              <w:rPr>
                <w:rFonts w:ascii="宋体" w:hAnsi="宋体"/>
                <w:szCs w:val="21"/>
              </w:rPr>
            </w:pPr>
            <w:r>
              <w:rPr>
                <w:rFonts w:hint="eastAsia" w:ascii="宋体" w:hAnsi="宋体"/>
                <w:szCs w:val="21"/>
              </w:rPr>
              <w:t>数量</w:t>
            </w:r>
          </w:p>
        </w:tc>
        <w:tc>
          <w:tcPr>
            <w:tcW w:w="836"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实际</w:t>
            </w:r>
          </w:p>
          <w:p>
            <w:pPr>
              <w:spacing w:line="240" w:lineRule="exact"/>
              <w:jc w:val="center"/>
              <w:rPr>
                <w:rFonts w:ascii="宋体" w:hAnsi="宋体"/>
                <w:szCs w:val="21"/>
              </w:rPr>
            </w:pPr>
            <w:r>
              <w:rPr>
                <w:rFonts w:hint="eastAsia" w:ascii="宋体" w:hAnsi="宋体"/>
                <w:szCs w:val="21"/>
              </w:rPr>
              <w:t>数量</w:t>
            </w:r>
          </w:p>
        </w:tc>
        <w:tc>
          <w:tcPr>
            <w:tcW w:w="846"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综合</w:t>
            </w:r>
          </w:p>
          <w:p>
            <w:pPr>
              <w:spacing w:line="240" w:lineRule="exact"/>
              <w:jc w:val="center"/>
              <w:rPr>
                <w:rFonts w:ascii="宋体" w:hAnsi="宋体"/>
                <w:szCs w:val="21"/>
              </w:rPr>
            </w:pPr>
            <w:r>
              <w:rPr>
                <w:rFonts w:hint="eastAsia" w:ascii="宋体" w:hAnsi="宋体"/>
                <w:szCs w:val="21"/>
              </w:rPr>
              <w:t>单价</w:t>
            </w:r>
          </w:p>
          <w:p>
            <w:pPr>
              <w:spacing w:line="240" w:lineRule="exact"/>
              <w:jc w:val="center"/>
              <w:rPr>
                <w:rFonts w:ascii="宋体" w:hAnsi="宋体"/>
                <w:szCs w:val="21"/>
              </w:rPr>
            </w:pPr>
            <w:r>
              <w:rPr>
                <w:rFonts w:hint="eastAsia" w:ascii="宋体" w:hAnsi="宋体"/>
                <w:szCs w:val="21"/>
              </w:rPr>
              <w:t>（元）</w:t>
            </w:r>
          </w:p>
        </w:tc>
        <w:tc>
          <w:tcPr>
            <w:tcW w:w="164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合 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2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暂定</w:t>
            </w: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实际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一</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人工</w:t>
            </w: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1</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2</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3</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4</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5995" w:type="dxa"/>
            <w:gridSpan w:val="5"/>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人工小计</w:t>
            </w: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二</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材料</w:t>
            </w: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1</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2</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3</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4</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5</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6</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5995" w:type="dxa"/>
            <w:gridSpan w:val="5"/>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材料小计</w:t>
            </w: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三</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施工机械</w:t>
            </w: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1</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2</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3</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68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4</w:t>
            </w:r>
          </w:p>
        </w:tc>
        <w:tc>
          <w:tcPr>
            <w:tcW w:w="27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5995" w:type="dxa"/>
            <w:gridSpan w:val="5"/>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施工机械小计</w:t>
            </w: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60" w:hRule="atLeast"/>
          <w:jc w:val="center"/>
        </w:trPr>
        <w:tc>
          <w:tcPr>
            <w:tcW w:w="5995" w:type="dxa"/>
            <w:gridSpan w:val="5"/>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pacing w:line="240" w:lineRule="exact"/>
              <w:jc w:val="center"/>
              <w:rPr>
                <w:rFonts w:ascii="宋体" w:hAnsi="宋体"/>
                <w:szCs w:val="21"/>
              </w:rPr>
            </w:pPr>
            <w:r>
              <w:rPr>
                <w:rFonts w:hint="eastAsia" w:ascii="宋体" w:hAnsi="宋体"/>
                <w:szCs w:val="21"/>
              </w:rPr>
              <w:t>总    计</w:t>
            </w:r>
          </w:p>
        </w:tc>
        <w:tc>
          <w:tcPr>
            <w:tcW w:w="84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hd w:val="clear" w:color="auto" w:fill="FFFFFF"/>
        <w:snapToGrid w:val="0"/>
        <w:spacing w:line="240" w:lineRule="exact"/>
        <w:rPr>
          <w:rFonts w:ascii="宋体" w:hAnsi="宋体"/>
          <w:sz w:val="18"/>
          <w:szCs w:val="18"/>
        </w:rPr>
      </w:pPr>
      <w:r>
        <w:rPr>
          <w:rFonts w:hint="eastAsia" w:ascii="宋体" w:hAnsi="宋体"/>
          <w:sz w:val="18"/>
          <w:szCs w:val="18"/>
        </w:rPr>
        <w:t>注：1.此表项目名称、暂定数量由招标人填写，编制招标控制价时，单价由招标人按有关计价规定确定；投标时，单价由投标人自主报价，按暂定数量计算合价计入投标总价中；结算时，按发承包双方确认的实际数量计算合价。</w:t>
      </w:r>
    </w:p>
    <w:p>
      <w:pPr>
        <w:shd w:val="clear" w:color="auto" w:fill="FFFFFF"/>
        <w:snapToGrid w:val="0"/>
        <w:spacing w:line="320" w:lineRule="exact"/>
        <w:ind w:firstLine="270" w:firstLineChars="150"/>
        <w:rPr>
          <w:rFonts w:ascii="宋体" w:hAnsi="宋体"/>
          <w:sz w:val="18"/>
          <w:szCs w:val="18"/>
        </w:rPr>
      </w:pPr>
      <w:r>
        <w:rPr>
          <w:rFonts w:hint="eastAsia" w:ascii="宋体" w:hAnsi="宋体"/>
          <w:sz w:val="18"/>
          <w:szCs w:val="18"/>
        </w:rPr>
        <w:t xml:space="preserve"> 2. 计日工表综合单价应包含费用和利润。</w:t>
      </w:r>
    </w:p>
    <w:p>
      <w:pPr>
        <w:shd w:val="clear" w:color="auto" w:fill="FFFFFF"/>
        <w:snapToGrid w:val="0"/>
        <w:spacing w:line="240" w:lineRule="exact"/>
        <w:rPr>
          <w:rFonts w:ascii="方正书宋_GBK" w:eastAsia="方正书宋_GBK"/>
          <w:szCs w:val="21"/>
        </w:rPr>
      </w:pPr>
    </w:p>
    <w:p>
      <w:pPr>
        <w:shd w:val="clear" w:color="auto" w:fill="FFFFFF"/>
        <w:spacing w:line="480" w:lineRule="exact"/>
        <w:rPr>
          <w:rFonts w:ascii="方正书宋_GBK" w:eastAsia="方正书宋_GBK"/>
          <w:szCs w:val="21"/>
        </w:rPr>
      </w:pPr>
    </w:p>
    <w:p>
      <w:pPr>
        <w:shd w:val="clear" w:color="auto" w:fill="FFFFFF"/>
        <w:spacing w:line="480" w:lineRule="exact"/>
        <w:rPr>
          <w:rFonts w:ascii="方正书宋_GBK" w:eastAsia="方正书宋_GBK"/>
          <w:szCs w:val="21"/>
        </w:rPr>
      </w:pPr>
    </w:p>
    <w:p>
      <w:pPr>
        <w:shd w:val="clear" w:color="auto" w:fill="FFFFFF"/>
        <w:spacing w:line="480" w:lineRule="exact"/>
        <w:rPr>
          <w:rFonts w:ascii="方正书宋_GBK" w:eastAsia="方正书宋_GBK"/>
          <w:szCs w:val="21"/>
        </w:rPr>
        <w:sectPr>
          <w:pgSz w:w="11906" w:h="16838"/>
          <w:pgMar w:top="1440" w:right="1800" w:bottom="1440" w:left="1800" w:header="851" w:footer="992" w:gutter="0"/>
          <w:cols w:space="720" w:num="1"/>
          <w:docGrid w:type="lines" w:linePitch="312" w:charSpace="0"/>
        </w:sectPr>
      </w:pPr>
    </w:p>
    <w:p>
      <w:pPr>
        <w:shd w:val="clear" w:color="auto" w:fill="FFFFFF"/>
        <w:spacing w:line="480" w:lineRule="exact"/>
        <w:ind w:firstLine="700" w:firstLineChars="250"/>
        <w:jc w:val="center"/>
        <w:rPr>
          <w:rFonts w:ascii="黑体" w:hAnsi="黑体" w:eastAsia="黑体"/>
          <w:sz w:val="28"/>
          <w:szCs w:val="28"/>
        </w:rPr>
      </w:pPr>
      <w:r>
        <w:rPr>
          <w:rFonts w:hint="eastAsia" w:ascii="黑体" w:hAnsi="黑体" w:eastAsia="黑体"/>
          <w:sz w:val="28"/>
          <w:szCs w:val="28"/>
        </w:rPr>
        <w:t>F.7  总承包服务费计价表</w:t>
      </w:r>
    </w:p>
    <w:p>
      <w:pPr>
        <w:shd w:val="clear" w:color="auto" w:fill="FFFFFF"/>
        <w:spacing w:line="480" w:lineRule="exact"/>
        <w:ind w:firstLine="630" w:firstLineChars="300"/>
        <w:rPr>
          <w:rFonts w:ascii="宋体" w:hAnsi="宋体"/>
          <w:szCs w:val="21"/>
        </w:rPr>
      </w:pPr>
      <w:r>
        <w:rPr>
          <w:rFonts w:hint="eastAsia" w:ascii="宋体" w:hAnsi="宋体"/>
          <w:szCs w:val="21"/>
        </w:rPr>
        <w:t>工程名称：　　　　　　                              　　　　标段：                                        第　页 共　页</w:t>
      </w:r>
    </w:p>
    <w:tbl>
      <w:tblPr>
        <w:tblStyle w:val="42"/>
        <w:tblW w:w="125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60"/>
        <w:gridCol w:w="3543"/>
        <w:gridCol w:w="2977"/>
        <w:gridCol w:w="1985"/>
        <w:gridCol w:w="1275"/>
        <w:gridCol w:w="119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3"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r>
              <w:rPr>
                <w:rFonts w:hint="eastAsia" w:ascii="宋体" w:hAnsi="宋体"/>
                <w:szCs w:val="21"/>
              </w:rPr>
              <w:t>序号</w:t>
            </w: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项目名称</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项目价值（元）</w:t>
            </w: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服务内容</w:t>
            </w: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费率（%）</w:t>
            </w: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金额（元）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r>
              <w:rPr>
                <w:rFonts w:hint="eastAsia" w:ascii="宋体" w:hAnsi="宋体"/>
                <w:szCs w:val="21"/>
              </w:rPr>
              <w:t>1</w:t>
            </w: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发包人发包专业工程服务费</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（直接费）</w:t>
            </w: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r>
              <w:rPr>
                <w:rFonts w:hint="eastAsia" w:ascii="宋体" w:hAnsi="宋体"/>
                <w:szCs w:val="21"/>
              </w:rPr>
              <w:t>2</w:t>
            </w: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发包人提供材料采保费</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（发包人提供材料总值）</w:t>
            </w: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0" w:hRule="atLeast"/>
          <w:jc w:val="center"/>
        </w:trPr>
        <w:tc>
          <w:tcPr>
            <w:tcW w:w="156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adjustRightInd w:val="0"/>
              <w:spacing w:line="240" w:lineRule="exact"/>
              <w:jc w:val="center"/>
              <w:rPr>
                <w:rFonts w:ascii="宋体" w:hAnsi="宋体"/>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r>
              <w:rPr>
                <w:rFonts w:hint="eastAsia" w:ascii="宋体" w:hAnsi="宋体"/>
                <w:szCs w:val="21"/>
              </w:rPr>
              <w:t>合    计</w:t>
            </w:r>
          </w:p>
        </w:tc>
        <w:tc>
          <w:tcPr>
            <w:tcW w:w="2977"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c>
          <w:tcPr>
            <w:tcW w:w="1191" w:type="dxa"/>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宋体" w:hAnsi="宋体"/>
                <w:szCs w:val="21"/>
              </w:rPr>
            </w:pPr>
          </w:p>
        </w:tc>
      </w:tr>
    </w:tbl>
    <w:p>
      <w:pPr>
        <w:shd w:val="clear" w:color="auto" w:fill="FFFFFF"/>
        <w:snapToGrid w:val="0"/>
        <w:spacing w:line="480" w:lineRule="exact"/>
        <w:ind w:firstLine="450" w:firstLineChars="250"/>
        <w:rPr>
          <w:rFonts w:ascii="宋体" w:hAnsi="宋体"/>
          <w:sz w:val="18"/>
          <w:szCs w:val="18"/>
        </w:rPr>
        <w:sectPr>
          <w:footerReference r:id="rId15" w:type="default"/>
          <w:pgSz w:w="16838" w:h="11906" w:orient="landscape"/>
          <w:pgMar w:top="1797" w:right="1440" w:bottom="1797" w:left="1440" w:header="851" w:footer="992" w:gutter="0"/>
          <w:cols w:space="720" w:num="1"/>
          <w:docGrid w:type="linesAndChars" w:linePitch="312" w:charSpace="0"/>
        </w:sectPr>
      </w:pPr>
      <w:r>
        <w:rPr>
          <w:rFonts w:hint="eastAsia" w:ascii="宋体" w:hAnsi="宋体"/>
          <w:sz w:val="18"/>
          <w:szCs w:val="18"/>
        </w:rPr>
        <w:t xml:space="preserve">  注：发包人发包专业工程服务费可按发包工程直接费用的1.0～2.%计取。</w:t>
      </w:r>
    </w:p>
    <w:p>
      <w:pPr>
        <w:shd w:val="clear" w:color="auto" w:fill="FFFFFF"/>
        <w:snapToGrid w:val="0"/>
        <w:spacing w:line="480" w:lineRule="exact"/>
        <w:jc w:val="center"/>
        <w:rPr>
          <w:rFonts w:ascii="黑体" w:hAnsi="黑体" w:eastAsia="黑体"/>
          <w:color w:val="FF0000"/>
          <w:sz w:val="30"/>
          <w:szCs w:val="30"/>
        </w:rPr>
      </w:pPr>
      <w:r>
        <w:rPr>
          <w:rFonts w:hint="eastAsia" w:ascii="黑体" w:hAnsi="黑体" w:eastAsia="黑体"/>
          <w:sz w:val="30"/>
          <w:szCs w:val="30"/>
        </w:rPr>
        <w:t>附录J  主要材料、工程设备一览表</w:t>
      </w:r>
    </w:p>
    <w:p>
      <w:pPr>
        <w:shd w:val="clear" w:color="auto" w:fill="FFFFFF"/>
        <w:snapToGrid w:val="0"/>
        <w:spacing w:line="480" w:lineRule="exact"/>
        <w:jc w:val="center"/>
        <w:rPr>
          <w:rFonts w:ascii="黑体" w:hAnsi="黑体" w:eastAsia="黑体"/>
          <w:sz w:val="28"/>
          <w:szCs w:val="28"/>
        </w:rPr>
      </w:pPr>
      <w:r>
        <w:rPr>
          <w:rFonts w:hint="eastAsia" w:ascii="黑体" w:hAnsi="黑体" w:eastAsia="黑体"/>
          <w:sz w:val="28"/>
          <w:szCs w:val="28"/>
        </w:rPr>
        <w:t>J.1  发包人提供材料与工程设备一览表</w:t>
      </w:r>
    </w:p>
    <w:p>
      <w:pPr/>
      <w:r>
        <w:rPr>
          <w:rFonts w:hint="eastAsia" w:ascii="宋体" w:hAnsi="宋体"/>
          <w:szCs w:val="21"/>
        </w:rPr>
        <w:t>工程名称：                      标段：                                   第  页共  页</w:t>
      </w:r>
    </w:p>
    <w:tbl>
      <w:tblPr>
        <w:tblStyle w:val="42"/>
        <w:tblW w:w="8948" w:type="dxa"/>
        <w:jc w:val="center"/>
        <w:tblInd w:w="11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2374"/>
        <w:gridCol w:w="850"/>
        <w:gridCol w:w="851"/>
        <w:gridCol w:w="1134"/>
        <w:gridCol w:w="1134"/>
        <w:gridCol w:w="113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663" w:type="dxa"/>
            <w:vAlign w:val="center"/>
          </w:tcPr>
          <w:p>
            <w:pPr>
              <w:jc w:val="center"/>
              <w:rPr>
                <w:rFonts w:ascii="宋体" w:hAnsi="宋体"/>
                <w:szCs w:val="21"/>
              </w:rPr>
            </w:pPr>
            <w:r>
              <w:rPr>
                <w:rFonts w:hint="eastAsia" w:ascii="宋体" w:hAnsi="宋体"/>
                <w:szCs w:val="21"/>
              </w:rPr>
              <w:t>序号</w:t>
            </w:r>
          </w:p>
        </w:tc>
        <w:tc>
          <w:tcPr>
            <w:tcW w:w="2374" w:type="dxa"/>
            <w:vAlign w:val="center"/>
          </w:tcPr>
          <w:p>
            <w:pPr>
              <w:jc w:val="center"/>
              <w:rPr>
                <w:rFonts w:ascii="宋体" w:hAnsi="宋体"/>
                <w:szCs w:val="21"/>
              </w:rPr>
            </w:pPr>
            <w:r>
              <w:rPr>
                <w:rFonts w:hint="eastAsia" w:ascii="宋体" w:hAnsi="宋体"/>
                <w:szCs w:val="21"/>
              </w:rPr>
              <w:t>材料（工程设备）名称、规格、型号</w:t>
            </w:r>
          </w:p>
        </w:tc>
        <w:tc>
          <w:tcPr>
            <w:tcW w:w="850" w:type="dxa"/>
            <w:vAlign w:val="center"/>
          </w:tcPr>
          <w:p>
            <w:pPr>
              <w:jc w:val="center"/>
              <w:rPr>
                <w:rFonts w:ascii="宋体" w:hAnsi="宋体"/>
                <w:szCs w:val="21"/>
              </w:rPr>
            </w:pPr>
            <w:r>
              <w:rPr>
                <w:rFonts w:hint="eastAsia" w:ascii="宋体" w:hAnsi="宋体"/>
                <w:szCs w:val="21"/>
              </w:rPr>
              <w:t>单位</w:t>
            </w:r>
          </w:p>
        </w:tc>
        <w:tc>
          <w:tcPr>
            <w:tcW w:w="851" w:type="dxa"/>
            <w:vAlign w:val="center"/>
          </w:tcPr>
          <w:p>
            <w:pPr>
              <w:jc w:val="center"/>
              <w:rPr>
                <w:rFonts w:ascii="宋体" w:hAnsi="宋体"/>
                <w:szCs w:val="21"/>
              </w:rPr>
            </w:pPr>
            <w:r>
              <w:rPr>
                <w:rFonts w:hint="eastAsia" w:ascii="宋体" w:hAnsi="宋体"/>
                <w:szCs w:val="21"/>
              </w:rPr>
              <w:t>数量</w:t>
            </w:r>
          </w:p>
        </w:tc>
        <w:tc>
          <w:tcPr>
            <w:tcW w:w="1134" w:type="dxa"/>
            <w:vAlign w:val="center"/>
          </w:tcPr>
          <w:p>
            <w:pPr>
              <w:jc w:val="center"/>
              <w:rPr>
                <w:rFonts w:ascii="宋体" w:hAnsi="宋体"/>
                <w:szCs w:val="21"/>
              </w:rPr>
            </w:pPr>
            <w:r>
              <w:rPr>
                <w:rFonts w:hint="eastAsia" w:ascii="宋体" w:hAnsi="宋体"/>
                <w:szCs w:val="21"/>
              </w:rPr>
              <w:t>单价（元）</w:t>
            </w:r>
          </w:p>
        </w:tc>
        <w:tc>
          <w:tcPr>
            <w:tcW w:w="1134" w:type="dxa"/>
            <w:vAlign w:val="center"/>
          </w:tcPr>
          <w:p>
            <w:pPr>
              <w:jc w:val="center"/>
              <w:rPr>
                <w:rFonts w:ascii="宋体" w:hAnsi="宋体"/>
                <w:szCs w:val="21"/>
              </w:rPr>
            </w:pPr>
            <w:r>
              <w:rPr>
                <w:rFonts w:hint="eastAsia" w:ascii="宋体" w:hAnsi="宋体"/>
                <w:szCs w:val="21"/>
              </w:rPr>
              <w:t>交货方式</w:t>
            </w:r>
          </w:p>
        </w:tc>
        <w:tc>
          <w:tcPr>
            <w:tcW w:w="1134" w:type="dxa"/>
            <w:vAlign w:val="center"/>
          </w:tcPr>
          <w:p>
            <w:pPr>
              <w:jc w:val="center"/>
              <w:rPr>
                <w:rFonts w:ascii="宋体" w:hAnsi="宋体"/>
                <w:szCs w:val="21"/>
              </w:rPr>
            </w:pPr>
            <w:r>
              <w:rPr>
                <w:rFonts w:hint="eastAsia" w:ascii="宋体" w:hAnsi="宋体"/>
                <w:szCs w:val="21"/>
              </w:rPr>
              <w:t>送达地点</w:t>
            </w:r>
          </w:p>
        </w:tc>
        <w:tc>
          <w:tcPr>
            <w:tcW w:w="808" w:type="dxa"/>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663" w:type="dxa"/>
            <w:vAlign w:val="center"/>
          </w:tcPr>
          <w:p>
            <w:pPr>
              <w:jc w:val="center"/>
              <w:rPr>
                <w:rFonts w:ascii="宋体" w:hAnsi="宋体"/>
                <w:szCs w:val="21"/>
              </w:rPr>
            </w:pPr>
          </w:p>
        </w:tc>
        <w:tc>
          <w:tcPr>
            <w:tcW w:w="2374" w:type="dxa"/>
            <w:vAlign w:val="center"/>
          </w:tcPr>
          <w:p>
            <w:pPr>
              <w:jc w:val="center"/>
              <w:rPr>
                <w:rFonts w:ascii="宋体" w:hAnsi="宋体"/>
                <w:szCs w:val="21"/>
              </w:rPr>
            </w:pPr>
          </w:p>
        </w:tc>
        <w:tc>
          <w:tcPr>
            <w:tcW w:w="850" w:type="dxa"/>
            <w:vAlign w:val="center"/>
          </w:tcPr>
          <w:p>
            <w:pPr>
              <w:jc w:val="center"/>
              <w:rPr>
                <w:rFonts w:ascii="宋体" w:hAnsi="宋体"/>
                <w:szCs w:val="21"/>
              </w:rPr>
            </w:pPr>
          </w:p>
        </w:tc>
        <w:tc>
          <w:tcPr>
            <w:tcW w:w="851"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808" w:type="dxa"/>
            <w:vAlign w:val="center"/>
          </w:tcPr>
          <w:p>
            <w:pPr>
              <w:jc w:val="center"/>
              <w:rPr>
                <w:rFonts w:ascii="宋体" w:hAnsi="宋体"/>
                <w:szCs w:val="21"/>
              </w:rPr>
            </w:pPr>
          </w:p>
        </w:tc>
      </w:tr>
    </w:tbl>
    <w:p>
      <w:pPr>
        <w:rPr>
          <w:rFonts w:ascii="宋体" w:hAnsi="宋体"/>
          <w:sz w:val="18"/>
          <w:szCs w:val="18"/>
        </w:rPr>
      </w:pPr>
      <w:r>
        <w:rPr>
          <w:rFonts w:hint="eastAsia" w:ascii="宋体" w:hAnsi="宋体"/>
          <w:sz w:val="18"/>
          <w:szCs w:val="18"/>
        </w:rPr>
        <w:t>注：1.此表由招标人填写，供投标人在投标报价、确定总承包服务费（计取发包人提供材料采保费）时参考。</w:t>
      </w:r>
    </w:p>
    <w:p>
      <w:pPr>
        <w:ind w:firstLine="360" w:firstLineChars="200"/>
        <w:rPr>
          <w:rFonts w:ascii="宋体" w:hAnsi="宋体"/>
          <w:sz w:val="18"/>
          <w:szCs w:val="18"/>
        </w:rPr>
      </w:pPr>
      <w:r>
        <w:rPr>
          <w:rFonts w:hint="eastAsia" w:ascii="宋体" w:hAnsi="宋体"/>
          <w:sz w:val="18"/>
          <w:szCs w:val="18"/>
        </w:rPr>
        <w:t>2.发包人提供材料与工程设备按含税单价填报。</w:t>
      </w:r>
    </w:p>
    <w:p>
      <w:pPr>
        <w:sectPr>
          <w:footerReference r:id="rId16" w:type="default"/>
          <w:pgSz w:w="11907" w:h="16840"/>
          <w:pgMar w:top="1304" w:right="1304" w:bottom="1304" w:left="1701" w:header="851" w:footer="992" w:gutter="0"/>
          <w:cols w:space="720" w:num="1"/>
          <w:docGrid w:linePitch="326" w:charSpace="0"/>
        </w:sectPr>
      </w:pPr>
    </w:p>
    <w:p>
      <w:pPr/>
    </w:p>
    <w:p>
      <w:pPr>
        <w:shd w:val="clear" w:color="auto" w:fill="FFFFFF"/>
        <w:snapToGrid w:val="0"/>
        <w:spacing w:line="400" w:lineRule="exact"/>
        <w:jc w:val="center"/>
        <w:rPr>
          <w:rFonts w:ascii="黑体" w:hAnsi="黑体" w:eastAsia="黑体"/>
          <w:sz w:val="28"/>
          <w:szCs w:val="28"/>
        </w:rPr>
      </w:pPr>
      <w:r>
        <w:rPr>
          <w:rFonts w:hint="eastAsia" w:ascii="黑体" w:hAnsi="黑体" w:eastAsia="黑体"/>
          <w:sz w:val="28"/>
          <w:szCs w:val="28"/>
        </w:rPr>
        <w:t>J.2  人工、主要材料（工程设备）、机械用量汇总与单价表</w:t>
      </w:r>
    </w:p>
    <w:p>
      <w:pPr>
        <w:shd w:val="clear" w:color="auto" w:fill="FFFFFF"/>
        <w:snapToGrid w:val="0"/>
        <w:spacing w:line="480" w:lineRule="exact"/>
        <w:rPr>
          <w:rFonts w:ascii="宋体" w:hAnsi="宋体"/>
          <w:szCs w:val="21"/>
        </w:rPr>
      </w:pPr>
      <w:r>
        <w:rPr>
          <w:rFonts w:hint="eastAsia" w:ascii="宋体" w:hAnsi="宋体"/>
          <w:szCs w:val="21"/>
        </w:rPr>
        <w:t>工程名称：                        标段：                          第　页 共　页</w:t>
      </w:r>
    </w:p>
    <w:tbl>
      <w:tblPr>
        <w:tblStyle w:val="42"/>
        <w:tblW w:w="910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82"/>
        <w:gridCol w:w="615"/>
        <w:gridCol w:w="2647"/>
        <w:gridCol w:w="567"/>
        <w:gridCol w:w="708"/>
        <w:gridCol w:w="851"/>
        <w:gridCol w:w="709"/>
        <w:gridCol w:w="850"/>
        <w:gridCol w:w="851"/>
        <w:gridCol w:w="7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54" w:hRule="atLeast"/>
          <w:jc w:val="center"/>
        </w:trPr>
        <w:tc>
          <w:tcPr>
            <w:tcW w:w="582"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序号</w:t>
            </w:r>
          </w:p>
        </w:tc>
        <w:tc>
          <w:tcPr>
            <w:tcW w:w="615"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编码</w:t>
            </w:r>
          </w:p>
        </w:tc>
        <w:tc>
          <w:tcPr>
            <w:tcW w:w="2647" w:type="dxa"/>
            <w:vMerge w:val="restart"/>
            <w:tcBorders>
              <w:top w:val="single" w:color="auto" w:sz="4" w:space="0"/>
              <w:left w:val="single" w:color="auto" w:sz="4" w:space="0"/>
              <w:right w:val="single" w:color="auto" w:sz="4" w:space="0"/>
            </w:tcBorders>
            <w:vAlign w:val="center"/>
          </w:tcPr>
          <w:p>
            <w:pPr>
              <w:spacing w:line="240" w:lineRule="exact"/>
              <w:ind w:left="525" w:hanging="525" w:hangingChars="250"/>
              <w:rPr>
                <w:rFonts w:ascii="宋体" w:hAnsi="宋体"/>
                <w:szCs w:val="21"/>
              </w:rPr>
            </w:pPr>
            <w:r>
              <w:rPr>
                <w:rFonts w:hint="eastAsia" w:ascii="宋体" w:hAnsi="宋体"/>
                <w:szCs w:val="21"/>
              </w:rPr>
              <w:t>名称（材料、机械规格型号）</w:t>
            </w:r>
          </w:p>
        </w:tc>
        <w:tc>
          <w:tcPr>
            <w:tcW w:w="567"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单位</w:t>
            </w:r>
          </w:p>
        </w:tc>
        <w:tc>
          <w:tcPr>
            <w:tcW w:w="708"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数量</w:t>
            </w:r>
          </w:p>
        </w:tc>
        <w:tc>
          <w:tcPr>
            <w:tcW w:w="851"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基期价（元）</w:t>
            </w:r>
          </w:p>
        </w:tc>
        <w:tc>
          <w:tcPr>
            <w:tcW w:w="155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市场价（元）</w:t>
            </w:r>
          </w:p>
        </w:tc>
        <w:tc>
          <w:tcPr>
            <w:tcW w:w="851"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合价（元）</w:t>
            </w:r>
          </w:p>
        </w:tc>
        <w:tc>
          <w:tcPr>
            <w:tcW w:w="721" w:type="dxa"/>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1" w:hRule="atLeast"/>
          <w:jc w:val="center"/>
        </w:trPr>
        <w:tc>
          <w:tcPr>
            <w:tcW w:w="582"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vMerge w:val="continue"/>
            <w:tcBorders>
              <w:left w:val="single" w:color="auto" w:sz="4" w:space="0"/>
              <w:bottom w:val="single" w:color="auto" w:sz="4" w:space="0"/>
              <w:right w:val="single" w:color="auto" w:sz="4" w:space="0"/>
            </w:tcBorders>
            <w:vAlign w:val="center"/>
          </w:tcPr>
          <w:p>
            <w:pPr>
              <w:spacing w:line="240" w:lineRule="exact"/>
              <w:ind w:left="525" w:hanging="525" w:hangingChars="250"/>
              <w:rPr>
                <w:rFonts w:ascii="宋体" w:hAnsi="宋体"/>
                <w:szCs w:val="21"/>
              </w:rPr>
            </w:pPr>
          </w:p>
        </w:tc>
        <w:tc>
          <w:tcPr>
            <w:tcW w:w="567"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含税</w:t>
            </w: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除税</w:t>
            </w:r>
          </w:p>
        </w:tc>
        <w:tc>
          <w:tcPr>
            <w:tcW w:w="851"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264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326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本页合计</w:t>
            </w: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元</w:t>
            </w: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5" w:hRule="atLeast"/>
          <w:jc w:val="center"/>
        </w:trPr>
        <w:tc>
          <w:tcPr>
            <w:tcW w:w="5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326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合　　计</w:t>
            </w:r>
          </w:p>
        </w:tc>
        <w:tc>
          <w:tcPr>
            <w:tcW w:w="5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szCs w:val="21"/>
              </w:rPr>
              <w:t>元</w:t>
            </w: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72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r>
    </w:tbl>
    <w:p>
      <w:pPr>
        <w:shd w:val="clear" w:color="auto" w:fill="FFFFFF"/>
        <w:snapToGrid w:val="0"/>
        <w:spacing w:line="320" w:lineRule="exact"/>
        <w:rPr>
          <w:rFonts w:ascii="宋体" w:hAnsi="宋体"/>
          <w:sz w:val="18"/>
          <w:szCs w:val="18"/>
        </w:rPr>
      </w:pPr>
      <w:r>
        <w:rPr>
          <w:rFonts w:hint="eastAsia" w:ascii="宋体" w:hAnsi="宋体"/>
          <w:sz w:val="18"/>
          <w:szCs w:val="18"/>
        </w:rPr>
        <w:t>注：1.招标控制价、投标报价、竣工结算通用表。</w:t>
      </w:r>
    </w:p>
    <w:p>
      <w:pPr>
        <w:shd w:val="clear" w:color="auto" w:fill="FFFFFF"/>
        <w:snapToGrid w:val="0"/>
        <w:spacing w:line="320" w:lineRule="exact"/>
        <w:ind w:firstLine="360" w:firstLineChars="200"/>
        <w:rPr>
          <w:rFonts w:ascii="宋体" w:hAnsi="宋体"/>
          <w:sz w:val="18"/>
          <w:szCs w:val="18"/>
        </w:rPr>
      </w:pPr>
      <w:r>
        <w:rPr>
          <w:rFonts w:hint="eastAsia" w:ascii="宋体" w:hAnsi="宋体"/>
          <w:sz w:val="18"/>
          <w:szCs w:val="18"/>
        </w:rPr>
        <w:t>2.单位工程、单项工程、建设项目通用表。</w:t>
      </w:r>
    </w:p>
    <w:p>
      <w:pPr>
        <w:shd w:val="clear" w:color="auto" w:fill="FFFFFF"/>
        <w:snapToGrid w:val="0"/>
        <w:spacing w:line="320" w:lineRule="exact"/>
        <w:ind w:firstLine="360" w:firstLineChars="200"/>
        <w:rPr>
          <w:rFonts w:ascii="宋体" w:hAnsi="宋体"/>
          <w:sz w:val="18"/>
          <w:szCs w:val="18"/>
        </w:rPr>
      </w:pPr>
      <w:r>
        <w:rPr>
          <w:rFonts w:hint="eastAsia" w:ascii="宋体" w:hAnsi="宋体"/>
          <w:sz w:val="18"/>
          <w:szCs w:val="18"/>
        </w:rPr>
        <w:t>3.采用一般计税法时，市场价含税、除税栏均需填写，采用简易计税法时，市场价填写含税栏。</w:t>
      </w:r>
    </w:p>
    <w:p>
      <w:pPr>
        <w:shd w:val="clear" w:color="auto" w:fill="FFFFFF"/>
        <w:snapToGrid w:val="0"/>
        <w:spacing w:line="320" w:lineRule="exact"/>
        <w:ind w:firstLine="360" w:firstLineChars="200"/>
        <w:rPr>
          <w:rFonts w:ascii="宋体" w:hAnsi="宋体"/>
          <w:sz w:val="18"/>
          <w:szCs w:val="18"/>
        </w:rPr>
      </w:pPr>
      <w:r>
        <w:rPr>
          <w:rFonts w:hint="eastAsia" w:ascii="宋体" w:hAnsi="宋体"/>
          <w:sz w:val="18"/>
          <w:szCs w:val="18"/>
        </w:rPr>
        <w:t>4.本表合价栏按市场含税价填报；合价=市场价（含税）×数量。</w:t>
      </w:r>
    </w:p>
    <w:p>
      <w:pPr>
        <w:shd w:val="clear" w:color="auto" w:fill="FFFFFF"/>
        <w:snapToGrid w:val="0"/>
        <w:spacing w:line="320" w:lineRule="exact"/>
        <w:ind w:firstLine="360" w:firstLineChars="200"/>
        <w:rPr>
          <w:rFonts w:ascii="宋体" w:hAnsi="宋体"/>
          <w:sz w:val="18"/>
          <w:szCs w:val="18"/>
        </w:rPr>
      </w:pPr>
      <w:r>
        <w:rPr>
          <w:rFonts w:hint="eastAsia" w:ascii="宋体" w:hAnsi="宋体"/>
          <w:sz w:val="18"/>
          <w:szCs w:val="18"/>
        </w:rPr>
        <w:t>5.发包人提供材料和工程设备及承包人提供材料和工程设备均按含税单价填报。</w:t>
      </w:r>
    </w:p>
    <w:p>
      <w:pPr>
        <w:spacing w:afterLines="100"/>
      </w:pPr>
      <w:bookmarkStart w:id="661" w:name="_Toc300678597"/>
    </w:p>
    <w:bookmarkEnd w:id="661"/>
    <w:p>
      <w:pPr>
        <w:jc w:val="left"/>
        <w:rPr>
          <w:rFonts w:ascii="黑体" w:eastAsia="黑体"/>
          <w:sz w:val="24"/>
        </w:rPr>
      </w:pPr>
      <w:r>
        <w:rPr>
          <w:rFonts w:hint="eastAsia" w:ascii="黑体" w:eastAsia="黑体"/>
          <w:sz w:val="24"/>
        </w:rPr>
        <w:t>说明：已标价工程量清单格式如计价软件（须通过湖南省建设工程造价管理总站测评的软件）打印出的表格格式与本文件规定的格式有差异时，以计价软件打印出的表格为准。签字盖章要求以本文件第二章投标人须知前附表规定为准。</w:t>
      </w:r>
    </w:p>
    <w:p>
      <w:pPr>
        <w:widowControl/>
      </w:pPr>
      <w:r>
        <w:br w:type="page"/>
      </w: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pStyle w:val="2"/>
        <w:jc w:val="center"/>
        <w:rPr>
          <w:rFonts w:ascii="宋体" w:hAnsi="宋体"/>
          <w:bCs w:val="0"/>
        </w:rPr>
      </w:pPr>
      <w:bookmarkStart w:id="662" w:name="_Toc300678612"/>
      <w:bookmarkStart w:id="663" w:name="_Toc10063"/>
      <w:bookmarkStart w:id="664" w:name="_Toc17232"/>
      <w:bookmarkStart w:id="665" w:name="_Toc7186"/>
      <w:bookmarkStart w:id="666" w:name="_Toc484015153"/>
      <w:bookmarkStart w:id="667" w:name="_Toc24145"/>
      <w:bookmarkStart w:id="668" w:name="_Toc486318785"/>
      <w:r>
        <w:rPr>
          <w:rFonts w:hint="eastAsia" w:ascii="宋体" w:hAnsi="宋体"/>
          <w:bCs w:val="0"/>
        </w:rPr>
        <w:t>第三部分  技术标部分格式</w:t>
      </w:r>
      <w:bookmarkEnd w:id="662"/>
      <w:bookmarkEnd w:id="663"/>
      <w:bookmarkEnd w:id="664"/>
      <w:bookmarkEnd w:id="665"/>
      <w:bookmarkEnd w:id="666"/>
      <w:bookmarkEnd w:id="667"/>
      <w:bookmarkEnd w:id="668"/>
    </w:p>
    <w:p>
      <w:pPr>
        <w:pStyle w:val="2"/>
        <w:jc w:val="center"/>
        <w:rPr>
          <w:rFonts w:ascii="宋体" w:hAnsi="宋体"/>
          <w:bCs w:val="0"/>
          <w:sz w:val="24"/>
          <w:szCs w:val="24"/>
        </w:rPr>
      </w:pPr>
      <w:bookmarkStart w:id="669" w:name="_Toc11940"/>
      <w:bookmarkStart w:id="670" w:name="_Toc484015154"/>
      <w:bookmarkStart w:id="671" w:name="_Toc14906"/>
      <w:bookmarkStart w:id="672" w:name="_Toc486318786"/>
      <w:bookmarkStart w:id="673" w:name="_Toc14489"/>
      <w:bookmarkStart w:id="674" w:name="_Toc303865021"/>
      <w:bookmarkStart w:id="675" w:name="_Toc10442"/>
      <w:r>
        <w:rPr>
          <w:rFonts w:hint="eastAsia" w:ascii="宋体" w:hAnsi="宋体"/>
          <w:bCs w:val="0"/>
          <w:sz w:val="24"/>
          <w:szCs w:val="24"/>
        </w:rPr>
        <w:t>（适用于技术标为</w:t>
      </w:r>
      <w:r>
        <w:rPr>
          <w:rFonts w:hint="eastAsia" w:ascii="宋体" w:hAnsi="宋体"/>
          <w:bCs w:val="0"/>
          <w:sz w:val="24"/>
          <w:szCs w:val="24"/>
          <w:lang w:eastAsia="zh-CN"/>
        </w:rPr>
        <w:t>暗</w:t>
      </w:r>
      <w:r>
        <w:rPr>
          <w:rFonts w:hint="eastAsia" w:ascii="宋体" w:hAnsi="宋体"/>
          <w:bCs w:val="0"/>
          <w:sz w:val="24"/>
          <w:szCs w:val="24"/>
        </w:rPr>
        <w:t>标）</w:t>
      </w:r>
      <w:bookmarkEnd w:id="669"/>
      <w:bookmarkEnd w:id="670"/>
      <w:bookmarkEnd w:id="671"/>
      <w:bookmarkEnd w:id="672"/>
      <w:bookmarkEnd w:id="673"/>
      <w:bookmarkEnd w:id="674"/>
      <w:bookmarkEnd w:id="675"/>
    </w:p>
    <w:p>
      <w:pPr/>
    </w:p>
    <w:p>
      <w:pPr/>
    </w:p>
    <w:p>
      <w:pPr/>
    </w:p>
    <w:p>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r>
        <w:br w:type="page"/>
      </w:r>
    </w:p>
    <w:p>
      <w:pPr/>
    </w:p>
    <w:p>
      <w:pPr/>
    </w:p>
    <w:p>
      <w:pPr/>
    </w:p>
    <w:p>
      <w:pPr/>
    </w:p>
    <w:p>
      <w:pPr/>
    </w:p>
    <w:p>
      <w:pPr>
        <w:rPr>
          <w:rFonts w:ascii="黑体" w:hAnsi="黑体" w:eastAsia="黑体"/>
          <w:sz w:val="28"/>
          <w:szCs w:val="32"/>
          <w:u w:val="single"/>
        </w:rPr>
      </w:pPr>
    </w:p>
    <w:p>
      <w:pPr>
        <w:jc w:val="center"/>
        <w:rPr>
          <w:rFonts w:ascii="黑体" w:hAnsi="黑体" w:eastAsia="黑体"/>
          <w:sz w:val="28"/>
          <w:szCs w:val="28"/>
        </w:rPr>
      </w:pPr>
      <w:r>
        <w:rPr>
          <w:rFonts w:hint="eastAsia" w:ascii="黑体" w:hAnsi="黑体" w:eastAsia="黑体"/>
          <w:sz w:val="28"/>
          <w:szCs w:val="28"/>
        </w:rPr>
        <w:t>（项目名称）施工招标</w:t>
      </w:r>
    </w:p>
    <w:p>
      <w:pPr>
        <w:spacing w:beforeLines="100"/>
        <w:jc w:val="center"/>
        <w:rPr>
          <w:rFonts w:ascii="黑体" w:eastAsia="黑体"/>
          <w:sz w:val="44"/>
          <w:szCs w:val="44"/>
        </w:rPr>
      </w:pPr>
      <w:r>
        <w:rPr>
          <w:rFonts w:hint="eastAsia" w:ascii="黑体" w:eastAsia="黑体"/>
          <w:sz w:val="44"/>
          <w:szCs w:val="44"/>
        </w:rPr>
        <w:t>投  标  文  件</w:t>
      </w:r>
    </w:p>
    <w:p>
      <w:pPr>
        <w:jc w:val="center"/>
        <w:rPr>
          <w:rFonts w:ascii="黑体" w:eastAsia="黑体"/>
          <w:sz w:val="32"/>
          <w:szCs w:val="32"/>
        </w:rPr>
      </w:pPr>
      <w:r>
        <w:rPr>
          <w:rFonts w:hint="eastAsia" w:ascii="黑体" w:eastAsia="黑体"/>
          <w:sz w:val="32"/>
          <w:szCs w:val="32"/>
        </w:rPr>
        <w:t>（技术标部分）</w:t>
      </w:r>
    </w:p>
    <w:p>
      <w:pPr>
        <w:jc w:val="center"/>
        <w:rPr>
          <w:rFonts w:ascii="黑体" w:eastAsia="黑体"/>
          <w:sz w:val="32"/>
          <w:szCs w:val="32"/>
        </w:rPr>
      </w:pPr>
      <w:r>
        <w:rPr>
          <w:rFonts w:hint="eastAsia" w:ascii="黑体" w:eastAsia="黑体"/>
          <w:sz w:val="32"/>
          <w:szCs w:val="32"/>
        </w:rPr>
        <w:t>（招标编号：）</w:t>
      </w: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rPr>
          <w:rFonts w:ascii="黑体" w:eastAsia="黑体"/>
          <w:szCs w:val="21"/>
          <w:u w:val="single"/>
        </w:rPr>
      </w:pPr>
    </w:p>
    <w:p>
      <w:pPr>
        <w:spacing w:line="360" w:lineRule="auto"/>
        <w:jc w:val="left"/>
        <w:rPr>
          <w:rFonts w:ascii="黑体" w:hAnsi="黑体" w:eastAsia="黑体"/>
          <w:sz w:val="24"/>
          <w:szCs w:val="28"/>
        </w:rPr>
      </w:pPr>
      <w:r>
        <w:rPr>
          <w:rFonts w:hint="eastAsia" w:ascii="黑体" w:hAnsi="黑体" w:eastAsia="黑体"/>
          <w:sz w:val="24"/>
          <w:szCs w:val="28"/>
        </w:rPr>
        <w:t xml:space="preserve">      投标人：（盖单位章）</w:t>
      </w:r>
    </w:p>
    <w:p>
      <w:pPr>
        <w:spacing w:line="360" w:lineRule="auto"/>
        <w:jc w:val="center"/>
        <w:rPr>
          <w:rFonts w:ascii="黑体" w:hAnsi="黑体" w:eastAsia="黑体"/>
          <w:sz w:val="24"/>
          <w:szCs w:val="28"/>
        </w:rPr>
      </w:pPr>
      <w:r>
        <w:rPr>
          <w:rFonts w:hint="eastAsia" w:ascii="黑体" w:hAnsi="黑体" w:eastAsia="黑体"/>
          <w:sz w:val="24"/>
          <w:szCs w:val="28"/>
        </w:rPr>
        <w:t>法定代表人或其委托代理人：（签字</w:t>
      </w:r>
      <w:r>
        <w:rPr>
          <w:rFonts w:hint="eastAsia" w:ascii="黑体" w:hAnsi="黑体" w:eastAsia="黑体"/>
          <w:kern w:val="0"/>
          <w:sz w:val="24"/>
          <w:szCs w:val="28"/>
        </w:rPr>
        <w:t>或盖章</w:t>
      </w:r>
      <w:r>
        <w:rPr>
          <w:rFonts w:hint="eastAsia" w:ascii="黑体" w:hAnsi="黑体" w:eastAsia="黑体"/>
          <w:sz w:val="24"/>
          <w:szCs w:val="28"/>
        </w:rPr>
        <w:t>）</w:t>
      </w:r>
    </w:p>
    <w:p>
      <w:pPr>
        <w:spacing w:line="420" w:lineRule="exact"/>
        <w:jc w:val="center"/>
        <w:rPr>
          <w:rFonts w:ascii="黑体" w:hAnsi="黑体" w:eastAsia="黑体"/>
          <w:sz w:val="24"/>
          <w:szCs w:val="28"/>
        </w:rPr>
      </w:pPr>
      <w:r>
        <w:rPr>
          <w:rFonts w:hint="eastAsia" w:ascii="黑体" w:hAnsi="黑体" w:eastAsia="黑体"/>
          <w:sz w:val="24"/>
          <w:szCs w:val="28"/>
        </w:rPr>
        <w:t>年月日</w:t>
      </w:r>
    </w:p>
    <w:p>
      <w:pPr>
        <w:rPr>
          <w:rFonts w:ascii="黑体" w:hAnsi="黑体" w:eastAsia="黑体"/>
          <w:sz w:val="24"/>
          <w:szCs w:val="21"/>
        </w:rPr>
      </w:pPr>
      <w:r>
        <w:rPr>
          <w:rFonts w:hint="eastAsia" w:ascii="黑体" w:hAnsi="黑体" w:eastAsia="黑体"/>
          <w:sz w:val="24"/>
          <w:szCs w:val="21"/>
        </w:rPr>
        <w:br w:type="page"/>
      </w:r>
    </w:p>
    <w:p>
      <w:pPr>
        <w:pStyle w:val="4"/>
        <w:keepNext/>
        <w:keepLines/>
        <w:widowControl w:val="0"/>
        <w:adjustRightInd w:val="0"/>
        <w:snapToGrid w:val="0"/>
        <w:jc w:val="center"/>
        <w:rPr>
          <w:rFonts w:hint="eastAsia" w:ascii="宋体" w:hAnsi="宋体"/>
          <w:b w:val="0"/>
          <w:bCs w:val="0"/>
          <w:sz w:val="32"/>
          <w:szCs w:val="28"/>
        </w:rPr>
      </w:pPr>
      <w:bookmarkStart w:id="676" w:name="_Toc14964085"/>
      <w:r>
        <w:rPr>
          <w:rFonts w:hint="eastAsia" w:ascii="宋体" w:hAnsi="宋体"/>
          <w:b w:val="0"/>
          <w:bCs w:val="0"/>
          <w:sz w:val="32"/>
          <w:szCs w:val="28"/>
        </w:rPr>
        <w:t>投标文件技术标（施工组织设计）内容</w:t>
      </w:r>
      <w:bookmarkEnd w:id="676"/>
    </w:p>
    <w:p>
      <w:pPr>
        <w:adjustRightInd w:val="0"/>
        <w:snapToGrid w:val="0"/>
        <w:spacing w:line="360" w:lineRule="auto"/>
        <w:ind w:firstLine="420" w:firstLineChars="200"/>
        <w:rPr>
          <w:rFonts w:hint="eastAsia" w:ascii="宋体" w:hAnsi="宋体"/>
          <w:szCs w:val="21"/>
        </w:rPr>
      </w:pPr>
      <w:r>
        <w:rPr>
          <w:rFonts w:hint="eastAsia" w:ascii="宋体" w:hAnsi="宋体"/>
          <w:szCs w:val="21"/>
        </w:rPr>
        <w:t>一、</w:t>
      </w:r>
      <w:r>
        <w:rPr>
          <w:rFonts w:hint="eastAsia" w:ascii="宋体" w:hAnsi="宋体"/>
        </w:rPr>
        <w:t>投标文件技术标按</w:t>
      </w:r>
      <w:r>
        <w:rPr>
          <w:rFonts w:hint="eastAsia" w:ascii="宋体" w:hAnsi="宋体"/>
          <w:u w:val="single"/>
        </w:rPr>
        <w:t>湘建监督[2018]238号</w:t>
      </w:r>
      <w:r>
        <w:rPr>
          <w:rFonts w:hint="eastAsia" w:ascii="宋体" w:hAnsi="宋体"/>
        </w:rPr>
        <w:t>文件中“综合评估法II”规定的技术标书内容编制，</w:t>
      </w:r>
      <w:r>
        <w:rPr>
          <w:rFonts w:hint="eastAsia" w:ascii="宋体" w:hAnsi="宋体"/>
          <w:szCs w:val="21"/>
        </w:rPr>
        <w:t>采用暗标，包括下列内容（按此顺序）：</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w:t>
      </w:r>
      <w:r>
        <w:rPr>
          <w:rFonts w:ascii="宋体" w:hAnsi="宋体"/>
          <w:szCs w:val="21"/>
        </w:rPr>
        <w:t>施工方案与技术措施</w:t>
      </w:r>
      <w:r>
        <w:rPr>
          <w:rFonts w:hint="eastAsia" w:ascii="宋体" w:hAnsi="宋体"/>
          <w:szCs w:val="21"/>
        </w:rPr>
        <w:t>（包括施工平面布置图）；</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w:t>
      </w:r>
      <w:r>
        <w:rPr>
          <w:rFonts w:ascii="宋体" w:hAnsi="宋体"/>
          <w:szCs w:val="21"/>
        </w:rPr>
        <w:t>质量管理体系与措施</w:t>
      </w:r>
      <w:r>
        <w:rPr>
          <w:rFonts w:hint="eastAsia" w:ascii="宋体" w:hAnsi="宋体"/>
          <w:szCs w:val="21"/>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3、</w:t>
      </w:r>
      <w:r>
        <w:rPr>
          <w:rFonts w:ascii="宋体" w:hAnsi="宋体"/>
          <w:szCs w:val="21"/>
        </w:rPr>
        <w:t>安全管理体系与措施</w:t>
      </w:r>
      <w:r>
        <w:rPr>
          <w:rFonts w:hint="eastAsia" w:ascii="宋体" w:hAnsi="宋体"/>
          <w:szCs w:val="21"/>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w:t>
      </w:r>
      <w:r>
        <w:rPr>
          <w:rFonts w:ascii="宋体" w:hAnsi="宋体"/>
          <w:szCs w:val="21"/>
        </w:rPr>
        <w:t>环境保护管理体系与措施</w:t>
      </w:r>
      <w:r>
        <w:rPr>
          <w:rFonts w:hint="eastAsia" w:ascii="宋体" w:hAnsi="宋体"/>
          <w:szCs w:val="21"/>
        </w:rPr>
        <w:t>；</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5、</w:t>
      </w:r>
      <w:r>
        <w:rPr>
          <w:rFonts w:ascii="宋体" w:hAnsi="宋体"/>
          <w:szCs w:val="21"/>
        </w:rPr>
        <w:t>工程进度计划与保证措施</w:t>
      </w:r>
      <w:r>
        <w:rPr>
          <w:rFonts w:hint="eastAsia" w:ascii="宋体" w:hAnsi="宋体"/>
          <w:szCs w:val="21"/>
        </w:rPr>
        <w:t>（包括施工进度计划横道图、网络图）；</w:t>
      </w:r>
    </w:p>
    <w:p>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w:t>
      </w:r>
      <w:r>
        <w:rPr>
          <w:rFonts w:ascii="宋体" w:hAnsi="宋体"/>
          <w:szCs w:val="21"/>
        </w:rPr>
        <w:t>资源配备计划</w:t>
      </w:r>
      <w:r>
        <w:rPr>
          <w:rFonts w:hint="eastAsia" w:ascii="宋体" w:hAnsi="宋体"/>
          <w:szCs w:val="21"/>
        </w:rPr>
        <w:t>。</w:t>
      </w:r>
    </w:p>
    <w:p>
      <w:pPr>
        <w:adjustRightInd w:val="0"/>
        <w:snapToGrid w:val="0"/>
        <w:spacing w:line="360" w:lineRule="auto"/>
        <w:rPr>
          <w:rFonts w:hint="eastAsia" w:ascii="宋体" w:hAnsi="宋体"/>
          <w:sz w:val="18"/>
          <w:szCs w:val="18"/>
        </w:rPr>
      </w:pPr>
      <w:r>
        <w:rPr>
          <w:rFonts w:hint="eastAsia" w:ascii="宋体" w:hAnsi="宋体"/>
          <w:sz w:val="18"/>
          <w:szCs w:val="18"/>
        </w:rPr>
        <w:t>注：如有合理化建议，不单独列出，各投标人将相关内容融入各相应章节。</w:t>
      </w:r>
    </w:p>
    <w:p>
      <w:pPr>
        <w:adjustRightInd w:val="0"/>
        <w:snapToGrid w:val="0"/>
        <w:spacing w:line="360" w:lineRule="auto"/>
        <w:ind w:firstLine="420" w:firstLineChars="200"/>
        <w:rPr>
          <w:rFonts w:hint="eastAsia" w:ascii="宋体" w:hAnsi="宋体"/>
          <w:szCs w:val="21"/>
        </w:rPr>
      </w:pPr>
      <w:r>
        <w:rPr>
          <w:rFonts w:hint="eastAsia" w:ascii="宋体" w:hAnsi="宋体"/>
          <w:szCs w:val="21"/>
        </w:rPr>
        <w:t>二、暗标制作要求</w:t>
      </w:r>
    </w:p>
    <w:p>
      <w:pPr>
        <w:spacing w:line="420" w:lineRule="exact"/>
        <w:ind w:firstLine="422" w:firstLineChars="200"/>
        <w:rPr>
          <w:rFonts w:ascii="宋体" w:hAnsi="宋体"/>
          <w:b/>
          <w:bCs/>
          <w:szCs w:val="21"/>
        </w:rPr>
      </w:pPr>
      <w:r>
        <w:rPr>
          <w:rFonts w:hint="eastAsia" w:ascii="宋体" w:hAnsi="宋体"/>
          <w:b/>
          <w:bCs/>
          <w:szCs w:val="21"/>
        </w:rPr>
        <w:t>1、技术标文件不分正副共伍份统一采用招标代理机构规定的封面、扉页、插页、封底；不得在技术标文件内出现投标人名称，不得出现任何能引起判断出投标人的内容；不得在技术标书内出现空白页，重复页、倒装情况；不得加盖正副本标识；</w:t>
      </w:r>
    </w:p>
    <w:p>
      <w:pPr>
        <w:spacing w:line="420" w:lineRule="exact"/>
        <w:ind w:firstLine="422" w:firstLineChars="200"/>
        <w:rPr>
          <w:rFonts w:ascii="宋体" w:hAnsi="宋体"/>
          <w:b/>
          <w:bCs/>
          <w:szCs w:val="21"/>
        </w:rPr>
      </w:pPr>
      <w:r>
        <w:rPr>
          <w:rFonts w:hint="eastAsia" w:ascii="宋体" w:hAnsi="宋体"/>
          <w:b/>
          <w:bCs/>
          <w:szCs w:val="21"/>
        </w:rPr>
        <w:t>2、技术文件统一采用仿宋字体；除图纸内、表格内、框图内文字、数字采用5号大小的仿宋字体外，其它文字、数字均采用3号仿宋字体；所有文字不得有任何修饰；不设图签，编页码号（采用5号阿拉伯数字仿宋字体）位于纸张下方正中间；</w:t>
      </w:r>
    </w:p>
    <w:p>
      <w:pPr>
        <w:spacing w:line="420" w:lineRule="exact"/>
        <w:ind w:firstLine="422" w:firstLineChars="200"/>
        <w:rPr>
          <w:rFonts w:ascii="宋体" w:hAnsi="宋体"/>
          <w:b/>
          <w:bCs/>
          <w:szCs w:val="21"/>
        </w:rPr>
      </w:pPr>
      <w:r>
        <w:rPr>
          <w:rFonts w:hint="eastAsia" w:ascii="宋体" w:hAnsi="宋体"/>
          <w:b/>
          <w:bCs/>
          <w:szCs w:val="21"/>
        </w:rPr>
        <w:t>3、技术文件不做目录。文字部分采用A4复印纸（70克</w:t>
      </w:r>
      <w:r>
        <w:rPr>
          <w:rFonts w:hint="eastAsia" w:ascii="宋体" w:hAnsi="宋体" w:cs="宋体"/>
          <w:b/>
          <w:bCs/>
          <w:szCs w:val="21"/>
        </w:rPr>
        <w:t>㎡</w:t>
      </w:r>
      <w:r>
        <w:rPr>
          <w:rFonts w:hint="eastAsia" w:ascii="宋体" w:hAnsi="宋体"/>
          <w:b/>
          <w:bCs/>
          <w:szCs w:val="21"/>
        </w:rPr>
        <w:t>白纸），图纸部分（施工平面布置图、施工进度计划横道图、网络图）采用A3复印纸（70克</w:t>
      </w:r>
      <w:r>
        <w:rPr>
          <w:rFonts w:hint="eastAsia" w:ascii="宋体" w:hAnsi="宋体" w:cs="宋体"/>
          <w:b/>
          <w:bCs/>
          <w:szCs w:val="21"/>
        </w:rPr>
        <w:t>㎡</w:t>
      </w:r>
      <w:r>
        <w:rPr>
          <w:rFonts w:hint="eastAsia" w:ascii="宋体" w:hAnsi="宋体"/>
          <w:b/>
          <w:bCs/>
          <w:szCs w:val="21"/>
        </w:rPr>
        <w:t>白纸），图纸集中装订在每一章节的最后；图纸不编页码；</w:t>
      </w:r>
    </w:p>
    <w:p>
      <w:pPr>
        <w:spacing w:line="420" w:lineRule="exact"/>
        <w:ind w:firstLine="422" w:firstLineChars="200"/>
        <w:rPr>
          <w:rFonts w:ascii="宋体" w:hAnsi="宋体"/>
          <w:b/>
          <w:bCs/>
          <w:szCs w:val="21"/>
        </w:rPr>
      </w:pPr>
      <w:r>
        <w:rPr>
          <w:rFonts w:hint="eastAsia" w:ascii="宋体" w:hAnsi="宋体"/>
          <w:b/>
          <w:bCs/>
          <w:szCs w:val="21"/>
        </w:rPr>
        <w:t>4、技术文件中不得出现任何有关投标人的资料及可以识别的记号，不得涂改、行间插字或删除。</w:t>
      </w:r>
    </w:p>
    <w:p>
      <w:pPr>
        <w:spacing w:line="420" w:lineRule="exact"/>
        <w:ind w:firstLine="422" w:firstLineChars="200"/>
        <w:rPr>
          <w:rFonts w:ascii="宋体" w:hAnsi="宋体"/>
          <w:b/>
          <w:bCs/>
          <w:szCs w:val="21"/>
        </w:rPr>
      </w:pPr>
      <w:r>
        <w:rPr>
          <w:rFonts w:hint="eastAsia" w:ascii="宋体" w:hAnsi="宋体"/>
          <w:b/>
          <w:bCs/>
          <w:szCs w:val="21"/>
        </w:rPr>
        <w:t>5、施工平面布置图严格按规范要求绘制；图纸上所有文字和线条不得采用彩色，线条可用细、粗实线和虚线；不得注明单位名称和任何能引起判断出投标人的内容。</w:t>
      </w:r>
    </w:p>
    <w:p>
      <w:pPr>
        <w:spacing w:line="420" w:lineRule="exact"/>
        <w:ind w:firstLine="422" w:firstLineChars="200"/>
        <w:rPr>
          <w:rFonts w:ascii="宋体" w:hAnsi="宋体"/>
          <w:b/>
          <w:bCs/>
          <w:szCs w:val="21"/>
        </w:rPr>
      </w:pPr>
      <w:r>
        <w:rPr>
          <w:rFonts w:hint="eastAsia" w:ascii="宋体" w:hAnsi="宋体"/>
          <w:b/>
          <w:bCs/>
          <w:szCs w:val="21"/>
        </w:rPr>
        <w:t>6、投标人只能在技术文件封底规定处（密封线内）填写投标人名称并加盖公章、法定代表人签名（或盖章），且必须用统一规定的密封圈贴纸按密封线将其封贴严实。</w:t>
      </w:r>
    </w:p>
    <w:p>
      <w:pPr>
        <w:spacing w:line="420" w:lineRule="exact"/>
        <w:ind w:firstLine="422" w:firstLineChars="200"/>
        <w:rPr>
          <w:rFonts w:ascii="宋体" w:hAnsi="宋体"/>
          <w:b/>
          <w:bCs/>
          <w:szCs w:val="21"/>
        </w:rPr>
      </w:pPr>
      <w:r>
        <w:rPr>
          <w:rFonts w:hint="eastAsia" w:ascii="宋体" w:hAnsi="宋体"/>
          <w:b/>
          <w:bCs/>
          <w:szCs w:val="21"/>
        </w:rPr>
        <w:t>7、技术文件必须采用单面打印（不得双面打印）。技术文件须采用双层密封袋密封，内密封袋上不得有任何标识（内密封袋必须用纯色的牛皮纸包装密封）；外密封袋上须注明投标单位名称（外密封袋的密封没有特别要求，由投标单位自行安排），外密封袋上由法定代表人或其授权委托代理人签字并加盖投标单位公章。</w:t>
      </w:r>
    </w:p>
    <w:p>
      <w:pPr>
        <w:spacing w:line="420" w:lineRule="exact"/>
        <w:ind w:firstLine="422" w:firstLineChars="200"/>
        <w:rPr>
          <w:rFonts w:ascii="宋体" w:hAnsi="宋体"/>
          <w:b/>
          <w:bCs/>
          <w:szCs w:val="21"/>
        </w:rPr>
      </w:pPr>
      <w:r>
        <w:rPr>
          <w:rFonts w:hint="eastAsia" w:ascii="宋体" w:hAnsi="宋体"/>
          <w:b/>
          <w:bCs/>
          <w:szCs w:val="21"/>
        </w:rPr>
        <w:t>8、各投标单位如有任何一处违反，技术标计零分。</w:t>
      </w:r>
    </w:p>
    <w:p>
      <w:pPr>
        <w:spacing w:line="420" w:lineRule="exact"/>
        <w:ind w:firstLine="422" w:firstLineChars="200"/>
        <w:rPr>
          <w:rFonts w:ascii="宋体" w:hAnsi="宋体"/>
          <w:b/>
          <w:bCs/>
          <w:szCs w:val="21"/>
        </w:rPr>
      </w:pPr>
      <w:r>
        <w:rPr>
          <w:rFonts w:hint="eastAsia" w:ascii="宋体" w:hAnsi="宋体"/>
          <w:b/>
          <w:bCs/>
          <w:szCs w:val="21"/>
        </w:rPr>
        <w:t>9、扉页、插页、封面、封底等的格式、纸张、颜色：</w:t>
      </w:r>
    </w:p>
    <w:p>
      <w:pPr>
        <w:spacing w:line="420" w:lineRule="exact"/>
        <w:ind w:firstLine="422" w:firstLineChars="200"/>
        <w:rPr>
          <w:rFonts w:ascii="宋体" w:hAnsi="宋体"/>
          <w:b/>
          <w:bCs/>
          <w:szCs w:val="21"/>
        </w:rPr>
      </w:pPr>
      <w:r>
        <w:rPr>
          <w:rFonts w:hint="eastAsia" w:ascii="宋体" w:hAnsi="宋体"/>
          <w:b/>
          <w:bCs/>
          <w:szCs w:val="21"/>
        </w:rPr>
        <w:t>9.1、扉页：黑体 60号 （70克白纸）</w:t>
      </w:r>
    </w:p>
    <w:p>
      <w:pPr>
        <w:spacing w:line="420" w:lineRule="exact"/>
        <w:ind w:firstLine="422" w:firstLineChars="200"/>
        <w:rPr>
          <w:rFonts w:ascii="宋体" w:hAnsi="宋体"/>
          <w:b/>
          <w:bCs/>
          <w:szCs w:val="21"/>
        </w:rPr>
      </w:pPr>
      <w:r>
        <w:rPr>
          <w:rFonts w:hint="eastAsia" w:ascii="宋体" w:hAnsi="宋体"/>
          <w:b/>
          <w:bCs/>
          <w:szCs w:val="21"/>
        </w:rPr>
        <w:t>页边距：上3.5cm，下：3cm，左：3cm，右：3cm</w:t>
      </w:r>
    </w:p>
    <w:p>
      <w:pPr>
        <w:spacing w:line="420" w:lineRule="exact"/>
        <w:ind w:firstLine="422" w:firstLineChars="200"/>
        <w:rPr>
          <w:rFonts w:ascii="宋体" w:hAnsi="宋体"/>
          <w:b/>
          <w:bCs/>
          <w:szCs w:val="21"/>
        </w:rPr>
      </w:pPr>
      <w:r>
        <w:rPr>
          <w:rFonts w:hint="eastAsia" w:ascii="宋体" w:hAnsi="宋体"/>
          <w:b/>
          <w:bCs/>
          <w:szCs w:val="21"/>
        </w:rPr>
        <w:t>9.2、插页：黑体 24号 居中（70克粉色纸）A4</w:t>
      </w:r>
    </w:p>
    <w:p>
      <w:pPr>
        <w:spacing w:line="420" w:lineRule="exact"/>
        <w:ind w:firstLine="422" w:firstLineChars="200"/>
        <w:rPr>
          <w:rFonts w:ascii="宋体" w:hAnsi="宋体"/>
          <w:b/>
          <w:bCs/>
          <w:szCs w:val="21"/>
        </w:rPr>
      </w:pPr>
      <w:r>
        <w:rPr>
          <w:rFonts w:hint="eastAsia" w:ascii="宋体" w:hAnsi="宋体"/>
          <w:b/>
          <w:bCs/>
          <w:szCs w:val="21"/>
        </w:rPr>
        <w:t>9.3、封面：深蓝色皮纹</w:t>
      </w:r>
    </w:p>
    <w:p>
      <w:pPr>
        <w:spacing w:line="420" w:lineRule="exact"/>
        <w:ind w:firstLine="422" w:firstLineChars="200"/>
        <w:rPr>
          <w:rFonts w:ascii="宋体" w:hAnsi="宋体"/>
          <w:b/>
          <w:bCs/>
          <w:szCs w:val="21"/>
        </w:rPr>
      </w:pPr>
      <w:r>
        <w:rPr>
          <w:rFonts w:hint="eastAsia" w:ascii="宋体" w:hAnsi="宋体"/>
          <w:b/>
          <w:bCs/>
          <w:szCs w:val="21"/>
        </w:rPr>
        <w:t>9.4、封面纸：1、封一：文鼎大黑 80号2、封二：宋体 16号</w:t>
      </w:r>
    </w:p>
    <w:p>
      <w:pPr>
        <w:spacing w:line="420" w:lineRule="exact"/>
        <w:ind w:firstLine="422" w:firstLineChars="200"/>
        <w:rPr>
          <w:rFonts w:ascii="宋体" w:hAnsi="宋体"/>
          <w:b/>
          <w:bCs/>
          <w:szCs w:val="21"/>
        </w:rPr>
      </w:pPr>
      <w:r>
        <w:rPr>
          <w:rFonts w:hint="eastAsia" w:ascii="宋体" w:hAnsi="宋体"/>
          <w:b/>
          <w:bCs/>
          <w:szCs w:val="21"/>
        </w:rPr>
        <w:t>9.5、密封圈外框：155*140mm、内框：135*120mm，密封圈贴纸尺寸：155*140mm</w:t>
      </w:r>
    </w:p>
    <w:p>
      <w:pPr>
        <w:pStyle w:val="52"/>
        <w:adjustRightInd w:val="0"/>
        <w:snapToGrid w:val="0"/>
        <w:spacing w:line="360" w:lineRule="auto"/>
        <w:ind w:firstLine="422" w:firstLineChars="200"/>
        <w:rPr>
          <w:rFonts w:hint="eastAsia" w:ascii="宋体" w:hAnsi="宋体"/>
          <w:b/>
          <w:bCs/>
          <w:sz w:val="24"/>
          <w:szCs w:val="24"/>
        </w:rPr>
      </w:pPr>
      <w:r>
        <w:rPr>
          <w:rFonts w:hint="eastAsia" w:ascii="宋体" w:hAnsi="宋体"/>
          <w:b/>
        </w:rPr>
        <w:t>以上要求仅用于施工组织设计，并严格执行</w:t>
      </w:r>
      <w:r>
        <w:rPr>
          <w:rFonts w:hint="eastAsia" w:ascii="宋体" w:hAnsi="宋体"/>
          <w:b/>
          <w:u w:val="single"/>
        </w:rPr>
        <w:t>湘建监督[2018]238号</w:t>
      </w:r>
      <w:r>
        <w:rPr>
          <w:rFonts w:hint="eastAsia" w:ascii="宋体" w:hAnsi="宋体"/>
          <w:b/>
        </w:rPr>
        <w:t>文件《湖南省房屋建筑和市政工程施工招标评标活动管理规定》第十二条。</w:t>
      </w:r>
    </w:p>
    <w:p>
      <w:pPr>
        <w:adjustRightInd w:val="0"/>
        <w:snapToGrid w:val="0"/>
        <w:spacing w:line="360" w:lineRule="auto"/>
        <w:ind w:firstLine="420" w:firstLineChars="200"/>
        <w:jc w:val="center"/>
        <w:rPr>
          <w:rFonts w:ascii="宋体" w:hAnsi="宋体"/>
          <w:szCs w:val="21"/>
        </w:rPr>
      </w:pPr>
    </w:p>
    <w:p>
      <w:pPr/>
    </w:p>
    <w:sectPr>
      <w:footerReference r:id="rId17" w:type="default"/>
      <w:pgSz w:w="11907" w:h="16840"/>
      <w:pgMar w:top="1304" w:right="1304" w:bottom="1304" w:left="1701" w:header="85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0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_GB2312">
    <w:altName w:val="仿宋"/>
    <w:panose1 w:val="00000000000000000000"/>
    <w:charset w:val="86"/>
    <w:family w:val="swiss"/>
    <w:pitch w:val="default"/>
    <w:sig w:usb0="00000000" w:usb1="00000000" w:usb2="00000010" w:usb3="00000000" w:csb0="00040000" w:csb1="00000000"/>
  </w:font>
  <w:font w:name="MS Sans Serif">
    <w:altName w:val="Arial"/>
    <w:panose1 w:val="00000000000000000000"/>
    <w:charset w:val="00"/>
    <w:family w:val="decorative"/>
    <w:pitch w:val="default"/>
    <w:sig w:usb0="00000000" w:usb1="00000000" w:usb2="00000000" w:usb3="00000000" w:csb0="00000001" w:csb1="00000000"/>
  </w:font>
  <w:font w:name="Verdana">
    <w:panose1 w:val="020B0604030504040204"/>
    <w:charset w:val="00"/>
    <w:family w:val="decorative"/>
    <w:pitch w:val="default"/>
    <w:sig w:usb0="A00006FF" w:usb1="4000205B" w:usb2="00000010" w:usb3="00000000" w:csb0="2000019F" w:csb1="00000000"/>
  </w:font>
  <w:font w:name="Arial Unicode MS">
    <w:altName w:val="Arial"/>
    <w:panose1 w:val="020B0604020202020204"/>
    <w:charset w:val="00"/>
    <w:family w:val="modern"/>
    <w:pitch w:val="default"/>
    <w:sig w:usb0="00000000" w:usb1="00000000" w:usb2="00000000" w:usb3="00000000" w:csb0="00000001" w:csb1="00000000"/>
  </w:font>
  <w:font w:name="FZShuSong-Z01">
    <w:altName w:val="黑体"/>
    <w:panose1 w:val="00000000000000000000"/>
    <w:charset w:val="86"/>
    <w:family w:val="swiss"/>
    <w:pitch w:val="default"/>
    <w:sig w:usb0="00000000" w:usb1="00000000" w:usb2="00000010" w:usb3="00000000" w:csb0="00040000" w:csb1="00000000"/>
  </w:font>
  <w:font w:name="Tahoma">
    <w:panose1 w:val="020B0604030504040204"/>
    <w:charset w:val="00"/>
    <w:family w:val="decorative"/>
    <w:pitch w:val="default"/>
    <w:sig w:usb0="E1002EFF" w:usb1="C000605B" w:usb2="00000029" w:usb3="00000000" w:csb0="200101FF" w:csb1="20280000"/>
  </w:font>
  <w:font w:name="MingLiU">
    <w:altName w:val="PMingLiU-ExtB"/>
    <w:panose1 w:val="02020509000000000000"/>
    <w:charset w:val="88"/>
    <w:family w:val="swiss"/>
    <w:pitch w:val="default"/>
    <w:sig w:usb0="00000000" w:usb1="00000000" w:usb2="00000016" w:usb3="00000000" w:csb0="00100001" w:csb1="00000000"/>
  </w:font>
  <w:font w:name="楷体_GB2312">
    <w:altName w:val="楷体"/>
    <w:panose1 w:val="00000000000000000000"/>
    <w:charset w:val="86"/>
    <w:family w:val="swiss"/>
    <w:pitch w:val="default"/>
    <w:sig w:usb0="00000000" w:usb1="00000000" w:usb2="00000010" w:usb3="00000000" w:csb0="00040000" w:csb1="00000000"/>
  </w:font>
  <w:font w:name="华文新魏">
    <w:altName w:val="微软雅黑"/>
    <w:panose1 w:val="00000000000000000000"/>
    <w:charset w:val="86"/>
    <w:family w:val="auto"/>
    <w:pitch w:val="default"/>
    <w:sig w:usb0="00000000" w:usb1="00000000" w:usb2="00000010" w:usb3="00000000" w:csb0="00040000" w:csb1="00000000"/>
  </w:font>
  <w:font w:name="方正黑体简体">
    <w:altName w:val="黑体"/>
    <w:panose1 w:val="00000000000000000000"/>
    <w:charset w:val="86"/>
    <w:family w:val="script"/>
    <w:pitch w:val="default"/>
    <w:sig w:usb0="00000000" w:usb1="00000000" w:usb2="00000010" w:usb3="00000000" w:csb0="00040000" w:csb1="00000000"/>
  </w:font>
  <w:font w:name="方正书宋_GBK">
    <w:altName w:val="黑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00"/>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_x0000_s2058" o:spid="_x0000_s205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50</w:t>
                </w:r>
                <w:r>
                  <w:rPr>
                    <w:rFonts w:hint="eastAsia"/>
                    <w:sz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7"/>
      </w:rPr>
    </w:pPr>
    <w:r>
      <w:fldChar w:fldCharType="begin"/>
    </w:r>
    <w:r>
      <w:rPr>
        <w:rStyle w:val="37"/>
      </w:rPr>
      <w:instrText xml:space="preserve">PAGE  </w:instrText>
    </w:r>
    <w:r>
      <w:fldChar w:fldCharType="separate"/>
    </w:r>
    <w:r>
      <w:rPr>
        <w:rStyle w:val="37"/>
      </w:rPr>
      <w:t>368</w:t>
    </w:r>
    <w:r>
      <w:fldChar w:fldCharType="end"/>
    </w:r>
  </w:p>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7"/>
      </w:rPr>
    </w:pPr>
    <w:r>
      <w:fldChar w:fldCharType="begin"/>
    </w:r>
    <w:r>
      <w:rPr>
        <w:rStyle w:val="37"/>
      </w:rPr>
      <w:instrText xml:space="preserve">PAGE  </w:instrText>
    </w:r>
    <w:r>
      <w:fldChar w:fldCharType="separate"/>
    </w:r>
    <w:r>
      <w:rPr>
        <w:rStyle w:val="37"/>
      </w:rPr>
      <w:t>368</w:t>
    </w:r>
    <w:r>
      <w:fldChar w:fldCharType="end"/>
    </w:r>
  </w:p>
  <w:p>
    <w:pPr>
      <w:pStyle w:val="2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_x0000_s2050" o:spid="_x0000_s2050" o:spt="202" type="#_x0000_t202" style="position:absolute;left:0pt;margin-top:0pt;height:144pt;width:144pt;mso-position-horizontal:center;mso-position-horizontal-relative:margin;mso-wrap-style:none;z-index:251653120;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52</w:t>
                </w:r>
                <w:r>
                  <w:rPr>
                    <w:rFonts w:hint="eastAsia"/>
                    <w:sz w:val="1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_x0000_s2051" o:spid="_x0000_s2051" o:spt="202" type="#_x0000_t202" style="position:absolute;left:0pt;margin-top:0pt;height:144pt;width:144pt;mso-position-horizontal:center;mso-position-horizontal-relative:margin;mso-wrap-style:none;z-index:251654144;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55</w:t>
                </w:r>
                <w:r>
                  <w:rPr>
                    <w:rFonts w:hint="eastAsia"/>
                    <w:sz w:val="18"/>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_x0000_s2059" o:spid="_x0000_s2059" o:spt="202" type="#_x0000_t202" style="position:absolute;left:0pt;margin-top:0pt;height:144pt;width:144pt;mso-position-horizontal:center;mso-position-horizontal-relative:margin;mso-wrap-style:none;z-index:251656192;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105</w:t>
                </w:r>
                <w:r>
                  <w:rPr>
                    <w:rFonts w:hint="eastAsia"/>
                    <w:sz w:val="1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_x0000_s2053" o:spid="_x0000_s2053" o:spt="202" type="#_x0000_t202" style="position:absolute;left:0pt;margin-top:0pt;height:144pt;width:144pt;mso-position-horizontal:center;mso-position-horizontal-relative:margin;mso-wrap-style:none;z-index:251657216;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179</w:t>
                </w:r>
                <w:r>
                  <w:rPr>
                    <w:rFonts w:hint="eastAsia"/>
                    <w:sz w:val="18"/>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outside" w:y="1"/>
      <w:rPr>
        <w:rStyle w:val="37"/>
      </w:rPr>
    </w:pPr>
    <w:r>
      <w:fldChar w:fldCharType="begin"/>
    </w:r>
    <w:r>
      <w:rPr>
        <w:rStyle w:val="37"/>
      </w:rPr>
      <w:instrText xml:space="preserve">PAGE  </w:instrText>
    </w:r>
    <w:r>
      <w:fldChar w:fldCharType="end"/>
    </w:r>
  </w:p>
  <w:p>
    <w:pPr>
      <w:pStyle w:val="25"/>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_x0000_s2054" o:spid="_x0000_s2054"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joinstyle="miter"/>
          <v:imagedata o:title=""/>
          <o:lock v:ext="edit"/>
          <v:textbox inset="0mm,0mm,0mm,0mm" style="mso-fit-shape-to-text:t;">
            <w:txbxContent>
              <w:p>
                <w:pPr>
                  <w:pStyle w:val="25"/>
                  <w:jc w:val="center"/>
                </w:pPr>
                <w:r>
                  <w:fldChar w:fldCharType="begin"/>
                </w:r>
                <w:r>
                  <w:instrText xml:space="preserve"> PAGE  \* MERGEFORMAT </w:instrText>
                </w:r>
                <w:r>
                  <w:fldChar w:fldCharType="separate"/>
                </w:r>
                <w:r>
                  <w:t>184</w:t>
                </w:r>
                <w:r>
                  <w:fldChar w:fldCharType="end"/>
                </w:r>
              </w:p>
            </w:txbxContent>
          </v:textbox>
        </v:shape>
      </w:pict>
    </w:r>
  </w:p>
  <w:p>
    <w:pPr>
      <w:pStyle w:val="25"/>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pict>
        <v:shape id="_x0000_s2055" o:spid="_x0000_s205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pStyle w:val="25"/>
                  <w:jc w:val="center"/>
                </w:pPr>
                <w:r>
                  <w:fldChar w:fldCharType="begin"/>
                </w:r>
                <w:r>
                  <w:instrText xml:space="preserve"> PAGE  \* MERGEFORMAT </w:instrText>
                </w:r>
                <w:r>
                  <w:fldChar w:fldCharType="separate"/>
                </w:r>
                <w:r>
                  <w:t>185</w:t>
                </w:r>
                <w:r>
                  <w:fldChar w:fldCharType="end"/>
                </w:r>
              </w:p>
            </w:txbxContent>
          </v:textbox>
        </v:shape>
      </w:pict>
    </w:r>
  </w:p>
  <w:p>
    <w:pPr>
      <w:pStyle w:val="25"/>
      <w:ind w:left="210" w:leftChars="100" w:right="210" w:rightChars="100" w:firstLine="360"/>
      <w:jc w:val="center"/>
      <w:rPr>
        <w:rFonts w:ascii="宋体" w:hAnsi="宋体"/>
        <w:sz w:val="28"/>
        <w:szCs w:val="2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_x0000_s2056" o:spid="_x0000_s205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186</w:t>
                </w:r>
                <w:r>
                  <w:rPr>
                    <w:rFonts w:hint="eastAsia"/>
                    <w:sz w:val="18"/>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pict>
        <v:shape id="_x0000_s2057" o:spid="_x0000_s205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190</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56453527">
    <w:nsid w:val="56CFB797"/>
    <w:multiLevelType w:val="singleLevel"/>
    <w:tmpl w:val="56CFB797"/>
    <w:lvl w:ilvl="0" w:tentative="1">
      <w:start w:val="1"/>
      <w:numFmt w:val="chineseCounting"/>
      <w:suff w:val="nothing"/>
      <w:lvlText w:val="（%1）"/>
      <w:lvlJc w:val="left"/>
    </w:lvl>
  </w:abstractNum>
  <w:num w:numId="1">
    <w:abstractNumId w:val="14564535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213"/>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12A"/>
    <w:rsid w:val="000017EF"/>
    <w:rsid w:val="00001EBE"/>
    <w:rsid w:val="000021C4"/>
    <w:rsid w:val="00006179"/>
    <w:rsid w:val="000072F2"/>
    <w:rsid w:val="000077BA"/>
    <w:rsid w:val="00010E3D"/>
    <w:rsid w:val="00011D1C"/>
    <w:rsid w:val="00011E53"/>
    <w:rsid w:val="0001329B"/>
    <w:rsid w:val="000143C6"/>
    <w:rsid w:val="00022B7F"/>
    <w:rsid w:val="00023647"/>
    <w:rsid w:val="000304C7"/>
    <w:rsid w:val="00030732"/>
    <w:rsid w:val="0003301E"/>
    <w:rsid w:val="00033F28"/>
    <w:rsid w:val="00037802"/>
    <w:rsid w:val="00040E6E"/>
    <w:rsid w:val="00041A17"/>
    <w:rsid w:val="00044C89"/>
    <w:rsid w:val="000514EB"/>
    <w:rsid w:val="00055BCC"/>
    <w:rsid w:val="00056C54"/>
    <w:rsid w:val="00057D18"/>
    <w:rsid w:val="0006183F"/>
    <w:rsid w:val="00063BCA"/>
    <w:rsid w:val="00065F29"/>
    <w:rsid w:val="00066B04"/>
    <w:rsid w:val="00066D53"/>
    <w:rsid w:val="000716E4"/>
    <w:rsid w:val="000725A8"/>
    <w:rsid w:val="00073EEE"/>
    <w:rsid w:val="0007615A"/>
    <w:rsid w:val="00077482"/>
    <w:rsid w:val="00080E31"/>
    <w:rsid w:val="000823F8"/>
    <w:rsid w:val="000844E6"/>
    <w:rsid w:val="00092900"/>
    <w:rsid w:val="000932FD"/>
    <w:rsid w:val="0009654B"/>
    <w:rsid w:val="000A0C74"/>
    <w:rsid w:val="000A15B9"/>
    <w:rsid w:val="000A1639"/>
    <w:rsid w:val="000A1DE5"/>
    <w:rsid w:val="000A3B3B"/>
    <w:rsid w:val="000A69A2"/>
    <w:rsid w:val="000A71C7"/>
    <w:rsid w:val="000A732F"/>
    <w:rsid w:val="000B2089"/>
    <w:rsid w:val="000B240C"/>
    <w:rsid w:val="000B2564"/>
    <w:rsid w:val="000B5054"/>
    <w:rsid w:val="000B6E27"/>
    <w:rsid w:val="000C39B6"/>
    <w:rsid w:val="000C550E"/>
    <w:rsid w:val="000C7475"/>
    <w:rsid w:val="000D320F"/>
    <w:rsid w:val="000D4F77"/>
    <w:rsid w:val="000D5451"/>
    <w:rsid w:val="000D6F25"/>
    <w:rsid w:val="000E100D"/>
    <w:rsid w:val="000E494A"/>
    <w:rsid w:val="000F24DF"/>
    <w:rsid w:val="000F2F57"/>
    <w:rsid w:val="000F47DB"/>
    <w:rsid w:val="000F6D7B"/>
    <w:rsid w:val="001022A2"/>
    <w:rsid w:val="00102D90"/>
    <w:rsid w:val="00103D42"/>
    <w:rsid w:val="001044BB"/>
    <w:rsid w:val="00110E41"/>
    <w:rsid w:val="001149B3"/>
    <w:rsid w:val="00114E9A"/>
    <w:rsid w:val="00120E42"/>
    <w:rsid w:val="0012105F"/>
    <w:rsid w:val="00121DB8"/>
    <w:rsid w:val="00124748"/>
    <w:rsid w:val="0012535A"/>
    <w:rsid w:val="00125BBA"/>
    <w:rsid w:val="00125FA2"/>
    <w:rsid w:val="0012612A"/>
    <w:rsid w:val="0012714D"/>
    <w:rsid w:val="0013039A"/>
    <w:rsid w:val="001321A3"/>
    <w:rsid w:val="001477FD"/>
    <w:rsid w:val="00151B63"/>
    <w:rsid w:val="00154052"/>
    <w:rsid w:val="001546C6"/>
    <w:rsid w:val="0015715B"/>
    <w:rsid w:val="001607AD"/>
    <w:rsid w:val="001610D4"/>
    <w:rsid w:val="001625CB"/>
    <w:rsid w:val="00163B47"/>
    <w:rsid w:val="00163BF1"/>
    <w:rsid w:val="001645ED"/>
    <w:rsid w:val="001656C6"/>
    <w:rsid w:val="00167203"/>
    <w:rsid w:val="001709ED"/>
    <w:rsid w:val="00172A27"/>
    <w:rsid w:val="00174080"/>
    <w:rsid w:val="001746BC"/>
    <w:rsid w:val="00174D63"/>
    <w:rsid w:val="001759CE"/>
    <w:rsid w:val="00181A76"/>
    <w:rsid w:val="00183FA7"/>
    <w:rsid w:val="0018442E"/>
    <w:rsid w:val="0018678E"/>
    <w:rsid w:val="00187A73"/>
    <w:rsid w:val="0019017A"/>
    <w:rsid w:val="00190E5F"/>
    <w:rsid w:val="001916B2"/>
    <w:rsid w:val="001929B5"/>
    <w:rsid w:val="00193BEB"/>
    <w:rsid w:val="00194B00"/>
    <w:rsid w:val="001971B3"/>
    <w:rsid w:val="001A294E"/>
    <w:rsid w:val="001A31C0"/>
    <w:rsid w:val="001A7BEF"/>
    <w:rsid w:val="001B6ADB"/>
    <w:rsid w:val="001C14D8"/>
    <w:rsid w:val="001C30FF"/>
    <w:rsid w:val="001C4E35"/>
    <w:rsid w:val="001C7D37"/>
    <w:rsid w:val="001D1644"/>
    <w:rsid w:val="001E58E4"/>
    <w:rsid w:val="001E604B"/>
    <w:rsid w:val="001F18F2"/>
    <w:rsid w:val="001F21B1"/>
    <w:rsid w:val="001F31DD"/>
    <w:rsid w:val="001F7BE6"/>
    <w:rsid w:val="00200C87"/>
    <w:rsid w:val="00200C88"/>
    <w:rsid w:val="00200ECE"/>
    <w:rsid w:val="0020269E"/>
    <w:rsid w:val="002044B3"/>
    <w:rsid w:val="002066B6"/>
    <w:rsid w:val="00211239"/>
    <w:rsid w:val="00212660"/>
    <w:rsid w:val="002129F9"/>
    <w:rsid w:val="00212B80"/>
    <w:rsid w:val="00213002"/>
    <w:rsid w:val="0021472F"/>
    <w:rsid w:val="00221357"/>
    <w:rsid w:val="002219CA"/>
    <w:rsid w:val="00224096"/>
    <w:rsid w:val="00224BDC"/>
    <w:rsid w:val="00232249"/>
    <w:rsid w:val="00233FF7"/>
    <w:rsid w:val="00234898"/>
    <w:rsid w:val="00234911"/>
    <w:rsid w:val="002354C5"/>
    <w:rsid w:val="00236EA2"/>
    <w:rsid w:val="00236F1A"/>
    <w:rsid w:val="002411C0"/>
    <w:rsid w:val="002425F2"/>
    <w:rsid w:val="002427E1"/>
    <w:rsid w:val="00242D37"/>
    <w:rsid w:val="00242EFB"/>
    <w:rsid w:val="002456C5"/>
    <w:rsid w:val="00247671"/>
    <w:rsid w:val="002506CA"/>
    <w:rsid w:val="002516C0"/>
    <w:rsid w:val="00253AA4"/>
    <w:rsid w:val="00254005"/>
    <w:rsid w:val="0026091C"/>
    <w:rsid w:val="002637B7"/>
    <w:rsid w:val="00263B77"/>
    <w:rsid w:val="002641C6"/>
    <w:rsid w:val="0027399E"/>
    <w:rsid w:val="00274426"/>
    <w:rsid w:val="0027603A"/>
    <w:rsid w:val="00276C74"/>
    <w:rsid w:val="00284179"/>
    <w:rsid w:val="002879DB"/>
    <w:rsid w:val="00292E30"/>
    <w:rsid w:val="0029307D"/>
    <w:rsid w:val="00293B78"/>
    <w:rsid w:val="00294125"/>
    <w:rsid w:val="0029420D"/>
    <w:rsid w:val="00295335"/>
    <w:rsid w:val="0029726C"/>
    <w:rsid w:val="002A03B0"/>
    <w:rsid w:val="002A121B"/>
    <w:rsid w:val="002A22B2"/>
    <w:rsid w:val="002A50DF"/>
    <w:rsid w:val="002A7623"/>
    <w:rsid w:val="002A7E5A"/>
    <w:rsid w:val="002B25DB"/>
    <w:rsid w:val="002B355C"/>
    <w:rsid w:val="002B4787"/>
    <w:rsid w:val="002C1C2C"/>
    <w:rsid w:val="002C29C9"/>
    <w:rsid w:val="002C48A4"/>
    <w:rsid w:val="002C700E"/>
    <w:rsid w:val="002C765C"/>
    <w:rsid w:val="002D2FA4"/>
    <w:rsid w:val="002D533C"/>
    <w:rsid w:val="002D589E"/>
    <w:rsid w:val="002E0625"/>
    <w:rsid w:val="002E12CD"/>
    <w:rsid w:val="002E2AA2"/>
    <w:rsid w:val="002E35ED"/>
    <w:rsid w:val="002E496D"/>
    <w:rsid w:val="002E7A59"/>
    <w:rsid w:val="002F24FF"/>
    <w:rsid w:val="002F27FD"/>
    <w:rsid w:val="00300D6E"/>
    <w:rsid w:val="00302519"/>
    <w:rsid w:val="003028AE"/>
    <w:rsid w:val="00304B16"/>
    <w:rsid w:val="00304F0B"/>
    <w:rsid w:val="00310FA4"/>
    <w:rsid w:val="00311436"/>
    <w:rsid w:val="00311705"/>
    <w:rsid w:val="00311A7F"/>
    <w:rsid w:val="003144C6"/>
    <w:rsid w:val="00314566"/>
    <w:rsid w:val="0031496F"/>
    <w:rsid w:val="00316F15"/>
    <w:rsid w:val="0031739B"/>
    <w:rsid w:val="00323177"/>
    <w:rsid w:val="00324BEA"/>
    <w:rsid w:val="00327988"/>
    <w:rsid w:val="00330F3E"/>
    <w:rsid w:val="00336B41"/>
    <w:rsid w:val="00341031"/>
    <w:rsid w:val="00342EB6"/>
    <w:rsid w:val="00343428"/>
    <w:rsid w:val="00343467"/>
    <w:rsid w:val="00344099"/>
    <w:rsid w:val="0034766B"/>
    <w:rsid w:val="00347912"/>
    <w:rsid w:val="0035021D"/>
    <w:rsid w:val="00350AB3"/>
    <w:rsid w:val="00351CC8"/>
    <w:rsid w:val="00353944"/>
    <w:rsid w:val="00354BF7"/>
    <w:rsid w:val="003556C6"/>
    <w:rsid w:val="003572D3"/>
    <w:rsid w:val="00357846"/>
    <w:rsid w:val="00362F36"/>
    <w:rsid w:val="00364D43"/>
    <w:rsid w:val="0036622E"/>
    <w:rsid w:val="00374DAC"/>
    <w:rsid w:val="00377389"/>
    <w:rsid w:val="003828B3"/>
    <w:rsid w:val="00390858"/>
    <w:rsid w:val="00393987"/>
    <w:rsid w:val="00394459"/>
    <w:rsid w:val="00396B81"/>
    <w:rsid w:val="003A0FB8"/>
    <w:rsid w:val="003A1635"/>
    <w:rsid w:val="003A3586"/>
    <w:rsid w:val="003A7C11"/>
    <w:rsid w:val="003B0032"/>
    <w:rsid w:val="003B0E5F"/>
    <w:rsid w:val="003B2BB6"/>
    <w:rsid w:val="003B4B0D"/>
    <w:rsid w:val="003B4DAD"/>
    <w:rsid w:val="003B58B2"/>
    <w:rsid w:val="003B5E0B"/>
    <w:rsid w:val="003B64AC"/>
    <w:rsid w:val="003C235C"/>
    <w:rsid w:val="003C293F"/>
    <w:rsid w:val="003C7737"/>
    <w:rsid w:val="003E4AD0"/>
    <w:rsid w:val="003E5DC4"/>
    <w:rsid w:val="003F0884"/>
    <w:rsid w:val="003F3FA8"/>
    <w:rsid w:val="003F6E59"/>
    <w:rsid w:val="003F7B6F"/>
    <w:rsid w:val="0040395B"/>
    <w:rsid w:val="0040555B"/>
    <w:rsid w:val="00410210"/>
    <w:rsid w:val="0041364A"/>
    <w:rsid w:val="00415114"/>
    <w:rsid w:val="00415E4F"/>
    <w:rsid w:val="0041689E"/>
    <w:rsid w:val="004207F0"/>
    <w:rsid w:val="00430439"/>
    <w:rsid w:val="0043175E"/>
    <w:rsid w:val="00432043"/>
    <w:rsid w:val="00432060"/>
    <w:rsid w:val="00435ED7"/>
    <w:rsid w:val="004361C2"/>
    <w:rsid w:val="00436981"/>
    <w:rsid w:val="004514A3"/>
    <w:rsid w:val="0045173B"/>
    <w:rsid w:val="00451941"/>
    <w:rsid w:val="00452A0F"/>
    <w:rsid w:val="00454E38"/>
    <w:rsid w:val="0045540B"/>
    <w:rsid w:val="004579B9"/>
    <w:rsid w:val="00462062"/>
    <w:rsid w:val="00463E50"/>
    <w:rsid w:val="0046463E"/>
    <w:rsid w:val="00466CBC"/>
    <w:rsid w:val="00471DDC"/>
    <w:rsid w:val="004730FB"/>
    <w:rsid w:val="0047634B"/>
    <w:rsid w:val="00482557"/>
    <w:rsid w:val="00485D4D"/>
    <w:rsid w:val="00487A5B"/>
    <w:rsid w:val="00491157"/>
    <w:rsid w:val="0049279D"/>
    <w:rsid w:val="00492F95"/>
    <w:rsid w:val="004936E4"/>
    <w:rsid w:val="0049498F"/>
    <w:rsid w:val="00495DC8"/>
    <w:rsid w:val="004A5338"/>
    <w:rsid w:val="004A6E10"/>
    <w:rsid w:val="004A7FF3"/>
    <w:rsid w:val="004B03AA"/>
    <w:rsid w:val="004B2969"/>
    <w:rsid w:val="004B2F55"/>
    <w:rsid w:val="004B3871"/>
    <w:rsid w:val="004B4B68"/>
    <w:rsid w:val="004B6A3B"/>
    <w:rsid w:val="004B7921"/>
    <w:rsid w:val="004C16FD"/>
    <w:rsid w:val="004C374B"/>
    <w:rsid w:val="004C5219"/>
    <w:rsid w:val="004C61A5"/>
    <w:rsid w:val="004C70A6"/>
    <w:rsid w:val="004D0DCE"/>
    <w:rsid w:val="004D48A3"/>
    <w:rsid w:val="004D4E5E"/>
    <w:rsid w:val="004D5205"/>
    <w:rsid w:val="004D5ECA"/>
    <w:rsid w:val="004E0AF9"/>
    <w:rsid w:val="004E0DAA"/>
    <w:rsid w:val="004E12BB"/>
    <w:rsid w:val="004E27AA"/>
    <w:rsid w:val="004E2EFF"/>
    <w:rsid w:val="004E3C96"/>
    <w:rsid w:val="004E6E4B"/>
    <w:rsid w:val="004F123A"/>
    <w:rsid w:val="004F37CB"/>
    <w:rsid w:val="004F5E7E"/>
    <w:rsid w:val="004F6457"/>
    <w:rsid w:val="004F6AF0"/>
    <w:rsid w:val="004F785A"/>
    <w:rsid w:val="005029BC"/>
    <w:rsid w:val="00502C2B"/>
    <w:rsid w:val="00506A52"/>
    <w:rsid w:val="005126BC"/>
    <w:rsid w:val="00512E3D"/>
    <w:rsid w:val="00520982"/>
    <w:rsid w:val="005260E6"/>
    <w:rsid w:val="00530277"/>
    <w:rsid w:val="00532C0E"/>
    <w:rsid w:val="00541B38"/>
    <w:rsid w:val="00544249"/>
    <w:rsid w:val="005452E5"/>
    <w:rsid w:val="0054700F"/>
    <w:rsid w:val="00547A7E"/>
    <w:rsid w:val="005501D2"/>
    <w:rsid w:val="00553729"/>
    <w:rsid w:val="00557C9D"/>
    <w:rsid w:val="00557D6B"/>
    <w:rsid w:val="00561C0C"/>
    <w:rsid w:val="00563ADE"/>
    <w:rsid w:val="00564778"/>
    <w:rsid w:val="00565AE0"/>
    <w:rsid w:val="005700A0"/>
    <w:rsid w:val="00570994"/>
    <w:rsid w:val="005752F4"/>
    <w:rsid w:val="005778F8"/>
    <w:rsid w:val="00577928"/>
    <w:rsid w:val="00584C08"/>
    <w:rsid w:val="00586B01"/>
    <w:rsid w:val="005922C5"/>
    <w:rsid w:val="00595033"/>
    <w:rsid w:val="00595BB9"/>
    <w:rsid w:val="005A041F"/>
    <w:rsid w:val="005A16B2"/>
    <w:rsid w:val="005A4EA9"/>
    <w:rsid w:val="005B0201"/>
    <w:rsid w:val="005B16AE"/>
    <w:rsid w:val="005B1879"/>
    <w:rsid w:val="005B3767"/>
    <w:rsid w:val="005B613F"/>
    <w:rsid w:val="005C655A"/>
    <w:rsid w:val="005C73DD"/>
    <w:rsid w:val="005D0DAD"/>
    <w:rsid w:val="005D19E0"/>
    <w:rsid w:val="005D20FB"/>
    <w:rsid w:val="005D471E"/>
    <w:rsid w:val="005D6F83"/>
    <w:rsid w:val="005E0263"/>
    <w:rsid w:val="005E132F"/>
    <w:rsid w:val="005E2450"/>
    <w:rsid w:val="005E553F"/>
    <w:rsid w:val="005E6B51"/>
    <w:rsid w:val="005E6E4D"/>
    <w:rsid w:val="005E7414"/>
    <w:rsid w:val="005F141D"/>
    <w:rsid w:val="005F1421"/>
    <w:rsid w:val="005F15DD"/>
    <w:rsid w:val="005F768A"/>
    <w:rsid w:val="00601BE7"/>
    <w:rsid w:val="00602556"/>
    <w:rsid w:val="00604CDB"/>
    <w:rsid w:val="006053B0"/>
    <w:rsid w:val="0060669E"/>
    <w:rsid w:val="006068C8"/>
    <w:rsid w:val="00606D5B"/>
    <w:rsid w:val="00611B3A"/>
    <w:rsid w:val="00612047"/>
    <w:rsid w:val="0061522F"/>
    <w:rsid w:val="0061569D"/>
    <w:rsid w:val="00615EAC"/>
    <w:rsid w:val="00616B21"/>
    <w:rsid w:val="00616B41"/>
    <w:rsid w:val="00621242"/>
    <w:rsid w:val="00621D20"/>
    <w:rsid w:val="00625EC1"/>
    <w:rsid w:val="0062767B"/>
    <w:rsid w:val="006306F4"/>
    <w:rsid w:val="0063070C"/>
    <w:rsid w:val="00630CE1"/>
    <w:rsid w:val="00631033"/>
    <w:rsid w:val="00631E41"/>
    <w:rsid w:val="006331B6"/>
    <w:rsid w:val="00635168"/>
    <w:rsid w:val="0063558E"/>
    <w:rsid w:val="00635B9D"/>
    <w:rsid w:val="00636EC6"/>
    <w:rsid w:val="0063762A"/>
    <w:rsid w:val="00641BA5"/>
    <w:rsid w:val="00642BCD"/>
    <w:rsid w:val="006441B7"/>
    <w:rsid w:val="0065175A"/>
    <w:rsid w:val="0065307D"/>
    <w:rsid w:val="0065329D"/>
    <w:rsid w:val="00662FC5"/>
    <w:rsid w:val="0066597F"/>
    <w:rsid w:val="00666018"/>
    <w:rsid w:val="00670FBD"/>
    <w:rsid w:val="006739A2"/>
    <w:rsid w:val="00675C42"/>
    <w:rsid w:val="00677226"/>
    <w:rsid w:val="006778BE"/>
    <w:rsid w:val="0068520F"/>
    <w:rsid w:val="00691FF7"/>
    <w:rsid w:val="006935D4"/>
    <w:rsid w:val="00694BC8"/>
    <w:rsid w:val="00695CBA"/>
    <w:rsid w:val="006A6EBD"/>
    <w:rsid w:val="006B1E9B"/>
    <w:rsid w:val="006B1F85"/>
    <w:rsid w:val="006B3920"/>
    <w:rsid w:val="006B3C74"/>
    <w:rsid w:val="006B558C"/>
    <w:rsid w:val="006B7369"/>
    <w:rsid w:val="006B753E"/>
    <w:rsid w:val="006C0173"/>
    <w:rsid w:val="006C0AAD"/>
    <w:rsid w:val="006C0D5F"/>
    <w:rsid w:val="006C2556"/>
    <w:rsid w:val="006C3D6B"/>
    <w:rsid w:val="006C3E18"/>
    <w:rsid w:val="006C6F4F"/>
    <w:rsid w:val="006C7AE7"/>
    <w:rsid w:val="006D4B75"/>
    <w:rsid w:val="006E2558"/>
    <w:rsid w:val="006E4629"/>
    <w:rsid w:val="006E4BEF"/>
    <w:rsid w:val="006E6232"/>
    <w:rsid w:val="006E66DF"/>
    <w:rsid w:val="006E7D10"/>
    <w:rsid w:val="006F0401"/>
    <w:rsid w:val="006F1DDB"/>
    <w:rsid w:val="006F205A"/>
    <w:rsid w:val="006F2B4E"/>
    <w:rsid w:val="006F39AD"/>
    <w:rsid w:val="006F6714"/>
    <w:rsid w:val="00703A2C"/>
    <w:rsid w:val="007045F9"/>
    <w:rsid w:val="007071F4"/>
    <w:rsid w:val="007079FD"/>
    <w:rsid w:val="00713941"/>
    <w:rsid w:val="0071614D"/>
    <w:rsid w:val="00720292"/>
    <w:rsid w:val="00720E6D"/>
    <w:rsid w:val="00722F46"/>
    <w:rsid w:val="00722FD2"/>
    <w:rsid w:val="007275A3"/>
    <w:rsid w:val="0073155F"/>
    <w:rsid w:val="007316EF"/>
    <w:rsid w:val="00733D0B"/>
    <w:rsid w:val="007346D8"/>
    <w:rsid w:val="007370B6"/>
    <w:rsid w:val="00741C61"/>
    <w:rsid w:val="00743126"/>
    <w:rsid w:val="00747443"/>
    <w:rsid w:val="00750E19"/>
    <w:rsid w:val="00751414"/>
    <w:rsid w:val="00754BFE"/>
    <w:rsid w:val="00755313"/>
    <w:rsid w:val="0076347A"/>
    <w:rsid w:val="007706ED"/>
    <w:rsid w:val="00777527"/>
    <w:rsid w:val="00777E81"/>
    <w:rsid w:val="00781B06"/>
    <w:rsid w:val="007863CA"/>
    <w:rsid w:val="00793349"/>
    <w:rsid w:val="00793F8F"/>
    <w:rsid w:val="0079502A"/>
    <w:rsid w:val="007A0797"/>
    <w:rsid w:val="007A2BE0"/>
    <w:rsid w:val="007A2F04"/>
    <w:rsid w:val="007A67EA"/>
    <w:rsid w:val="007A7BD8"/>
    <w:rsid w:val="007B0752"/>
    <w:rsid w:val="007B1445"/>
    <w:rsid w:val="007B431E"/>
    <w:rsid w:val="007B743C"/>
    <w:rsid w:val="007C180A"/>
    <w:rsid w:val="007C29C8"/>
    <w:rsid w:val="007C2B33"/>
    <w:rsid w:val="007C3636"/>
    <w:rsid w:val="007C5E21"/>
    <w:rsid w:val="007C5EFC"/>
    <w:rsid w:val="007D0563"/>
    <w:rsid w:val="007D20E0"/>
    <w:rsid w:val="007D3832"/>
    <w:rsid w:val="007D3F3B"/>
    <w:rsid w:val="007D4779"/>
    <w:rsid w:val="007E086B"/>
    <w:rsid w:val="007E4E86"/>
    <w:rsid w:val="007E5344"/>
    <w:rsid w:val="007E7B67"/>
    <w:rsid w:val="007F05F4"/>
    <w:rsid w:val="007F0B58"/>
    <w:rsid w:val="007F2912"/>
    <w:rsid w:val="007F56D0"/>
    <w:rsid w:val="007F5714"/>
    <w:rsid w:val="00800533"/>
    <w:rsid w:val="00803569"/>
    <w:rsid w:val="008035D9"/>
    <w:rsid w:val="00803971"/>
    <w:rsid w:val="008052DA"/>
    <w:rsid w:val="00805AC1"/>
    <w:rsid w:val="00810754"/>
    <w:rsid w:val="00810EAE"/>
    <w:rsid w:val="00813181"/>
    <w:rsid w:val="00816634"/>
    <w:rsid w:val="00816ACC"/>
    <w:rsid w:val="00817298"/>
    <w:rsid w:val="00820C04"/>
    <w:rsid w:val="00825B3F"/>
    <w:rsid w:val="00825CBF"/>
    <w:rsid w:val="00826271"/>
    <w:rsid w:val="0082685F"/>
    <w:rsid w:val="008275DE"/>
    <w:rsid w:val="00832396"/>
    <w:rsid w:val="00840E94"/>
    <w:rsid w:val="00842D5B"/>
    <w:rsid w:val="00842EF5"/>
    <w:rsid w:val="0084599C"/>
    <w:rsid w:val="00847EDC"/>
    <w:rsid w:val="0085225E"/>
    <w:rsid w:val="00852D92"/>
    <w:rsid w:val="00856931"/>
    <w:rsid w:val="00863887"/>
    <w:rsid w:val="00865D0E"/>
    <w:rsid w:val="00865FC4"/>
    <w:rsid w:val="00866AB0"/>
    <w:rsid w:val="008673FF"/>
    <w:rsid w:val="0087546A"/>
    <w:rsid w:val="00876B5A"/>
    <w:rsid w:val="00881E24"/>
    <w:rsid w:val="008824E2"/>
    <w:rsid w:val="00882FA7"/>
    <w:rsid w:val="008843EE"/>
    <w:rsid w:val="008849CE"/>
    <w:rsid w:val="00884CC1"/>
    <w:rsid w:val="00890AA0"/>
    <w:rsid w:val="008940EA"/>
    <w:rsid w:val="008A2D2D"/>
    <w:rsid w:val="008A360B"/>
    <w:rsid w:val="008A5CEE"/>
    <w:rsid w:val="008A5EE6"/>
    <w:rsid w:val="008A75FF"/>
    <w:rsid w:val="008B178A"/>
    <w:rsid w:val="008B6A5F"/>
    <w:rsid w:val="008B6F9C"/>
    <w:rsid w:val="008C0091"/>
    <w:rsid w:val="008C115A"/>
    <w:rsid w:val="008C19AE"/>
    <w:rsid w:val="008C3D44"/>
    <w:rsid w:val="008C412D"/>
    <w:rsid w:val="008C653C"/>
    <w:rsid w:val="008C68E4"/>
    <w:rsid w:val="008C7E47"/>
    <w:rsid w:val="008D2A52"/>
    <w:rsid w:val="008D4234"/>
    <w:rsid w:val="008D4926"/>
    <w:rsid w:val="008D61A2"/>
    <w:rsid w:val="008D622A"/>
    <w:rsid w:val="008E08E9"/>
    <w:rsid w:val="008E1579"/>
    <w:rsid w:val="008F0B3E"/>
    <w:rsid w:val="008F4905"/>
    <w:rsid w:val="008F4D21"/>
    <w:rsid w:val="008F6D33"/>
    <w:rsid w:val="008F773A"/>
    <w:rsid w:val="00901F70"/>
    <w:rsid w:val="00907677"/>
    <w:rsid w:val="00916511"/>
    <w:rsid w:val="009208C5"/>
    <w:rsid w:val="009209FD"/>
    <w:rsid w:val="0092106A"/>
    <w:rsid w:val="00922D20"/>
    <w:rsid w:val="00923AF9"/>
    <w:rsid w:val="00924890"/>
    <w:rsid w:val="00925D0F"/>
    <w:rsid w:val="00925E17"/>
    <w:rsid w:val="00926767"/>
    <w:rsid w:val="00930EE6"/>
    <w:rsid w:val="009316E4"/>
    <w:rsid w:val="00933000"/>
    <w:rsid w:val="009334FD"/>
    <w:rsid w:val="009345AE"/>
    <w:rsid w:val="009355F8"/>
    <w:rsid w:val="00940EF0"/>
    <w:rsid w:val="009424BD"/>
    <w:rsid w:val="0095047B"/>
    <w:rsid w:val="009550D7"/>
    <w:rsid w:val="009579CB"/>
    <w:rsid w:val="00963727"/>
    <w:rsid w:val="009641BC"/>
    <w:rsid w:val="00965A04"/>
    <w:rsid w:val="00967838"/>
    <w:rsid w:val="009736EA"/>
    <w:rsid w:val="0098120F"/>
    <w:rsid w:val="00981BFE"/>
    <w:rsid w:val="00981E71"/>
    <w:rsid w:val="0098282B"/>
    <w:rsid w:val="009838D5"/>
    <w:rsid w:val="009872A2"/>
    <w:rsid w:val="00990918"/>
    <w:rsid w:val="00990DB8"/>
    <w:rsid w:val="00992553"/>
    <w:rsid w:val="009959F0"/>
    <w:rsid w:val="009A2349"/>
    <w:rsid w:val="009A279E"/>
    <w:rsid w:val="009A6403"/>
    <w:rsid w:val="009A7C1E"/>
    <w:rsid w:val="009B0058"/>
    <w:rsid w:val="009B0601"/>
    <w:rsid w:val="009B1E46"/>
    <w:rsid w:val="009B4064"/>
    <w:rsid w:val="009B4147"/>
    <w:rsid w:val="009B58EC"/>
    <w:rsid w:val="009C03E9"/>
    <w:rsid w:val="009C0670"/>
    <w:rsid w:val="009C0BE7"/>
    <w:rsid w:val="009C5AD6"/>
    <w:rsid w:val="009C7820"/>
    <w:rsid w:val="009D062C"/>
    <w:rsid w:val="009D0844"/>
    <w:rsid w:val="009D2EC6"/>
    <w:rsid w:val="009D509C"/>
    <w:rsid w:val="009D57A2"/>
    <w:rsid w:val="009D5BDE"/>
    <w:rsid w:val="009D60EE"/>
    <w:rsid w:val="009D653F"/>
    <w:rsid w:val="009D6B78"/>
    <w:rsid w:val="009D7167"/>
    <w:rsid w:val="009E02A5"/>
    <w:rsid w:val="009E1D7F"/>
    <w:rsid w:val="009E50B2"/>
    <w:rsid w:val="009E7CA9"/>
    <w:rsid w:val="009F0988"/>
    <w:rsid w:val="009F4682"/>
    <w:rsid w:val="00A0033B"/>
    <w:rsid w:val="00A00FDE"/>
    <w:rsid w:val="00A02316"/>
    <w:rsid w:val="00A028D1"/>
    <w:rsid w:val="00A1726A"/>
    <w:rsid w:val="00A23465"/>
    <w:rsid w:val="00A23F00"/>
    <w:rsid w:val="00A24FBF"/>
    <w:rsid w:val="00A258C3"/>
    <w:rsid w:val="00A25ECE"/>
    <w:rsid w:val="00A26B51"/>
    <w:rsid w:val="00A31205"/>
    <w:rsid w:val="00A34240"/>
    <w:rsid w:val="00A3558A"/>
    <w:rsid w:val="00A376A2"/>
    <w:rsid w:val="00A405E9"/>
    <w:rsid w:val="00A41873"/>
    <w:rsid w:val="00A45FD0"/>
    <w:rsid w:val="00A46CE1"/>
    <w:rsid w:val="00A470D5"/>
    <w:rsid w:val="00A4793F"/>
    <w:rsid w:val="00A536A7"/>
    <w:rsid w:val="00A56EA6"/>
    <w:rsid w:val="00A618E4"/>
    <w:rsid w:val="00A62DDE"/>
    <w:rsid w:val="00A63A6E"/>
    <w:rsid w:val="00A74640"/>
    <w:rsid w:val="00A74CFD"/>
    <w:rsid w:val="00A774C7"/>
    <w:rsid w:val="00A806EA"/>
    <w:rsid w:val="00A81072"/>
    <w:rsid w:val="00A81E4F"/>
    <w:rsid w:val="00A8308F"/>
    <w:rsid w:val="00A834B7"/>
    <w:rsid w:val="00A9042F"/>
    <w:rsid w:val="00A912A6"/>
    <w:rsid w:val="00A91765"/>
    <w:rsid w:val="00AA1CCA"/>
    <w:rsid w:val="00AA22BC"/>
    <w:rsid w:val="00AA5F61"/>
    <w:rsid w:val="00AA72BA"/>
    <w:rsid w:val="00AB3A8C"/>
    <w:rsid w:val="00AC0818"/>
    <w:rsid w:val="00AC0CBC"/>
    <w:rsid w:val="00AC0EA6"/>
    <w:rsid w:val="00AC261A"/>
    <w:rsid w:val="00AC39A3"/>
    <w:rsid w:val="00AC4255"/>
    <w:rsid w:val="00AD0DE4"/>
    <w:rsid w:val="00AD15B0"/>
    <w:rsid w:val="00AD2C59"/>
    <w:rsid w:val="00AD3EF7"/>
    <w:rsid w:val="00AD5F29"/>
    <w:rsid w:val="00AE0E57"/>
    <w:rsid w:val="00AE2C7A"/>
    <w:rsid w:val="00AE2CF2"/>
    <w:rsid w:val="00AE4A45"/>
    <w:rsid w:val="00AF3373"/>
    <w:rsid w:val="00AF49BE"/>
    <w:rsid w:val="00AF4A33"/>
    <w:rsid w:val="00AF4C87"/>
    <w:rsid w:val="00AF6A12"/>
    <w:rsid w:val="00AF6DF4"/>
    <w:rsid w:val="00AF79B4"/>
    <w:rsid w:val="00B015DC"/>
    <w:rsid w:val="00B01C6D"/>
    <w:rsid w:val="00B06179"/>
    <w:rsid w:val="00B06580"/>
    <w:rsid w:val="00B11617"/>
    <w:rsid w:val="00B139FC"/>
    <w:rsid w:val="00B1627F"/>
    <w:rsid w:val="00B207DF"/>
    <w:rsid w:val="00B216F9"/>
    <w:rsid w:val="00B219F6"/>
    <w:rsid w:val="00B21A19"/>
    <w:rsid w:val="00B26F7D"/>
    <w:rsid w:val="00B30FCC"/>
    <w:rsid w:val="00B33D0A"/>
    <w:rsid w:val="00B351B7"/>
    <w:rsid w:val="00B371CF"/>
    <w:rsid w:val="00B37E80"/>
    <w:rsid w:val="00B40460"/>
    <w:rsid w:val="00B45E0D"/>
    <w:rsid w:val="00B46443"/>
    <w:rsid w:val="00B53FE9"/>
    <w:rsid w:val="00B60766"/>
    <w:rsid w:val="00B62190"/>
    <w:rsid w:val="00B65549"/>
    <w:rsid w:val="00B67A9D"/>
    <w:rsid w:val="00B71E9B"/>
    <w:rsid w:val="00B72ADE"/>
    <w:rsid w:val="00B75E01"/>
    <w:rsid w:val="00B7617B"/>
    <w:rsid w:val="00B761B8"/>
    <w:rsid w:val="00B76B62"/>
    <w:rsid w:val="00B812B3"/>
    <w:rsid w:val="00B81725"/>
    <w:rsid w:val="00B82196"/>
    <w:rsid w:val="00B82543"/>
    <w:rsid w:val="00B92491"/>
    <w:rsid w:val="00B928AC"/>
    <w:rsid w:val="00B95251"/>
    <w:rsid w:val="00B97045"/>
    <w:rsid w:val="00BA0F80"/>
    <w:rsid w:val="00BA14BC"/>
    <w:rsid w:val="00BA34CB"/>
    <w:rsid w:val="00BA3C65"/>
    <w:rsid w:val="00BA5681"/>
    <w:rsid w:val="00BA5D22"/>
    <w:rsid w:val="00BA770D"/>
    <w:rsid w:val="00BB2029"/>
    <w:rsid w:val="00BB2D89"/>
    <w:rsid w:val="00BB3B30"/>
    <w:rsid w:val="00BB56BE"/>
    <w:rsid w:val="00BB7E49"/>
    <w:rsid w:val="00BC1277"/>
    <w:rsid w:val="00BC1D15"/>
    <w:rsid w:val="00BC1D92"/>
    <w:rsid w:val="00BC6147"/>
    <w:rsid w:val="00BD0054"/>
    <w:rsid w:val="00BD6004"/>
    <w:rsid w:val="00BD6278"/>
    <w:rsid w:val="00BD7496"/>
    <w:rsid w:val="00BD7E3D"/>
    <w:rsid w:val="00BE0CC0"/>
    <w:rsid w:val="00BE5C0D"/>
    <w:rsid w:val="00BE6FDD"/>
    <w:rsid w:val="00BE7FB5"/>
    <w:rsid w:val="00BF4426"/>
    <w:rsid w:val="00C11398"/>
    <w:rsid w:val="00C11E82"/>
    <w:rsid w:val="00C14065"/>
    <w:rsid w:val="00C15252"/>
    <w:rsid w:val="00C178C5"/>
    <w:rsid w:val="00C225AA"/>
    <w:rsid w:val="00C25E2B"/>
    <w:rsid w:val="00C2600F"/>
    <w:rsid w:val="00C3524F"/>
    <w:rsid w:val="00C35345"/>
    <w:rsid w:val="00C35A4B"/>
    <w:rsid w:val="00C368C4"/>
    <w:rsid w:val="00C45225"/>
    <w:rsid w:val="00C52564"/>
    <w:rsid w:val="00C52FEB"/>
    <w:rsid w:val="00C53E16"/>
    <w:rsid w:val="00C54834"/>
    <w:rsid w:val="00C54DDC"/>
    <w:rsid w:val="00C56CE9"/>
    <w:rsid w:val="00C6100E"/>
    <w:rsid w:val="00C6168B"/>
    <w:rsid w:val="00C64F65"/>
    <w:rsid w:val="00C65F61"/>
    <w:rsid w:val="00C7081C"/>
    <w:rsid w:val="00C71380"/>
    <w:rsid w:val="00C72C05"/>
    <w:rsid w:val="00C7421E"/>
    <w:rsid w:val="00C7451C"/>
    <w:rsid w:val="00C74ED1"/>
    <w:rsid w:val="00C754C2"/>
    <w:rsid w:val="00C80B31"/>
    <w:rsid w:val="00C80FB7"/>
    <w:rsid w:val="00C8276F"/>
    <w:rsid w:val="00C83D59"/>
    <w:rsid w:val="00C84072"/>
    <w:rsid w:val="00C8706A"/>
    <w:rsid w:val="00C875FA"/>
    <w:rsid w:val="00C9366F"/>
    <w:rsid w:val="00C951D0"/>
    <w:rsid w:val="00CA1878"/>
    <w:rsid w:val="00CA1A63"/>
    <w:rsid w:val="00CA30BC"/>
    <w:rsid w:val="00CA438B"/>
    <w:rsid w:val="00CA4535"/>
    <w:rsid w:val="00CA77C9"/>
    <w:rsid w:val="00CB030F"/>
    <w:rsid w:val="00CB08AC"/>
    <w:rsid w:val="00CB0A43"/>
    <w:rsid w:val="00CB4809"/>
    <w:rsid w:val="00CB69F5"/>
    <w:rsid w:val="00CB6BC1"/>
    <w:rsid w:val="00CC090D"/>
    <w:rsid w:val="00CC0A04"/>
    <w:rsid w:val="00CC1268"/>
    <w:rsid w:val="00CC353C"/>
    <w:rsid w:val="00CC598B"/>
    <w:rsid w:val="00CC7789"/>
    <w:rsid w:val="00CE32F6"/>
    <w:rsid w:val="00CE3916"/>
    <w:rsid w:val="00CE4729"/>
    <w:rsid w:val="00CE66A9"/>
    <w:rsid w:val="00CE7D99"/>
    <w:rsid w:val="00CF0768"/>
    <w:rsid w:val="00CF25AA"/>
    <w:rsid w:val="00CF5471"/>
    <w:rsid w:val="00D01FEF"/>
    <w:rsid w:val="00D1078E"/>
    <w:rsid w:val="00D10ACB"/>
    <w:rsid w:val="00D1410D"/>
    <w:rsid w:val="00D15BE2"/>
    <w:rsid w:val="00D17932"/>
    <w:rsid w:val="00D17A8C"/>
    <w:rsid w:val="00D2209C"/>
    <w:rsid w:val="00D22726"/>
    <w:rsid w:val="00D25ECA"/>
    <w:rsid w:val="00D31A57"/>
    <w:rsid w:val="00D32EC8"/>
    <w:rsid w:val="00D366A8"/>
    <w:rsid w:val="00D41C8F"/>
    <w:rsid w:val="00D437F2"/>
    <w:rsid w:val="00D47DBC"/>
    <w:rsid w:val="00D50983"/>
    <w:rsid w:val="00D50D3E"/>
    <w:rsid w:val="00D53AB5"/>
    <w:rsid w:val="00D55025"/>
    <w:rsid w:val="00D560F8"/>
    <w:rsid w:val="00D620EF"/>
    <w:rsid w:val="00D65ADE"/>
    <w:rsid w:val="00D719D6"/>
    <w:rsid w:val="00D73FF8"/>
    <w:rsid w:val="00D749FF"/>
    <w:rsid w:val="00D77B38"/>
    <w:rsid w:val="00D80E45"/>
    <w:rsid w:val="00D82EAF"/>
    <w:rsid w:val="00D85B53"/>
    <w:rsid w:val="00D90186"/>
    <w:rsid w:val="00D913F6"/>
    <w:rsid w:val="00D925D1"/>
    <w:rsid w:val="00D95161"/>
    <w:rsid w:val="00D96B6A"/>
    <w:rsid w:val="00D9790B"/>
    <w:rsid w:val="00DA10D5"/>
    <w:rsid w:val="00DA124A"/>
    <w:rsid w:val="00DA283F"/>
    <w:rsid w:val="00DA2F7B"/>
    <w:rsid w:val="00DA5620"/>
    <w:rsid w:val="00DA7903"/>
    <w:rsid w:val="00DA7D91"/>
    <w:rsid w:val="00DA7FE9"/>
    <w:rsid w:val="00DB0C77"/>
    <w:rsid w:val="00DB3992"/>
    <w:rsid w:val="00DB51FE"/>
    <w:rsid w:val="00DC10BE"/>
    <w:rsid w:val="00DC16C4"/>
    <w:rsid w:val="00DC1840"/>
    <w:rsid w:val="00DC1D0E"/>
    <w:rsid w:val="00DC630F"/>
    <w:rsid w:val="00DD312E"/>
    <w:rsid w:val="00DD43D0"/>
    <w:rsid w:val="00DD46A2"/>
    <w:rsid w:val="00DD4723"/>
    <w:rsid w:val="00DD630D"/>
    <w:rsid w:val="00DD7F58"/>
    <w:rsid w:val="00DE0C0C"/>
    <w:rsid w:val="00DE7296"/>
    <w:rsid w:val="00E07B71"/>
    <w:rsid w:val="00E10DA4"/>
    <w:rsid w:val="00E1153F"/>
    <w:rsid w:val="00E11E7E"/>
    <w:rsid w:val="00E13019"/>
    <w:rsid w:val="00E14717"/>
    <w:rsid w:val="00E14952"/>
    <w:rsid w:val="00E207E1"/>
    <w:rsid w:val="00E21AEE"/>
    <w:rsid w:val="00E24D5C"/>
    <w:rsid w:val="00E2756F"/>
    <w:rsid w:val="00E31A57"/>
    <w:rsid w:val="00E348A0"/>
    <w:rsid w:val="00E3681E"/>
    <w:rsid w:val="00E415F2"/>
    <w:rsid w:val="00E469E9"/>
    <w:rsid w:val="00E512DE"/>
    <w:rsid w:val="00E53B16"/>
    <w:rsid w:val="00E548D7"/>
    <w:rsid w:val="00E54F7B"/>
    <w:rsid w:val="00E5793A"/>
    <w:rsid w:val="00E57D1B"/>
    <w:rsid w:val="00E620FA"/>
    <w:rsid w:val="00E664B7"/>
    <w:rsid w:val="00E72A13"/>
    <w:rsid w:val="00E72D47"/>
    <w:rsid w:val="00E739BE"/>
    <w:rsid w:val="00E74AEE"/>
    <w:rsid w:val="00E76441"/>
    <w:rsid w:val="00E76EBB"/>
    <w:rsid w:val="00E7766F"/>
    <w:rsid w:val="00E8394A"/>
    <w:rsid w:val="00E85E4A"/>
    <w:rsid w:val="00E92528"/>
    <w:rsid w:val="00E93361"/>
    <w:rsid w:val="00E93893"/>
    <w:rsid w:val="00E94F43"/>
    <w:rsid w:val="00E97544"/>
    <w:rsid w:val="00EA19F5"/>
    <w:rsid w:val="00EA2499"/>
    <w:rsid w:val="00EA3128"/>
    <w:rsid w:val="00EA5A16"/>
    <w:rsid w:val="00EA75AE"/>
    <w:rsid w:val="00EA75F0"/>
    <w:rsid w:val="00EA7932"/>
    <w:rsid w:val="00EB0876"/>
    <w:rsid w:val="00EB1592"/>
    <w:rsid w:val="00EB43F8"/>
    <w:rsid w:val="00EB5F7F"/>
    <w:rsid w:val="00EB6D22"/>
    <w:rsid w:val="00EC1C87"/>
    <w:rsid w:val="00EC3A12"/>
    <w:rsid w:val="00ED2184"/>
    <w:rsid w:val="00ED40B3"/>
    <w:rsid w:val="00ED51C2"/>
    <w:rsid w:val="00ED63C3"/>
    <w:rsid w:val="00ED6D96"/>
    <w:rsid w:val="00EE026D"/>
    <w:rsid w:val="00EE05C8"/>
    <w:rsid w:val="00EE1153"/>
    <w:rsid w:val="00EE13D9"/>
    <w:rsid w:val="00EE44B1"/>
    <w:rsid w:val="00EE4E17"/>
    <w:rsid w:val="00EE53FC"/>
    <w:rsid w:val="00EE68D0"/>
    <w:rsid w:val="00EF0F16"/>
    <w:rsid w:val="00EF1B5E"/>
    <w:rsid w:val="00EF23CD"/>
    <w:rsid w:val="00EF68D4"/>
    <w:rsid w:val="00F02BAD"/>
    <w:rsid w:val="00F02EFE"/>
    <w:rsid w:val="00F10841"/>
    <w:rsid w:val="00F1097A"/>
    <w:rsid w:val="00F11217"/>
    <w:rsid w:val="00F1250C"/>
    <w:rsid w:val="00F12A70"/>
    <w:rsid w:val="00F133F5"/>
    <w:rsid w:val="00F13F06"/>
    <w:rsid w:val="00F16AB9"/>
    <w:rsid w:val="00F17069"/>
    <w:rsid w:val="00F179E5"/>
    <w:rsid w:val="00F17C4C"/>
    <w:rsid w:val="00F20347"/>
    <w:rsid w:val="00F236C0"/>
    <w:rsid w:val="00F23962"/>
    <w:rsid w:val="00F3193C"/>
    <w:rsid w:val="00F33400"/>
    <w:rsid w:val="00F33881"/>
    <w:rsid w:val="00F34530"/>
    <w:rsid w:val="00F34BC9"/>
    <w:rsid w:val="00F37C45"/>
    <w:rsid w:val="00F44D5D"/>
    <w:rsid w:val="00F44FDF"/>
    <w:rsid w:val="00F45C8C"/>
    <w:rsid w:val="00F4642B"/>
    <w:rsid w:val="00F469F3"/>
    <w:rsid w:val="00F46EB1"/>
    <w:rsid w:val="00F512AA"/>
    <w:rsid w:val="00F571A3"/>
    <w:rsid w:val="00F5729B"/>
    <w:rsid w:val="00F60A54"/>
    <w:rsid w:val="00F62527"/>
    <w:rsid w:val="00F63D29"/>
    <w:rsid w:val="00F7523A"/>
    <w:rsid w:val="00F8138A"/>
    <w:rsid w:val="00F8704B"/>
    <w:rsid w:val="00F90979"/>
    <w:rsid w:val="00F93353"/>
    <w:rsid w:val="00F9584F"/>
    <w:rsid w:val="00F9656F"/>
    <w:rsid w:val="00FA0C17"/>
    <w:rsid w:val="00FA2355"/>
    <w:rsid w:val="00FA2CB0"/>
    <w:rsid w:val="00FA38B4"/>
    <w:rsid w:val="00FA594E"/>
    <w:rsid w:val="00FA66F4"/>
    <w:rsid w:val="00FB3BC0"/>
    <w:rsid w:val="00FB5EA4"/>
    <w:rsid w:val="00FC31A1"/>
    <w:rsid w:val="00FC3E94"/>
    <w:rsid w:val="00FC5057"/>
    <w:rsid w:val="00FC5C5F"/>
    <w:rsid w:val="00FD4970"/>
    <w:rsid w:val="00FD5C20"/>
    <w:rsid w:val="00FD6669"/>
    <w:rsid w:val="00FE10AC"/>
    <w:rsid w:val="00FE2290"/>
    <w:rsid w:val="00FE2B03"/>
    <w:rsid w:val="00FE4A4A"/>
    <w:rsid w:val="00FF0CC9"/>
    <w:rsid w:val="00FF0F9B"/>
    <w:rsid w:val="00FF379E"/>
    <w:rsid w:val="00FF4B9A"/>
    <w:rsid w:val="00FF6A3A"/>
    <w:rsid w:val="010C2C96"/>
    <w:rsid w:val="02186FF9"/>
    <w:rsid w:val="021E2E6A"/>
    <w:rsid w:val="02692B30"/>
    <w:rsid w:val="02D459D5"/>
    <w:rsid w:val="033A4833"/>
    <w:rsid w:val="039610AD"/>
    <w:rsid w:val="03DE485A"/>
    <w:rsid w:val="064C6D47"/>
    <w:rsid w:val="06F31795"/>
    <w:rsid w:val="0789014E"/>
    <w:rsid w:val="079F39B1"/>
    <w:rsid w:val="07DF2248"/>
    <w:rsid w:val="07FC256E"/>
    <w:rsid w:val="084D1E2B"/>
    <w:rsid w:val="096E4189"/>
    <w:rsid w:val="099E32D3"/>
    <w:rsid w:val="09A72467"/>
    <w:rsid w:val="09D26B80"/>
    <w:rsid w:val="0A4D56CC"/>
    <w:rsid w:val="0ABF22D1"/>
    <w:rsid w:val="0B0A3060"/>
    <w:rsid w:val="0B417E27"/>
    <w:rsid w:val="0B4B09BA"/>
    <w:rsid w:val="0B653DC9"/>
    <w:rsid w:val="0B8D3582"/>
    <w:rsid w:val="0BFD70B9"/>
    <w:rsid w:val="0C3A499F"/>
    <w:rsid w:val="0C3C4957"/>
    <w:rsid w:val="0C5B1651"/>
    <w:rsid w:val="0C8E505A"/>
    <w:rsid w:val="0CE04929"/>
    <w:rsid w:val="0D053C34"/>
    <w:rsid w:val="0D397A44"/>
    <w:rsid w:val="0DC218DA"/>
    <w:rsid w:val="0DF70178"/>
    <w:rsid w:val="0E1A78F7"/>
    <w:rsid w:val="0E79092E"/>
    <w:rsid w:val="0EAF1059"/>
    <w:rsid w:val="0EF555D1"/>
    <w:rsid w:val="0F0651C9"/>
    <w:rsid w:val="0F435515"/>
    <w:rsid w:val="0F710978"/>
    <w:rsid w:val="0F774F1A"/>
    <w:rsid w:val="0F8373E4"/>
    <w:rsid w:val="0F9D53D6"/>
    <w:rsid w:val="0FD02957"/>
    <w:rsid w:val="0FDC151B"/>
    <w:rsid w:val="100B1D4C"/>
    <w:rsid w:val="106A5385"/>
    <w:rsid w:val="10934D49"/>
    <w:rsid w:val="10A41F28"/>
    <w:rsid w:val="10C51588"/>
    <w:rsid w:val="11D30CA8"/>
    <w:rsid w:val="120829BA"/>
    <w:rsid w:val="126B0D0A"/>
    <w:rsid w:val="1285785E"/>
    <w:rsid w:val="12882C22"/>
    <w:rsid w:val="12B02B6F"/>
    <w:rsid w:val="13B902B4"/>
    <w:rsid w:val="14A535B1"/>
    <w:rsid w:val="14E06927"/>
    <w:rsid w:val="154A57DC"/>
    <w:rsid w:val="155E17C6"/>
    <w:rsid w:val="16422A4B"/>
    <w:rsid w:val="1696191D"/>
    <w:rsid w:val="16DC5784"/>
    <w:rsid w:val="17D10667"/>
    <w:rsid w:val="17F9647B"/>
    <w:rsid w:val="18AE179D"/>
    <w:rsid w:val="18F53AF5"/>
    <w:rsid w:val="193F7BAF"/>
    <w:rsid w:val="198409ED"/>
    <w:rsid w:val="1A3A6318"/>
    <w:rsid w:val="1A837CA8"/>
    <w:rsid w:val="1B204605"/>
    <w:rsid w:val="1CCE7E3B"/>
    <w:rsid w:val="1CD65C5D"/>
    <w:rsid w:val="1CE437C9"/>
    <w:rsid w:val="1D516AE5"/>
    <w:rsid w:val="1DCE7689"/>
    <w:rsid w:val="1E5B104D"/>
    <w:rsid w:val="1E996C96"/>
    <w:rsid w:val="1EB65E2F"/>
    <w:rsid w:val="1ED467BD"/>
    <w:rsid w:val="1EF60EB1"/>
    <w:rsid w:val="1FAE06D6"/>
    <w:rsid w:val="202265A3"/>
    <w:rsid w:val="20BA463F"/>
    <w:rsid w:val="20DC445E"/>
    <w:rsid w:val="21220BCC"/>
    <w:rsid w:val="21CD15CC"/>
    <w:rsid w:val="22135B75"/>
    <w:rsid w:val="22162C33"/>
    <w:rsid w:val="22332EFC"/>
    <w:rsid w:val="229348A4"/>
    <w:rsid w:val="22FA40FC"/>
    <w:rsid w:val="22FA421A"/>
    <w:rsid w:val="238D229A"/>
    <w:rsid w:val="2412318A"/>
    <w:rsid w:val="24361792"/>
    <w:rsid w:val="245857DE"/>
    <w:rsid w:val="248B366A"/>
    <w:rsid w:val="24952391"/>
    <w:rsid w:val="255E0473"/>
    <w:rsid w:val="25785D4E"/>
    <w:rsid w:val="25A612D4"/>
    <w:rsid w:val="25AF75A1"/>
    <w:rsid w:val="25BA46FE"/>
    <w:rsid w:val="25D87F6D"/>
    <w:rsid w:val="26252C84"/>
    <w:rsid w:val="2655054C"/>
    <w:rsid w:val="267628A6"/>
    <w:rsid w:val="270F36E7"/>
    <w:rsid w:val="27BF3370"/>
    <w:rsid w:val="27C73275"/>
    <w:rsid w:val="27CD1B03"/>
    <w:rsid w:val="27D36066"/>
    <w:rsid w:val="28FC354A"/>
    <w:rsid w:val="292A0AE3"/>
    <w:rsid w:val="29442273"/>
    <w:rsid w:val="29C96616"/>
    <w:rsid w:val="29FC3F7B"/>
    <w:rsid w:val="2A170D88"/>
    <w:rsid w:val="2A8C6212"/>
    <w:rsid w:val="2AA119DC"/>
    <w:rsid w:val="2AAD4F96"/>
    <w:rsid w:val="2AC3591A"/>
    <w:rsid w:val="2AED2BD3"/>
    <w:rsid w:val="2AF16BDE"/>
    <w:rsid w:val="2AF56A85"/>
    <w:rsid w:val="2AF91980"/>
    <w:rsid w:val="2B0D32D4"/>
    <w:rsid w:val="2B3C62DF"/>
    <w:rsid w:val="2B93545A"/>
    <w:rsid w:val="2B9554CE"/>
    <w:rsid w:val="2BDA53E3"/>
    <w:rsid w:val="2C135653"/>
    <w:rsid w:val="2C9D2F6E"/>
    <w:rsid w:val="2CBE3C2F"/>
    <w:rsid w:val="2CF03435"/>
    <w:rsid w:val="2D2C2A92"/>
    <w:rsid w:val="2D6D63A1"/>
    <w:rsid w:val="2E1A7169"/>
    <w:rsid w:val="2E4A6D92"/>
    <w:rsid w:val="2E4B0639"/>
    <w:rsid w:val="2ED75BC4"/>
    <w:rsid w:val="2EF035F8"/>
    <w:rsid w:val="2F136C04"/>
    <w:rsid w:val="2F7D6077"/>
    <w:rsid w:val="2FE440AC"/>
    <w:rsid w:val="30C75E72"/>
    <w:rsid w:val="30E5081A"/>
    <w:rsid w:val="30E90D81"/>
    <w:rsid w:val="314537EB"/>
    <w:rsid w:val="325167DE"/>
    <w:rsid w:val="32CF6ED3"/>
    <w:rsid w:val="33077E24"/>
    <w:rsid w:val="3359756D"/>
    <w:rsid w:val="33916FF2"/>
    <w:rsid w:val="33921A2D"/>
    <w:rsid w:val="33AB6A2B"/>
    <w:rsid w:val="33FA4114"/>
    <w:rsid w:val="34434C16"/>
    <w:rsid w:val="346933EF"/>
    <w:rsid w:val="347D55A5"/>
    <w:rsid w:val="347F42E0"/>
    <w:rsid w:val="361C5138"/>
    <w:rsid w:val="362247AC"/>
    <w:rsid w:val="36422746"/>
    <w:rsid w:val="368E4AC1"/>
    <w:rsid w:val="36CB0E68"/>
    <w:rsid w:val="37F61934"/>
    <w:rsid w:val="383238A7"/>
    <w:rsid w:val="3944414B"/>
    <w:rsid w:val="39A93814"/>
    <w:rsid w:val="3A033645"/>
    <w:rsid w:val="3AA97C4A"/>
    <w:rsid w:val="3AD6411F"/>
    <w:rsid w:val="3B066C9A"/>
    <w:rsid w:val="3BA020CA"/>
    <w:rsid w:val="3BA33EB9"/>
    <w:rsid w:val="3BBC230F"/>
    <w:rsid w:val="3BF83EAD"/>
    <w:rsid w:val="3C8D4BE6"/>
    <w:rsid w:val="3CC527C1"/>
    <w:rsid w:val="3CEF4174"/>
    <w:rsid w:val="3D17507A"/>
    <w:rsid w:val="3D4621E4"/>
    <w:rsid w:val="3E585433"/>
    <w:rsid w:val="3ED56E53"/>
    <w:rsid w:val="3FAC055B"/>
    <w:rsid w:val="3FC03096"/>
    <w:rsid w:val="407B7500"/>
    <w:rsid w:val="408963D5"/>
    <w:rsid w:val="41694719"/>
    <w:rsid w:val="416F6038"/>
    <w:rsid w:val="41E2588D"/>
    <w:rsid w:val="43210822"/>
    <w:rsid w:val="43966FC7"/>
    <w:rsid w:val="43AA4E4A"/>
    <w:rsid w:val="43FF4BCB"/>
    <w:rsid w:val="44872F7F"/>
    <w:rsid w:val="44EF65A4"/>
    <w:rsid w:val="45116BFC"/>
    <w:rsid w:val="45BF6DB1"/>
    <w:rsid w:val="45ED7EE5"/>
    <w:rsid w:val="45F417D5"/>
    <w:rsid w:val="46301518"/>
    <w:rsid w:val="466A5DB8"/>
    <w:rsid w:val="466A70D5"/>
    <w:rsid w:val="46916416"/>
    <w:rsid w:val="469C5366"/>
    <w:rsid w:val="46AA5679"/>
    <w:rsid w:val="46D82DDD"/>
    <w:rsid w:val="47812306"/>
    <w:rsid w:val="47D7334B"/>
    <w:rsid w:val="481D24AD"/>
    <w:rsid w:val="487A1546"/>
    <w:rsid w:val="48926C35"/>
    <w:rsid w:val="489A60EB"/>
    <w:rsid w:val="48D67F87"/>
    <w:rsid w:val="48F55817"/>
    <w:rsid w:val="493650A6"/>
    <w:rsid w:val="4A4D3BEB"/>
    <w:rsid w:val="4AFF63F1"/>
    <w:rsid w:val="4B1C440D"/>
    <w:rsid w:val="4B8D6483"/>
    <w:rsid w:val="4B981A91"/>
    <w:rsid w:val="4B9A70D2"/>
    <w:rsid w:val="4BAC13F7"/>
    <w:rsid w:val="4BB81B35"/>
    <w:rsid w:val="4BFE00DF"/>
    <w:rsid w:val="4C0D086F"/>
    <w:rsid w:val="4C3D16CD"/>
    <w:rsid w:val="4D083B7E"/>
    <w:rsid w:val="4DE4024C"/>
    <w:rsid w:val="4DF67A1A"/>
    <w:rsid w:val="4E5014BC"/>
    <w:rsid w:val="4EE60B21"/>
    <w:rsid w:val="4EF3467E"/>
    <w:rsid w:val="4EFB5002"/>
    <w:rsid w:val="4F09747E"/>
    <w:rsid w:val="4FE859C5"/>
    <w:rsid w:val="503146B7"/>
    <w:rsid w:val="50407030"/>
    <w:rsid w:val="508418D4"/>
    <w:rsid w:val="50FB1C94"/>
    <w:rsid w:val="51332C16"/>
    <w:rsid w:val="513B53D4"/>
    <w:rsid w:val="515E12F4"/>
    <w:rsid w:val="51792B6A"/>
    <w:rsid w:val="51E97EDD"/>
    <w:rsid w:val="521F6550"/>
    <w:rsid w:val="528B6950"/>
    <w:rsid w:val="53840791"/>
    <w:rsid w:val="53957D97"/>
    <w:rsid w:val="53C62C4B"/>
    <w:rsid w:val="540353D1"/>
    <w:rsid w:val="54301CE8"/>
    <w:rsid w:val="553C08C3"/>
    <w:rsid w:val="55403D23"/>
    <w:rsid w:val="556547D4"/>
    <w:rsid w:val="55CC22B6"/>
    <w:rsid w:val="560E53D9"/>
    <w:rsid w:val="562B09D6"/>
    <w:rsid w:val="56D14608"/>
    <w:rsid w:val="56DE64A5"/>
    <w:rsid w:val="58133C82"/>
    <w:rsid w:val="58A545FC"/>
    <w:rsid w:val="59141723"/>
    <w:rsid w:val="593A3026"/>
    <w:rsid w:val="598C32AE"/>
    <w:rsid w:val="599F3986"/>
    <w:rsid w:val="59B36CEA"/>
    <w:rsid w:val="5AAA5C94"/>
    <w:rsid w:val="5AD82430"/>
    <w:rsid w:val="5AE67167"/>
    <w:rsid w:val="5B9B465A"/>
    <w:rsid w:val="5CEC2D02"/>
    <w:rsid w:val="5D1117CB"/>
    <w:rsid w:val="5D535F23"/>
    <w:rsid w:val="5D8A3A67"/>
    <w:rsid w:val="5E113EE4"/>
    <w:rsid w:val="5E7A3A4F"/>
    <w:rsid w:val="5F2B63EF"/>
    <w:rsid w:val="604C358C"/>
    <w:rsid w:val="605C55A9"/>
    <w:rsid w:val="61AC0DC6"/>
    <w:rsid w:val="61CB5C30"/>
    <w:rsid w:val="61FB71ED"/>
    <w:rsid w:val="620901B5"/>
    <w:rsid w:val="62691C24"/>
    <w:rsid w:val="63D53F5A"/>
    <w:rsid w:val="6449081E"/>
    <w:rsid w:val="64F9426F"/>
    <w:rsid w:val="64FC5F3B"/>
    <w:rsid w:val="653930B2"/>
    <w:rsid w:val="65783306"/>
    <w:rsid w:val="658247E4"/>
    <w:rsid w:val="67144017"/>
    <w:rsid w:val="679A35E1"/>
    <w:rsid w:val="67A053C7"/>
    <w:rsid w:val="67DC03BB"/>
    <w:rsid w:val="67F73AAB"/>
    <w:rsid w:val="68267F4A"/>
    <w:rsid w:val="684156E9"/>
    <w:rsid w:val="68861CF4"/>
    <w:rsid w:val="69A26136"/>
    <w:rsid w:val="69BF03BF"/>
    <w:rsid w:val="69F52965"/>
    <w:rsid w:val="6A0C66E5"/>
    <w:rsid w:val="6A0F0CFB"/>
    <w:rsid w:val="6A381318"/>
    <w:rsid w:val="6AA30F2F"/>
    <w:rsid w:val="6D36451E"/>
    <w:rsid w:val="6D9B73CB"/>
    <w:rsid w:val="6DB678CB"/>
    <w:rsid w:val="6F220F89"/>
    <w:rsid w:val="6F33787F"/>
    <w:rsid w:val="6F7F663A"/>
    <w:rsid w:val="6FB552C1"/>
    <w:rsid w:val="6FC60765"/>
    <w:rsid w:val="717B677E"/>
    <w:rsid w:val="71FF7992"/>
    <w:rsid w:val="720F1D63"/>
    <w:rsid w:val="721327B4"/>
    <w:rsid w:val="721C0208"/>
    <w:rsid w:val="72ED0530"/>
    <w:rsid w:val="739168E8"/>
    <w:rsid w:val="742420FF"/>
    <w:rsid w:val="74BE78B5"/>
    <w:rsid w:val="74C9141D"/>
    <w:rsid w:val="74EE33A0"/>
    <w:rsid w:val="752A15B5"/>
    <w:rsid w:val="75537F15"/>
    <w:rsid w:val="75733B41"/>
    <w:rsid w:val="75D14E68"/>
    <w:rsid w:val="764F09BF"/>
    <w:rsid w:val="774733A9"/>
    <w:rsid w:val="778A6713"/>
    <w:rsid w:val="77BC6EFE"/>
    <w:rsid w:val="77C059D0"/>
    <w:rsid w:val="77F019C2"/>
    <w:rsid w:val="786C5DC4"/>
    <w:rsid w:val="788C273D"/>
    <w:rsid w:val="789B149B"/>
    <w:rsid w:val="78B26191"/>
    <w:rsid w:val="79501FAC"/>
    <w:rsid w:val="79AE3B7E"/>
    <w:rsid w:val="79B263A0"/>
    <w:rsid w:val="79D61DD6"/>
    <w:rsid w:val="7A264CD8"/>
    <w:rsid w:val="7AAD2C98"/>
    <w:rsid w:val="7AC00FB2"/>
    <w:rsid w:val="7B1E0EF3"/>
    <w:rsid w:val="7C902C69"/>
    <w:rsid w:val="7C9032B1"/>
    <w:rsid w:val="7D906E19"/>
    <w:rsid w:val="7DAA6732"/>
    <w:rsid w:val="7E30749F"/>
    <w:rsid w:val="7E92365E"/>
    <w:rsid w:val="7F7026A7"/>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8"/>
    <w:qFormat/>
    <w:uiPriority w:val="0"/>
    <w:pPr>
      <w:keepNext/>
      <w:spacing w:before="240" w:after="60"/>
      <w:outlineLvl w:val="0"/>
    </w:pPr>
    <w:rPr>
      <w:rFonts w:ascii="Cambria" w:hAnsi="Cambria"/>
      <w:b/>
      <w:bCs/>
      <w:kern w:val="32"/>
      <w:sz w:val="32"/>
      <w:szCs w:val="32"/>
    </w:rPr>
  </w:style>
  <w:style w:type="paragraph" w:styleId="3">
    <w:name w:val="heading 2"/>
    <w:basedOn w:val="1"/>
    <w:next w:val="1"/>
    <w:link w:val="81"/>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5"/>
    <w:link w:val="78"/>
    <w:qFormat/>
    <w:uiPriority w:val="0"/>
    <w:pPr>
      <w:widowControl/>
      <w:spacing w:line="360" w:lineRule="auto"/>
      <w:outlineLvl w:val="2"/>
    </w:pPr>
    <w:rPr>
      <w:b/>
      <w:bCs/>
      <w:sz w:val="24"/>
    </w:rPr>
  </w:style>
  <w:style w:type="paragraph" w:styleId="6">
    <w:name w:val="heading 4"/>
    <w:basedOn w:val="1"/>
    <w:next w:val="1"/>
    <w:link w:val="73"/>
    <w:qFormat/>
    <w:uiPriority w:val="0"/>
    <w:pPr>
      <w:keepNext/>
      <w:keepLines/>
      <w:spacing w:line="360" w:lineRule="auto"/>
      <w:outlineLvl w:val="3"/>
    </w:pPr>
    <w:rPr>
      <w:rFonts w:ascii="Arial" w:hAnsi="Arial"/>
      <w:b/>
      <w:bCs/>
      <w:szCs w:val="28"/>
    </w:rPr>
  </w:style>
  <w:style w:type="paragraph" w:styleId="7">
    <w:name w:val="heading 5"/>
    <w:basedOn w:val="1"/>
    <w:next w:val="1"/>
    <w:link w:val="71"/>
    <w:qFormat/>
    <w:uiPriority w:val="0"/>
    <w:pPr>
      <w:keepNext/>
      <w:keepLines/>
      <w:spacing w:before="280" w:after="290" w:line="372" w:lineRule="auto"/>
      <w:outlineLvl w:val="4"/>
    </w:pPr>
    <w:rPr>
      <w:b/>
      <w:bCs/>
      <w:sz w:val="28"/>
      <w:szCs w:val="28"/>
    </w:rPr>
  </w:style>
  <w:style w:type="paragraph" w:styleId="8">
    <w:name w:val="heading 6"/>
    <w:basedOn w:val="1"/>
    <w:next w:val="1"/>
    <w:link w:val="79"/>
    <w:qFormat/>
    <w:uiPriority w:val="0"/>
    <w:pPr>
      <w:keepNext/>
      <w:keepLines/>
      <w:widowControl/>
      <w:tabs>
        <w:tab w:val="left" w:pos="1440"/>
      </w:tabs>
      <w:spacing w:before="240" w:after="64" w:line="317" w:lineRule="auto"/>
      <w:ind w:left="1152" w:hanging="1152"/>
      <w:jc w:val="left"/>
      <w:outlineLvl w:val="5"/>
    </w:pPr>
    <w:rPr>
      <w:rFonts w:ascii="Arial" w:hAnsi="Arial" w:eastAsia="黑体"/>
      <w:b/>
      <w:bCs/>
      <w:sz w:val="24"/>
    </w:rPr>
  </w:style>
  <w:style w:type="paragraph" w:styleId="9">
    <w:name w:val="heading 7"/>
    <w:basedOn w:val="1"/>
    <w:next w:val="1"/>
    <w:link w:val="77"/>
    <w:qFormat/>
    <w:uiPriority w:val="0"/>
    <w:pPr>
      <w:keepNext/>
      <w:keepLines/>
      <w:widowControl/>
      <w:tabs>
        <w:tab w:val="left" w:pos="2520"/>
      </w:tabs>
      <w:spacing w:before="240" w:after="64" w:line="317" w:lineRule="auto"/>
      <w:ind w:left="1296" w:hanging="1296"/>
      <w:jc w:val="left"/>
      <w:outlineLvl w:val="6"/>
    </w:pPr>
    <w:rPr>
      <w:b/>
      <w:bCs/>
      <w:sz w:val="24"/>
    </w:rPr>
  </w:style>
  <w:style w:type="paragraph" w:styleId="10">
    <w:name w:val="heading 8"/>
    <w:basedOn w:val="1"/>
    <w:next w:val="1"/>
    <w:link w:val="72"/>
    <w:qFormat/>
    <w:uiPriority w:val="0"/>
    <w:pPr>
      <w:keepNext/>
      <w:keepLines/>
      <w:widowControl/>
      <w:tabs>
        <w:tab w:val="left" w:pos="1440"/>
      </w:tabs>
      <w:spacing w:before="240" w:after="64" w:line="317" w:lineRule="auto"/>
      <w:ind w:left="1440" w:hanging="1440"/>
      <w:jc w:val="left"/>
      <w:outlineLvl w:val="7"/>
    </w:pPr>
    <w:rPr>
      <w:rFonts w:ascii="Arial" w:hAnsi="Arial" w:eastAsia="黑体"/>
      <w:sz w:val="24"/>
    </w:rPr>
  </w:style>
  <w:style w:type="paragraph" w:styleId="11">
    <w:name w:val="heading 9"/>
    <w:basedOn w:val="1"/>
    <w:next w:val="1"/>
    <w:link w:val="80"/>
    <w:qFormat/>
    <w:uiPriority w:val="0"/>
    <w:pPr>
      <w:keepNext/>
      <w:keepLines/>
      <w:widowControl/>
      <w:tabs>
        <w:tab w:val="left" w:pos="1584"/>
      </w:tabs>
      <w:spacing w:before="240" w:after="64" w:line="317" w:lineRule="auto"/>
      <w:ind w:left="1584" w:hanging="1584"/>
      <w:jc w:val="left"/>
      <w:outlineLvl w:val="8"/>
    </w:pPr>
    <w:rPr>
      <w:rFonts w:ascii="Arial" w:hAnsi="Arial" w:eastAsia="黑体"/>
      <w:szCs w:val="21"/>
    </w:rPr>
  </w:style>
  <w:style w:type="character" w:default="1" w:styleId="35">
    <w:name w:val="Default Paragraph Font"/>
    <w:unhideWhenUsed/>
    <w:qFormat/>
    <w:uiPriority w:val="1"/>
  </w:style>
  <w:style w:type="table" w:default="1" w:styleId="42">
    <w:name w:val="Normal Table"/>
    <w:unhideWhenUsed/>
    <w:qFormat/>
    <w:uiPriority w:val="99"/>
    <w:tblPr>
      <w:tblLayout w:type="fixed"/>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12">
    <w:name w:val="annotation subject"/>
    <w:basedOn w:val="13"/>
    <w:next w:val="13"/>
    <w:link w:val="63"/>
    <w:qFormat/>
    <w:uiPriority w:val="0"/>
    <w:rPr>
      <w:b/>
      <w:bCs/>
    </w:rPr>
  </w:style>
  <w:style w:type="paragraph" w:styleId="13">
    <w:name w:val="annotation text"/>
    <w:basedOn w:val="1"/>
    <w:link w:val="65"/>
    <w:qFormat/>
    <w:uiPriority w:val="0"/>
    <w:pPr>
      <w:jc w:val="left"/>
    </w:pPr>
  </w:style>
  <w:style w:type="paragraph" w:styleId="14">
    <w:name w:val="toc 7"/>
    <w:basedOn w:val="1"/>
    <w:next w:val="1"/>
    <w:qFormat/>
    <w:uiPriority w:val="39"/>
    <w:pPr>
      <w:ind w:left="2520" w:leftChars="1200"/>
    </w:pPr>
    <w:rPr>
      <w:rFonts w:ascii="Calibri" w:hAnsi="Calibri"/>
      <w:szCs w:val="22"/>
    </w:rPr>
  </w:style>
  <w:style w:type="paragraph" w:styleId="15">
    <w:name w:val="Document Map"/>
    <w:basedOn w:val="1"/>
    <w:link w:val="83"/>
    <w:qFormat/>
    <w:uiPriority w:val="0"/>
    <w:pPr>
      <w:shd w:val="clear" w:color="auto" w:fill="000080"/>
    </w:pPr>
  </w:style>
  <w:style w:type="paragraph" w:styleId="16">
    <w:name w:val="Body Text"/>
    <w:basedOn w:val="1"/>
    <w:link w:val="87"/>
    <w:qFormat/>
    <w:uiPriority w:val="0"/>
    <w:pPr>
      <w:spacing w:after="120"/>
    </w:pPr>
  </w:style>
  <w:style w:type="paragraph" w:styleId="17">
    <w:name w:val="Body Text Indent"/>
    <w:basedOn w:val="1"/>
    <w:link w:val="84"/>
    <w:qFormat/>
    <w:uiPriority w:val="0"/>
    <w:pPr>
      <w:spacing w:after="120"/>
      <w:ind w:left="420" w:leftChars="200"/>
    </w:pPr>
  </w:style>
  <w:style w:type="paragraph" w:styleId="18">
    <w:name w:val="toc 5"/>
    <w:basedOn w:val="1"/>
    <w:next w:val="1"/>
    <w:qFormat/>
    <w:uiPriority w:val="39"/>
    <w:pPr>
      <w:ind w:left="1680" w:leftChars="800"/>
    </w:pPr>
    <w:rPr>
      <w:rFonts w:ascii="Calibri" w:hAnsi="Calibri"/>
      <w:szCs w:val="22"/>
    </w:rPr>
  </w:style>
  <w:style w:type="paragraph" w:styleId="19">
    <w:name w:val="toc 3"/>
    <w:basedOn w:val="1"/>
    <w:next w:val="1"/>
    <w:qFormat/>
    <w:uiPriority w:val="39"/>
    <w:pPr>
      <w:ind w:left="840" w:leftChars="400"/>
    </w:pPr>
  </w:style>
  <w:style w:type="paragraph" w:styleId="20">
    <w:name w:val="Plain Text"/>
    <w:basedOn w:val="1"/>
    <w:link w:val="61"/>
    <w:qFormat/>
    <w:uiPriority w:val="0"/>
    <w:rPr>
      <w:rFonts w:ascii="宋体" w:hAnsi="Courier New" w:eastAsia="仿宋_GB2312"/>
      <w:sz w:val="32"/>
    </w:rPr>
  </w:style>
  <w:style w:type="paragraph" w:styleId="21">
    <w:name w:val="toc 8"/>
    <w:basedOn w:val="1"/>
    <w:next w:val="1"/>
    <w:qFormat/>
    <w:uiPriority w:val="39"/>
    <w:pPr>
      <w:ind w:left="2940" w:leftChars="1400"/>
    </w:pPr>
    <w:rPr>
      <w:rFonts w:ascii="Calibri" w:hAnsi="Calibri"/>
      <w:szCs w:val="22"/>
    </w:rPr>
  </w:style>
  <w:style w:type="paragraph" w:styleId="22">
    <w:name w:val="Date"/>
    <w:basedOn w:val="1"/>
    <w:next w:val="1"/>
    <w:link w:val="76"/>
    <w:qFormat/>
    <w:uiPriority w:val="0"/>
    <w:pPr>
      <w:ind w:left="100" w:leftChars="2500"/>
    </w:pPr>
  </w:style>
  <w:style w:type="paragraph" w:styleId="23">
    <w:name w:val="Body Text Indent 2"/>
    <w:basedOn w:val="1"/>
    <w:link w:val="114"/>
    <w:qFormat/>
    <w:uiPriority w:val="0"/>
    <w:pPr>
      <w:autoSpaceDE w:val="0"/>
      <w:autoSpaceDN w:val="0"/>
      <w:adjustRightInd w:val="0"/>
      <w:spacing w:line="410" w:lineRule="atLeast"/>
      <w:ind w:left="480"/>
      <w:jc w:val="left"/>
    </w:pPr>
    <w:rPr>
      <w:rFonts w:ascii="宋体" w:hAnsi="Calibri"/>
      <w:color w:val="000000"/>
    </w:rPr>
  </w:style>
  <w:style w:type="paragraph" w:styleId="24">
    <w:name w:val="Balloon Text"/>
    <w:basedOn w:val="1"/>
    <w:link w:val="59"/>
    <w:qFormat/>
    <w:uiPriority w:val="0"/>
    <w:rPr>
      <w:sz w:val="18"/>
      <w:szCs w:val="18"/>
    </w:rPr>
  </w:style>
  <w:style w:type="paragraph" w:styleId="25">
    <w:name w:val="footer"/>
    <w:basedOn w:val="1"/>
    <w:link w:val="66"/>
    <w:qFormat/>
    <w:uiPriority w:val="99"/>
    <w:pPr>
      <w:tabs>
        <w:tab w:val="center" w:pos="4153"/>
        <w:tab w:val="right" w:pos="8306"/>
      </w:tabs>
      <w:snapToGrid w:val="0"/>
      <w:jc w:val="left"/>
    </w:pPr>
    <w:rPr>
      <w:sz w:val="18"/>
      <w:szCs w:val="18"/>
    </w:rPr>
  </w:style>
  <w:style w:type="paragraph" w:styleId="26">
    <w:name w:val="header"/>
    <w:basedOn w:val="1"/>
    <w:link w:val="67"/>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style>
  <w:style w:type="paragraph" w:styleId="28">
    <w:name w:val="toc 4"/>
    <w:basedOn w:val="1"/>
    <w:next w:val="1"/>
    <w:qFormat/>
    <w:uiPriority w:val="39"/>
    <w:pPr>
      <w:ind w:left="1260" w:leftChars="600"/>
    </w:pPr>
  </w:style>
  <w:style w:type="paragraph" w:styleId="29">
    <w:name w:val="toc 6"/>
    <w:basedOn w:val="1"/>
    <w:next w:val="1"/>
    <w:qFormat/>
    <w:uiPriority w:val="39"/>
    <w:pPr>
      <w:ind w:left="2100" w:leftChars="1000"/>
    </w:pPr>
    <w:rPr>
      <w:rFonts w:ascii="Calibri" w:hAnsi="Calibri"/>
      <w:szCs w:val="22"/>
    </w:rPr>
  </w:style>
  <w:style w:type="paragraph" w:styleId="30">
    <w:name w:val="Body Text Indent 3"/>
    <w:basedOn w:val="1"/>
    <w:link w:val="68"/>
    <w:qFormat/>
    <w:uiPriority w:val="0"/>
    <w:pPr>
      <w:widowControl/>
      <w:overflowPunct w:val="0"/>
      <w:autoSpaceDE w:val="0"/>
      <w:autoSpaceDN w:val="0"/>
      <w:adjustRightInd w:val="0"/>
      <w:spacing w:line="360" w:lineRule="auto"/>
      <w:ind w:firstLine="540"/>
      <w:textAlignment w:val="baseline"/>
    </w:pPr>
    <w:rPr>
      <w:rFonts w:ascii="宋体" w:hAnsi="MS Sans Serif"/>
      <w:color w:val="000000"/>
      <w:sz w:val="24"/>
    </w:rPr>
  </w:style>
  <w:style w:type="paragraph" w:styleId="31">
    <w:name w:val="toc 2"/>
    <w:basedOn w:val="1"/>
    <w:next w:val="1"/>
    <w:qFormat/>
    <w:uiPriority w:val="39"/>
    <w:pPr>
      <w:ind w:left="420" w:leftChars="200"/>
    </w:pPr>
  </w:style>
  <w:style w:type="paragraph" w:styleId="32">
    <w:name w:val="toc 9"/>
    <w:basedOn w:val="1"/>
    <w:next w:val="1"/>
    <w:qFormat/>
    <w:uiPriority w:val="39"/>
    <w:pPr>
      <w:ind w:left="3360" w:leftChars="1600"/>
    </w:pPr>
    <w:rPr>
      <w:rFonts w:ascii="Calibri" w:hAnsi="Calibri"/>
      <w:szCs w:val="22"/>
    </w:rPr>
  </w:style>
  <w:style w:type="paragraph" w:styleId="33">
    <w:name w:val="Normal (Web)"/>
    <w:basedOn w:val="1"/>
    <w:qFormat/>
    <w:uiPriority w:val="0"/>
    <w:pPr>
      <w:widowControl/>
      <w:spacing w:before="100" w:beforeAutospacing="1" w:after="100" w:afterAutospacing="1"/>
      <w:jc w:val="left"/>
    </w:pPr>
    <w:rPr>
      <w:kern w:val="0"/>
    </w:rPr>
  </w:style>
  <w:style w:type="paragraph" w:styleId="34">
    <w:name w:val="Title"/>
    <w:basedOn w:val="1"/>
    <w:next w:val="1"/>
    <w:link w:val="60"/>
    <w:qFormat/>
    <w:uiPriority w:val="0"/>
    <w:pPr>
      <w:spacing w:before="240" w:after="60"/>
      <w:jc w:val="center"/>
      <w:outlineLvl w:val="0"/>
    </w:pPr>
    <w:rPr>
      <w:rFonts w:ascii="Cambria" w:hAnsi="Cambria"/>
      <w:b/>
      <w:sz w:val="32"/>
    </w:rPr>
  </w:style>
  <w:style w:type="character" w:styleId="36">
    <w:name w:val="Strong"/>
    <w:qFormat/>
    <w:uiPriority w:val="0"/>
    <w:rPr>
      <w:b/>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99"/>
    <w:rPr>
      <w:color w:val="0000FF"/>
      <w:u w:val="single"/>
    </w:rPr>
  </w:style>
  <w:style w:type="character" w:styleId="40">
    <w:name w:val="HTML Code"/>
    <w:qFormat/>
    <w:uiPriority w:val="0"/>
    <w:rPr>
      <w:rFonts w:ascii="Courier New" w:hAnsi="Courier New"/>
      <w:sz w:val="20"/>
    </w:rPr>
  </w:style>
  <w:style w:type="character" w:styleId="41">
    <w:name w:val="annotation reference"/>
    <w:qFormat/>
    <w:uiPriority w:val="0"/>
    <w:rPr>
      <w:sz w:val="21"/>
      <w:szCs w:val="21"/>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44">
    <w:name w:val="标题 1 +"/>
    <w:basedOn w:val="2"/>
    <w:next w:val="1"/>
    <w:qFormat/>
    <w:uiPriority w:val="0"/>
    <w:pPr>
      <w:keepLines/>
      <w:spacing w:before="0" w:after="0" w:line="600" w:lineRule="auto"/>
      <w:jc w:val="center"/>
    </w:pPr>
    <w:rPr>
      <w:rFonts w:ascii="Times New Roman" w:hAnsi="Times New Roman" w:eastAsia="黑体"/>
      <w:kern w:val="0"/>
    </w:rPr>
  </w:style>
  <w:style w:type="paragraph" w:customStyle="1" w:styleId="45">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46">
    <w:name w:val="普通 (Web)"/>
    <w:basedOn w:val="1"/>
    <w:qFormat/>
    <w:uiPriority w:val="0"/>
    <w:pPr>
      <w:widowControl/>
      <w:spacing w:before="100" w:beforeAutospacing="1" w:after="100" w:afterAutospacing="1"/>
      <w:jc w:val="left"/>
    </w:pPr>
    <w:rPr>
      <w:rFonts w:ascii="Arial Unicode MS" w:hAnsi="Arial Unicode MS" w:eastAsia="Arial Unicode MS" w:cs="宋体"/>
      <w:kern w:val="0"/>
      <w:sz w:val="24"/>
    </w:rPr>
  </w:style>
  <w:style w:type="paragraph" w:customStyle="1" w:styleId="47">
    <w:name w:val="Char1 Char Char Char 字元 Char Char 字元 Char 字元 Char1 Char Char Char"/>
    <w:basedOn w:val="1"/>
    <w:qFormat/>
    <w:uiPriority w:val="0"/>
  </w:style>
  <w:style w:type="paragraph" w:customStyle="1" w:styleId="48">
    <w:name w:val="Char Char"/>
    <w:basedOn w:val="1"/>
    <w:qFormat/>
    <w:uiPriority w:val="0"/>
  </w:style>
  <w:style w:type="paragraph" w:customStyle="1" w:styleId="49">
    <w:name w:val="Default"/>
    <w:qFormat/>
    <w:uiPriority w:val="0"/>
    <w:pPr>
      <w:widowControl w:val="0"/>
      <w:autoSpaceDE w:val="0"/>
      <w:autoSpaceDN w:val="0"/>
      <w:adjustRightInd w:val="0"/>
    </w:pPr>
    <w:rPr>
      <w:rFonts w:ascii="FZShuSong-Z01" w:hAnsi="Times New Roman" w:eastAsia="FZShuSong-Z01" w:cs="FZShuSong-Z01"/>
      <w:color w:val="000000"/>
      <w:sz w:val="24"/>
      <w:szCs w:val="24"/>
      <w:lang w:val="en-US" w:eastAsia="zh-CN" w:bidi="ar-SA"/>
    </w:rPr>
  </w:style>
  <w:style w:type="paragraph" w:customStyle="1" w:styleId="50">
    <w:name w:val="修订1"/>
    <w:qFormat/>
    <w:uiPriority w:val="99"/>
    <w:rPr>
      <w:rFonts w:ascii="Times New Roman" w:hAnsi="Times New Roman" w:eastAsia="宋体" w:cs="Times New Roman"/>
      <w:kern w:val="2"/>
      <w:sz w:val="21"/>
      <w:szCs w:val="24"/>
      <w:lang w:val="en-US" w:eastAsia="zh-CN" w:bidi="ar-SA"/>
    </w:rPr>
  </w:style>
  <w:style w:type="paragraph" w:customStyle="1" w:styleId="51">
    <w:name w:val="标题3"/>
    <w:basedOn w:val="2"/>
    <w:qFormat/>
    <w:uiPriority w:val="0"/>
    <w:pPr>
      <w:spacing w:beforeLines="50" w:afterLines="50" w:line="400" w:lineRule="exact"/>
    </w:pPr>
    <w:rPr>
      <w:rFonts w:ascii="宋体" w:hAnsi="宋体"/>
      <w:sz w:val="24"/>
    </w:rPr>
  </w:style>
  <w:style w:type="paragraph" w:customStyle="1" w:styleId="52">
    <w:name w:val="p0"/>
    <w:basedOn w:val="1"/>
    <w:link w:val="75"/>
    <w:qFormat/>
    <w:uiPriority w:val="0"/>
    <w:pPr>
      <w:widowControl/>
    </w:pPr>
    <w:rPr>
      <w:szCs w:val="21"/>
    </w:rPr>
  </w:style>
  <w:style w:type="paragraph" w:customStyle="1" w:styleId="53">
    <w:name w:val="标题2"/>
    <w:basedOn w:val="34"/>
    <w:qFormat/>
    <w:uiPriority w:val="0"/>
    <w:pPr>
      <w:spacing w:after="240"/>
      <w:jc w:val="left"/>
    </w:pPr>
    <w:rPr>
      <w:sz w:val="30"/>
    </w:rPr>
  </w:style>
  <w:style w:type="paragraph" w:customStyle="1" w:styleId="54">
    <w:name w:val="默认段落字体 Para Char Char Char Char Char Char Char Char Char Char Char Char Char Char Char Char Char Char Char"/>
    <w:basedOn w:val="1"/>
    <w:qFormat/>
    <w:uiPriority w:val="0"/>
  </w:style>
  <w:style w:type="paragraph" w:customStyle="1" w:styleId="55">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56">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57">
    <w:name w:val="列出段落1"/>
    <w:basedOn w:val="1"/>
    <w:qFormat/>
    <w:uiPriority w:val="99"/>
    <w:pPr>
      <w:ind w:firstLine="420" w:firstLineChars="200"/>
    </w:pPr>
  </w:style>
  <w:style w:type="character" w:customStyle="1" w:styleId="58">
    <w:name w:val="标题 1 Char"/>
    <w:link w:val="2"/>
    <w:qFormat/>
    <w:uiPriority w:val="0"/>
    <w:rPr>
      <w:rFonts w:ascii="Cambria" w:hAnsi="Cambria"/>
      <w:b/>
      <w:bCs/>
      <w:kern w:val="32"/>
      <w:sz w:val="32"/>
      <w:szCs w:val="32"/>
    </w:rPr>
  </w:style>
  <w:style w:type="character" w:customStyle="1" w:styleId="59">
    <w:name w:val="批注框文本 Char"/>
    <w:link w:val="24"/>
    <w:qFormat/>
    <w:uiPriority w:val="0"/>
    <w:rPr>
      <w:kern w:val="2"/>
      <w:sz w:val="18"/>
      <w:szCs w:val="18"/>
    </w:rPr>
  </w:style>
  <w:style w:type="character" w:customStyle="1" w:styleId="60">
    <w:name w:val="标题 Char"/>
    <w:link w:val="34"/>
    <w:qFormat/>
    <w:uiPriority w:val="0"/>
    <w:rPr>
      <w:rFonts w:ascii="Cambria" w:hAnsi="Cambria"/>
      <w:b/>
      <w:kern w:val="2"/>
      <w:sz w:val="32"/>
      <w:szCs w:val="24"/>
    </w:rPr>
  </w:style>
  <w:style w:type="character" w:customStyle="1" w:styleId="61">
    <w:name w:val="纯文本 Char"/>
    <w:link w:val="20"/>
    <w:qFormat/>
    <w:uiPriority w:val="0"/>
    <w:rPr>
      <w:rFonts w:ascii="宋体" w:hAnsi="Courier New" w:eastAsia="仿宋_GB2312"/>
      <w:kern w:val="2"/>
      <w:sz w:val="32"/>
      <w:szCs w:val="24"/>
    </w:rPr>
  </w:style>
  <w:style w:type="character" w:customStyle="1" w:styleId="62">
    <w:name w:val="页眉 Char1"/>
    <w:semiHidden/>
    <w:qFormat/>
    <w:uiPriority w:val="99"/>
    <w:rPr>
      <w:rFonts w:ascii="Times New Roman" w:hAnsi="Times New Roman" w:eastAsia="宋体" w:cs="Times New Roman"/>
      <w:sz w:val="18"/>
      <w:szCs w:val="18"/>
    </w:rPr>
  </w:style>
  <w:style w:type="character" w:customStyle="1" w:styleId="63">
    <w:name w:val="批注主题 Char"/>
    <w:link w:val="12"/>
    <w:qFormat/>
    <w:uiPriority w:val="0"/>
    <w:rPr>
      <w:b/>
      <w:bCs/>
      <w:kern w:val="2"/>
      <w:sz w:val="21"/>
      <w:szCs w:val="24"/>
    </w:rPr>
  </w:style>
  <w:style w:type="character" w:customStyle="1" w:styleId="64">
    <w:name w:val="正文文本缩进 3 Char1"/>
    <w:qFormat/>
    <w:uiPriority w:val="0"/>
    <w:rPr>
      <w:rFonts w:ascii="Times New Roman" w:hAnsi="Times New Roman" w:eastAsia="宋体" w:cs="Times New Roman"/>
      <w:sz w:val="16"/>
      <w:szCs w:val="16"/>
    </w:rPr>
  </w:style>
  <w:style w:type="character" w:customStyle="1" w:styleId="65">
    <w:name w:val="批注文字 Char"/>
    <w:link w:val="13"/>
    <w:qFormat/>
    <w:uiPriority w:val="0"/>
    <w:rPr>
      <w:kern w:val="2"/>
      <w:sz w:val="21"/>
      <w:szCs w:val="24"/>
    </w:rPr>
  </w:style>
  <w:style w:type="character" w:customStyle="1" w:styleId="66">
    <w:name w:val="页脚 Char"/>
    <w:link w:val="25"/>
    <w:qFormat/>
    <w:uiPriority w:val="99"/>
    <w:rPr>
      <w:kern w:val="2"/>
      <w:sz w:val="18"/>
      <w:szCs w:val="18"/>
    </w:rPr>
  </w:style>
  <w:style w:type="character" w:customStyle="1" w:styleId="67">
    <w:name w:val="页眉 Char"/>
    <w:link w:val="26"/>
    <w:qFormat/>
    <w:uiPriority w:val="0"/>
    <w:rPr>
      <w:kern w:val="2"/>
      <w:sz w:val="18"/>
      <w:szCs w:val="18"/>
    </w:rPr>
  </w:style>
  <w:style w:type="character" w:customStyle="1" w:styleId="68">
    <w:name w:val="正文文本缩进 3 Char"/>
    <w:link w:val="30"/>
    <w:qFormat/>
    <w:uiPriority w:val="0"/>
    <w:rPr>
      <w:rFonts w:ascii="宋体" w:hAnsi="MS Sans Serif"/>
      <w:color w:val="000000"/>
      <w:sz w:val="24"/>
    </w:rPr>
  </w:style>
  <w:style w:type="character" w:customStyle="1" w:styleId="69">
    <w:name w:val="批注主题 Char1"/>
    <w:qFormat/>
    <w:uiPriority w:val="0"/>
    <w:rPr>
      <w:rFonts w:ascii="Times New Roman" w:hAnsi="Times New Roman" w:eastAsia="宋体" w:cs="Times New Roman"/>
      <w:b/>
      <w:bCs/>
      <w:szCs w:val="24"/>
    </w:rPr>
  </w:style>
  <w:style w:type="character" w:customStyle="1" w:styleId="70">
    <w:name w:val="标题 Char1"/>
    <w:qFormat/>
    <w:uiPriority w:val="0"/>
    <w:rPr>
      <w:rFonts w:ascii="Cambria" w:hAnsi="Cambria" w:eastAsia="宋体" w:cs="Times New Roman"/>
      <w:b/>
      <w:bCs/>
      <w:sz w:val="32"/>
      <w:szCs w:val="32"/>
    </w:rPr>
  </w:style>
  <w:style w:type="character" w:customStyle="1" w:styleId="71">
    <w:name w:val="标题 5 Char"/>
    <w:link w:val="7"/>
    <w:qFormat/>
    <w:uiPriority w:val="0"/>
    <w:rPr>
      <w:b/>
      <w:bCs/>
      <w:kern w:val="2"/>
      <w:sz w:val="28"/>
      <w:szCs w:val="28"/>
    </w:rPr>
  </w:style>
  <w:style w:type="character" w:customStyle="1" w:styleId="72">
    <w:name w:val="标题 8 Char"/>
    <w:link w:val="10"/>
    <w:qFormat/>
    <w:uiPriority w:val="0"/>
    <w:rPr>
      <w:rFonts w:ascii="Arial" w:hAnsi="Arial" w:eastAsia="黑体"/>
      <w:sz w:val="24"/>
      <w:szCs w:val="24"/>
    </w:rPr>
  </w:style>
  <w:style w:type="character" w:customStyle="1" w:styleId="73">
    <w:name w:val="标题 4 Char"/>
    <w:basedOn w:val="35"/>
    <w:link w:val="6"/>
    <w:qFormat/>
    <w:uiPriority w:val="0"/>
    <w:rPr>
      <w:rFonts w:ascii="Arial" w:hAnsi="Arial"/>
      <w:b/>
      <w:bCs/>
      <w:kern w:val="2"/>
      <w:sz w:val="21"/>
      <w:szCs w:val="28"/>
    </w:rPr>
  </w:style>
  <w:style w:type="character" w:customStyle="1" w:styleId="74">
    <w:name w:val="页脚 Char1"/>
    <w:semiHidden/>
    <w:qFormat/>
    <w:uiPriority w:val="99"/>
    <w:rPr>
      <w:rFonts w:ascii="Times New Roman" w:hAnsi="Times New Roman" w:eastAsia="宋体" w:cs="Times New Roman"/>
      <w:sz w:val="18"/>
      <w:szCs w:val="18"/>
    </w:rPr>
  </w:style>
  <w:style w:type="character" w:customStyle="1" w:styleId="75">
    <w:name w:val="p0 Char"/>
    <w:link w:val="52"/>
    <w:qFormat/>
    <w:uiPriority w:val="0"/>
    <w:rPr>
      <w:rFonts w:eastAsia="宋体"/>
      <w:kern w:val="2"/>
      <w:sz w:val="21"/>
      <w:szCs w:val="21"/>
      <w:lang w:val="en-US" w:eastAsia="zh-CN" w:bidi="ar-SA"/>
    </w:rPr>
  </w:style>
  <w:style w:type="character" w:customStyle="1" w:styleId="76">
    <w:name w:val="日期 Char"/>
    <w:link w:val="22"/>
    <w:qFormat/>
    <w:uiPriority w:val="0"/>
    <w:rPr>
      <w:kern w:val="2"/>
      <w:sz w:val="21"/>
      <w:szCs w:val="24"/>
    </w:rPr>
  </w:style>
  <w:style w:type="character" w:customStyle="1" w:styleId="77">
    <w:name w:val="标题 7 Char"/>
    <w:link w:val="9"/>
    <w:qFormat/>
    <w:uiPriority w:val="0"/>
    <w:rPr>
      <w:b/>
      <w:bCs/>
      <w:sz w:val="24"/>
      <w:szCs w:val="24"/>
    </w:rPr>
  </w:style>
  <w:style w:type="character" w:customStyle="1" w:styleId="78">
    <w:name w:val="标题 3 Char"/>
    <w:link w:val="4"/>
    <w:qFormat/>
    <w:uiPriority w:val="0"/>
    <w:rPr>
      <w:b/>
      <w:bCs/>
      <w:sz w:val="24"/>
      <w:szCs w:val="24"/>
    </w:rPr>
  </w:style>
  <w:style w:type="character" w:customStyle="1" w:styleId="79">
    <w:name w:val="标题 6 Char"/>
    <w:link w:val="8"/>
    <w:qFormat/>
    <w:uiPriority w:val="0"/>
    <w:rPr>
      <w:rFonts w:ascii="Arial" w:hAnsi="Arial" w:eastAsia="黑体"/>
      <w:b/>
      <w:bCs/>
      <w:sz w:val="24"/>
      <w:szCs w:val="24"/>
    </w:rPr>
  </w:style>
  <w:style w:type="character" w:customStyle="1" w:styleId="80">
    <w:name w:val="标题 9 Char"/>
    <w:link w:val="11"/>
    <w:qFormat/>
    <w:uiPriority w:val="0"/>
    <w:rPr>
      <w:rFonts w:ascii="Arial" w:hAnsi="Arial" w:eastAsia="黑体"/>
      <w:sz w:val="21"/>
      <w:szCs w:val="21"/>
    </w:rPr>
  </w:style>
  <w:style w:type="character" w:customStyle="1" w:styleId="81">
    <w:name w:val="标题 2 Char"/>
    <w:link w:val="3"/>
    <w:qFormat/>
    <w:uiPriority w:val="0"/>
    <w:rPr>
      <w:rFonts w:ascii="Cambria" w:hAnsi="Cambria" w:eastAsia="宋体" w:cs="Times New Roman"/>
      <w:b/>
      <w:bCs/>
      <w:kern w:val="2"/>
      <w:sz w:val="32"/>
      <w:szCs w:val="32"/>
    </w:rPr>
  </w:style>
  <w:style w:type="character" w:customStyle="1" w:styleId="82">
    <w:name w:val="批注文字 Char1"/>
    <w:semiHidden/>
    <w:qFormat/>
    <w:uiPriority w:val="99"/>
    <w:rPr>
      <w:rFonts w:ascii="Times New Roman" w:hAnsi="Times New Roman" w:eastAsia="宋体" w:cs="Times New Roman"/>
      <w:szCs w:val="24"/>
    </w:rPr>
  </w:style>
  <w:style w:type="character" w:customStyle="1" w:styleId="83">
    <w:name w:val="文档结构图 Char"/>
    <w:link w:val="15"/>
    <w:qFormat/>
    <w:uiPriority w:val="0"/>
    <w:rPr>
      <w:kern w:val="2"/>
      <w:sz w:val="21"/>
      <w:szCs w:val="24"/>
      <w:shd w:val="clear" w:color="auto" w:fill="000080"/>
    </w:rPr>
  </w:style>
  <w:style w:type="character" w:customStyle="1" w:styleId="84">
    <w:name w:val="正文文本缩进 Char"/>
    <w:link w:val="17"/>
    <w:qFormat/>
    <w:uiPriority w:val="0"/>
    <w:rPr>
      <w:kern w:val="2"/>
      <w:sz w:val="21"/>
      <w:szCs w:val="24"/>
    </w:rPr>
  </w:style>
  <w:style w:type="character" w:customStyle="1" w:styleId="85">
    <w:name w:val="正文文本缩进 Char1"/>
    <w:semiHidden/>
    <w:qFormat/>
    <w:uiPriority w:val="99"/>
    <w:rPr>
      <w:kern w:val="2"/>
      <w:sz w:val="21"/>
      <w:szCs w:val="24"/>
    </w:rPr>
  </w:style>
  <w:style w:type="character" w:customStyle="1" w:styleId="86">
    <w:name w:val="p0 Char Char"/>
    <w:qFormat/>
    <w:uiPriority w:val="0"/>
    <w:rPr>
      <w:rFonts w:eastAsia="宋体"/>
      <w:kern w:val="2"/>
      <w:sz w:val="21"/>
      <w:szCs w:val="21"/>
      <w:lang w:val="en-US" w:eastAsia="zh-CN" w:bidi="ar-SA"/>
    </w:rPr>
  </w:style>
  <w:style w:type="character" w:customStyle="1" w:styleId="87">
    <w:name w:val="正文文本 Char"/>
    <w:link w:val="16"/>
    <w:qFormat/>
    <w:uiPriority w:val="0"/>
    <w:rPr>
      <w:kern w:val="2"/>
      <w:sz w:val="21"/>
      <w:szCs w:val="24"/>
    </w:rPr>
  </w:style>
  <w:style w:type="character" w:customStyle="1" w:styleId="88">
    <w:name w:val="标题 3 Char1"/>
    <w:qFormat/>
    <w:uiPriority w:val="0"/>
    <w:rPr>
      <w:b/>
      <w:bCs/>
      <w:sz w:val="24"/>
      <w:szCs w:val="24"/>
    </w:rPr>
  </w:style>
  <w:style w:type="character" w:customStyle="1" w:styleId="89">
    <w:name w:val="纯文本 Char1"/>
    <w:qFormat/>
    <w:uiPriority w:val="0"/>
    <w:rPr>
      <w:rFonts w:ascii="宋体" w:hAnsi="Courier New" w:eastAsia="宋体" w:cs="Courier New"/>
      <w:szCs w:val="21"/>
    </w:rPr>
  </w:style>
  <w:style w:type="character" w:customStyle="1" w:styleId="90">
    <w:name w:val="文档结构图 Char1"/>
    <w:semiHidden/>
    <w:qFormat/>
    <w:uiPriority w:val="99"/>
    <w:rPr>
      <w:rFonts w:ascii="宋体" w:hAnsi="Times New Roman" w:eastAsia="宋体" w:cs="Times New Roman"/>
      <w:sz w:val="18"/>
      <w:szCs w:val="18"/>
    </w:rPr>
  </w:style>
  <w:style w:type="character" w:customStyle="1" w:styleId="91">
    <w:name w:val="批注框文本 Char1"/>
    <w:qFormat/>
    <w:uiPriority w:val="0"/>
    <w:rPr>
      <w:rFonts w:ascii="Times New Roman" w:hAnsi="Times New Roman" w:eastAsia="宋体" w:cs="Times New Roman"/>
      <w:sz w:val="18"/>
      <w:szCs w:val="18"/>
    </w:rPr>
  </w:style>
  <w:style w:type="character" w:customStyle="1" w:styleId="92">
    <w:name w:val="日期 Char1"/>
    <w:qFormat/>
    <w:uiPriority w:val="0"/>
    <w:rPr>
      <w:rFonts w:ascii="Times New Roman" w:hAnsi="Times New Roman" w:eastAsia="宋体" w:cs="Times New Roman"/>
      <w:szCs w:val="24"/>
    </w:rPr>
  </w:style>
  <w:style w:type="paragraph" w:customStyle="1" w:styleId="93">
    <w:name w:val="Char"/>
    <w:basedOn w:val="1"/>
    <w:qFormat/>
    <w:uiPriority w:val="0"/>
    <w:rPr>
      <w:rFonts w:ascii="Tahoma" w:hAnsi="Tahoma" w:eastAsia="仿宋_GB2312"/>
      <w:sz w:val="24"/>
      <w:szCs w:val="20"/>
    </w:rPr>
  </w:style>
  <w:style w:type="character" w:customStyle="1" w:styleId="94">
    <w:name w:val="Font Style119"/>
    <w:unhideWhenUsed/>
    <w:qFormat/>
    <w:uiPriority w:val="99"/>
    <w:rPr>
      <w:rFonts w:hint="eastAsia" w:ascii="宋体" w:hAnsi="宋体" w:eastAsia="宋体"/>
      <w:sz w:val="24"/>
    </w:rPr>
  </w:style>
  <w:style w:type="character" w:customStyle="1" w:styleId="95">
    <w:name w:val="Font Style122"/>
    <w:unhideWhenUsed/>
    <w:qFormat/>
    <w:uiPriority w:val="99"/>
    <w:rPr>
      <w:rFonts w:hint="eastAsia" w:ascii="宋体" w:hAnsi="宋体" w:eastAsia="宋体"/>
      <w:spacing w:val="20"/>
      <w:sz w:val="24"/>
    </w:rPr>
  </w:style>
  <w:style w:type="character" w:customStyle="1" w:styleId="96">
    <w:name w:val="标题 4 Char Char"/>
    <w:qFormat/>
    <w:uiPriority w:val="0"/>
    <w:rPr>
      <w:rFonts w:ascii="Arial" w:hAnsi="Arial" w:eastAsia="宋体"/>
      <w:b/>
      <w:bCs/>
      <w:kern w:val="2"/>
      <w:sz w:val="21"/>
      <w:szCs w:val="28"/>
      <w:lang w:val="en-US" w:eastAsia="zh-CN" w:bidi="ar-SA"/>
    </w:rPr>
  </w:style>
  <w:style w:type="character" w:customStyle="1" w:styleId="97">
    <w:name w:val="Char Char14"/>
    <w:qFormat/>
    <w:uiPriority w:val="0"/>
    <w:rPr>
      <w:rFonts w:ascii="Arial" w:hAnsi="Arial"/>
      <w:b/>
      <w:bCs/>
      <w:kern w:val="2"/>
      <w:sz w:val="21"/>
      <w:szCs w:val="28"/>
    </w:rPr>
  </w:style>
  <w:style w:type="character" w:customStyle="1" w:styleId="98">
    <w:name w:val="Font Style94"/>
    <w:unhideWhenUsed/>
    <w:qFormat/>
    <w:uiPriority w:val="99"/>
    <w:rPr>
      <w:rFonts w:hint="eastAsia" w:ascii="Times New Roman" w:hAnsi="Times New Roman" w:eastAsia="Times New Roman"/>
      <w:sz w:val="28"/>
    </w:rPr>
  </w:style>
  <w:style w:type="character" w:customStyle="1" w:styleId="99">
    <w:name w:val="Font Style115"/>
    <w:unhideWhenUsed/>
    <w:qFormat/>
    <w:uiPriority w:val="99"/>
    <w:rPr>
      <w:rFonts w:hint="eastAsia" w:ascii="Times New Roman" w:hAnsi="Times New Roman" w:eastAsia="Times New Roman"/>
      <w:sz w:val="16"/>
    </w:rPr>
  </w:style>
  <w:style w:type="character" w:customStyle="1" w:styleId="100">
    <w:name w:val="Font Style128"/>
    <w:unhideWhenUsed/>
    <w:qFormat/>
    <w:uiPriority w:val="99"/>
    <w:rPr>
      <w:rFonts w:hint="eastAsia" w:ascii="Times New Roman" w:hAnsi="Times New Roman" w:eastAsia="Times New Roman"/>
      <w:sz w:val="16"/>
    </w:rPr>
  </w:style>
  <w:style w:type="character" w:customStyle="1" w:styleId="101">
    <w:name w:val="Font Style124"/>
    <w:unhideWhenUsed/>
    <w:qFormat/>
    <w:uiPriority w:val="99"/>
    <w:rPr>
      <w:rFonts w:hint="eastAsia" w:ascii="宋体" w:hAnsi="宋体" w:eastAsia="宋体"/>
      <w:spacing w:val="30"/>
      <w:sz w:val="24"/>
    </w:rPr>
  </w:style>
  <w:style w:type="character" w:customStyle="1" w:styleId="102">
    <w:name w:val="Font Style86"/>
    <w:unhideWhenUsed/>
    <w:qFormat/>
    <w:uiPriority w:val="99"/>
    <w:rPr>
      <w:rFonts w:hint="eastAsia" w:ascii="黑体" w:hAnsi="黑体" w:eastAsia="黑体"/>
      <w:spacing w:val="10"/>
      <w:sz w:val="30"/>
    </w:rPr>
  </w:style>
  <w:style w:type="character" w:customStyle="1" w:styleId="103">
    <w:name w:val="Font Style125"/>
    <w:unhideWhenUsed/>
    <w:qFormat/>
    <w:uiPriority w:val="99"/>
    <w:rPr>
      <w:rFonts w:hint="eastAsia" w:ascii="宋体" w:hAnsi="宋体" w:eastAsia="宋体"/>
      <w:b/>
      <w:sz w:val="26"/>
    </w:rPr>
  </w:style>
  <w:style w:type="character" w:customStyle="1" w:styleId="104">
    <w:name w:val="批注文字 Char Char"/>
    <w:qFormat/>
    <w:uiPriority w:val="0"/>
    <w:rPr>
      <w:kern w:val="2"/>
      <w:sz w:val="21"/>
      <w:szCs w:val="24"/>
      <w:lang w:bidi="ar-SA"/>
    </w:rPr>
  </w:style>
  <w:style w:type="character" w:customStyle="1" w:styleId="105">
    <w:name w:val="Font Style131"/>
    <w:unhideWhenUsed/>
    <w:qFormat/>
    <w:uiPriority w:val="99"/>
    <w:rPr>
      <w:rFonts w:hint="eastAsia" w:ascii="Times New Roman" w:hAnsi="Times New Roman" w:eastAsia="Times New Roman"/>
      <w:sz w:val="18"/>
    </w:rPr>
  </w:style>
  <w:style w:type="character" w:customStyle="1" w:styleId="106">
    <w:name w:val="Font Style127"/>
    <w:unhideWhenUsed/>
    <w:qFormat/>
    <w:uiPriority w:val="99"/>
    <w:rPr>
      <w:rFonts w:hint="eastAsia" w:ascii="Times New Roman" w:hAnsi="Times New Roman" w:eastAsia="Times New Roman"/>
      <w:sz w:val="20"/>
    </w:rPr>
  </w:style>
  <w:style w:type="character" w:customStyle="1" w:styleId="107">
    <w:name w:val="Font Style121"/>
    <w:unhideWhenUsed/>
    <w:qFormat/>
    <w:uiPriority w:val="99"/>
    <w:rPr>
      <w:rFonts w:hint="eastAsia" w:ascii="宋体" w:hAnsi="宋体" w:eastAsia="宋体"/>
      <w:spacing w:val="-10"/>
      <w:sz w:val="30"/>
    </w:rPr>
  </w:style>
  <w:style w:type="character" w:customStyle="1" w:styleId="108">
    <w:name w:val="Font Style117"/>
    <w:unhideWhenUsed/>
    <w:qFormat/>
    <w:uiPriority w:val="99"/>
    <w:rPr>
      <w:rFonts w:hint="eastAsia" w:ascii="宋体" w:hAnsi="宋体" w:eastAsia="宋体"/>
      <w:spacing w:val="20"/>
      <w:sz w:val="24"/>
    </w:rPr>
  </w:style>
  <w:style w:type="character" w:customStyle="1" w:styleId="109">
    <w:name w:val="Font Style116"/>
    <w:unhideWhenUsed/>
    <w:qFormat/>
    <w:uiPriority w:val="99"/>
    <w:rPr>
      <w:rFonts w:hint="eastAsia" w:ascii="宋体" w:hAnsi="宋体" w:eastAsia="宋体"/>
      <w:spacing w:val="-20"/>
      <w:sz w:val="24"/>
    </w:rPr>
  </w:style>
  <w:style w:type="character" w:customStyle="1" w:styleId="110">
    <w:name w:val="Font Style126"/>
    <w:unhideWhenUsed/>
    <w:qFormat/>
    <w:uiPriority w:val="99"/>
    <w:rPr>
      <w:rFonts w:hint="eastAsia" w:ascii="宋体" w:hAnsi="宋体" w:eastAsia="宋体"/>
      <w:b/>
      <w:spacing w:val="-30"/>
      <w:sz w:val="28"/>
    </w:rPr>
  </w:style>
  <w:style w:type="character" w:customStyle="1" w:styleId="111">
    <w:name w:val="Font Style123"/>
    <w:unhideWhenUsed/>
    <w:qFormat/>
    <w:uiPriority w:val="99"/>
    <w:rPr>
      <w:rFonts w:hint="eastAsia" w:ascii="宋体" w:hAnsi="宋体" w:eastAsia="宋体"/>
      <w:b/>
      <w:sz w:val="32"/>
    </w:rPr>
  </w:style>
  <w:style w:type="character" w:customStyle="1" w:styleId="112">
    <w:name w:val="标题 4 Char1"/>
    <w:qFormat/>
    <w:uiPriority w:val="0"/>
    <w:rPr>
      <w:rFonts w:ascii="Arial" w:hAnsi="Arial" w:eastAsia="宋体" w:cs="Times New Roman"/>
      <w:b/>
      <w:bCs/>
      <w:szCs w:val="28"/>
    </w:rPr>
  </w:style>
  <w:style w:type="character" w:customStyle="1" w:styleId="113">
    <w:name w:val="纯文本 Char Char"/>
    <w:qFormat/>
    <w:uiPriority w:val="0"/>
    <w:rPr>
      <w:rFonts w:ascii="宋体" w:hAnsi="Courier New" w:eastAsia="仿宋_GB2312"/>
      <w:kern w:val="2"/>
      <w:sz w:val="32"/>
      <w:szCs w:val="24"/>
      <w:lang w:bidi="ar-SA"/>
    </w:rPr>
  </w:style>
  <w:style w:type="character" w:customStyle="1" w:styleId="114">
    <w:name w:val="正文文本缩进 2 Char"/>
    <w:link w:val="23"/>
    <w:qFormat/>
    <w:uiPriority w:val="0"/>
    <w:rPr>
      <w:rFonts w:ascii="宋体" w:hAnsi="Calibri"/>
      <w:color w:val="000000"/>
      <w:kern w:val="2"/>
      <w:sz w:val="21"/>
      <w:szCs w:val="24"/>
    </w:rPr>
  </w:style>
  <w:style w:type="character" w:customStyle="1" w:styleId="115">
    <w:name w:val="正文文本缩进 2 Char1"/>
    <w:basedOn w:val="35"/>
    <w:semiHidden/>
    <w:qFormat/>
    <w:uiPriority w:val="0"/>
    <w:rPr>
      <w:kern w:val="2"/>
      <w:sz w:val="21"/>
      <w:szCs w:val="24"/>
    </w:rPr>
  </w:style>
  <w:style w:type="paragraph" w:customStyle="1" w:styleId="116">
    <w:name w:val="Style53"/>
    <w:basedOn w:val="1"/>
    <w:unhideWhenUsed/>
    <w:qFormat/>
    <w:uiPriority w:val="99"/>
    <w:pPr>
      <w:spacing w:line="533" w:lineRule="exact"/>
      <w:ind w:firstLine="581"/>
    </w:pPr>
    <w:rPr>
      <w:rFonts w:ascii="Calibri" w:hAnsi="Calibri"/>
    </w:rPr>
  </w:style>
  <w:style w:type="paragraph" w:customStyle="1" w:styleId="117">
    <w:name w:val="修订2"/>
    <w:qFormat/>
    <w:uiPriority w:val="99"/>
    <w:rPr>
      <w:rFonts w:ascii="Calibri" w:hAnsi="Calibri" w:eastAsia="宋体" w:cs="Times New Roman"/>
      <w:kern w:val="2"/>
      <w:sz w:val="21"/>
      <w:szCs w:val="24"/>
      <w:lang w:val="en-US" w:eastAsia="zh-CN" w:bidi="ar-SA"/>
    </w:rPr>
  </w:style>
  <w:style w:type="paragraph" w:customStyle="1" w:styleId="118">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9">
    <w:name w:val="Style26"/>
    <w:basedOn w:val="1"/>
    <w:unhideWhenUsed/>
    <w:qFormat/>
    <w:uiPriority w:val="99"/>
    <w:rPr>
      <w:rFonts w:ascii="Calibri" w:hAnsi="Calibri"/>
    </w:rPr>
  </w:style>
  <w:style w:type="paragraph" w:customStyle="1" w:styleId="120">
    <w:name w:val="Style70"/>
    <w:basedOn w:val="1"/>
    <w:unhideWhenUsed/>
    <w:qFormat/>
    <w:uiPriority w:val="99"/>
    <w:pPr>
      <w:spacing w:line="549" w:lineRule="exact"/>
      <w:ind w:firstLine="686"/>
    </w:pPr>
    <w:rPr>
      <w:rFonts w:ascii="Calibri" w:hAnsi="Calibri"/>
    </w:rPr>
  </w:style>
  <w:style w:type="paragraph" w:customStyle="1" w:styleId="121">
    <w:name w:val="Style68"/>
    <w:basedOn w:val="1"/>
    <w:unhideWhenUsed/>
    <w:qFormat/>
    <w:uiPriority w:val="99"/>
    <w:pPr>
      <w:spacing w:line="547" w:lineRule="exact"/>
    </w:pPr>
    <w:rPr>
      <w:rFonts w:ascii="Calibri" w:hAnsi="Calibri"/>
    </w:rPr>
  </w:style>
  <w:style w:type="paragraph" w:customStyle="1" w:styleId="122">
    <w:name w:val="Style64"/>
    <w:basedOn w:val="1"/>
    <w:unhideWhenUsed/>
    <w:qFormat/>
    <w:uiPriority w:val="99"/>
    <w:rPr>
      <w:rFonts w:ascii="Calibri" w:hAnsi="Calibri"/>
    </w:rPr>
  </w:style>
  <w:style w:type="paragraph" w:customStyle="1" w:styleId="123">
    <w:name w:val="Style9"/>
    <w:basedOn w:val="1"/>
    <w:unhideWhenUsed/>
    <w:qFormat/>
    <w:uiPriority w:val="99"/>
    <w:rPr>
      <w:rFonts w:ascii="Calibri" w:hAnsi="Calibri"/>
    </w:rPr>
  </w:style>
  <w:style w:type="paragraph" w:customStyle="1" w:styleId="124">
    <w:name w:val="Style10"/>
    <w:basedOn w:val="1"/>
    <w:unhideWhenUsed/>
    <w:qFormat/>
    <w:uiPriority w:val="99"/>
    <w:pPr>
      <w:spacing w:line="538" w:lineRule="exact"/>
    </w:pPr>
    <w:rPr>
      <w:rFonts w:ascii="Calibri" w:hAnsi="Calibri"/>
    </w:rPr>
  </w:style>
  <w:style w:type="paragraph" w:customStyle="1" w:styleId="125">
    <w:name w:val="Style8"/>
    <w:basedOn w:val="1"/>
    <w:unhideWhenUsed/>
    <w:qFormat/>
    <w:uiPriority w:val="99"/>
    <w:pPr>
      <w:spacing w:line="566" w:lineRule="exact"/>
      <w:jc w:val="center"/>
    </w:pPr>
    <w:rPr>
      <w:rFonts w:ascii="Calibri" w:hAnsi="Calibri"/>
    </w:rPr>
  </w:style>
  <w:style w:type="paragraph" w:customStyle="1" w:styleId="126">
    <w:name w:val="Style41"/>
    <w:basedOn w:val="1"/>
    <w:unhideWhenUsed/>
    <w:qFormat/>
    <w:uiPriority w:val="99"/>
    <w:pPr>
      <w:spacing w:line="542" w:lineRule="exact"/>
      <w:ind w:firstLine="125"/>
    </w:pPr>
    <w:rPr>
      <w:rFonts w:ascii="Calibri" w:hAnsi="Calibri"/>
    </w:rPr>
  </w:style>
  <w:style w:type="paragraph" w:customStyle="1" w:styleId="127">
    <w:name w:val="Char2"/>
    <w:basedOn w:val="1"/>
    <w:qFormat/>
    <w:uiPriority w:val="0"/>
    <w:pPr>
      <w:widowControl/>
      <w:spacing w:after="160" w:line="240" w:lineRule="exact"/>
      <w:jc w:val="left"/>
    </w:pPr>
    <w:rPr>
      <w:rFonts w:ascii="Calibri" w:hAnsi="Calibri"/>
    </w:rPr>
  </w:style>
  <w:style w:type="paragraph" w:customStyle="1" w:styleId="128">
    <w:name w:val="Char Char Char Char Char Char Char11"/>
    <w:basedOn w:val="1"/>
    <w:qFormat/>
    <w:uiPriority w:val="0"/>
    <w:pPr>
      <w:snapToGrid w:val="0"/>
      <w:spacing w:line="360" w:lineRule="auto"/>
      <w:ind w:firstLine="200" w:firstLineChars="200"/>
    </w:pPr>
    <w:rPr>
      <w:rFonts w:ascii="Calibri" w:hAnsi="Calibri" w:eastAsia="仿宋_GB2312"/>
      <w:sz w:val="24"/>
    </w:rPr>
  </w:style>
  <w:style w:type="paragraph" w:customStyle="1" w:styleId="129">
    <w:name w:val="Style50"/>
    <w:basedOn w:val="1"/>
    <w:unhideWhenUsed/>
    <w:qFormat/>
    <w:uiPriority w:val="99"/>
    <w:rPr>
      <w:rFonts w:ascii="Calibri" w:hAnsi="Calibri"/>
    </w:rPr>
  </w:style>
  <w:style w:type="paragraph" w:customStyle="1" w:styleId="130">
    <w:name w:val="Style4"/>
    <w:basedOn w:val="1"/>
    <w:unhideWhenUsed/>
    <w:qFormat/>
    <w:uiPriority w:val="99"/>
    <w:rPr>
      <w:rFonts w:ascii="Calibri" w:hAnsi="Calibri"/>
    </w:rPr>
  </w:style>
  <w:style w:type="paragraph" w:customStyle="1" w:styleId="131">
    <w:name w:val="Style77"/>
    <w:basedOn w:val="1"/>
    <w:unhideWhenUsed/>
    <w:qFormat/>
    <w:uiPriority w:val="99"/>
    <w:rPr>
      <w:rFonts w:ascii="Calibri" w:hAnsi="Calibri"/>
    </w:rPr>
  </w:style>
  <w:style w:type="paragraph" w:customStyle="1" w:styleId="132">
    <w:name w:val="Style62"/>
    <w:basedOn w:val="1"/>
    <w:unhideWhenUsed/>
    <w:qFormat/>
    <w:uiPriority w:val="99"/>
    <w:rPr>
      <w:rFonts w:ascii="Calibri" w:hAnsi="Calibri"/>
    </w:rPr>
  </w:style>
  <w:style w:type="paragraph" w:customStyle="1" w:styleId="133">
    <w:name w:val="Style63"/>
    <w:basedOn w:val="1"/>
    <w:unhideWhenUsed/>
    <w:qFormat/>
    <w:uiPriority w:val="99"/>
    <w:pPr>
      <w:spacing w:line="564" w:lineRule="exact"/>
      <w:ind w:firstLine="682"/>
    </w:pPr>
    <w:rPr>
      <w:rFonts w:ascii="Calibri" w:hAnsi="Calibri"/>
    </w:rPr>
  </w:style>
  <w:style w:type="paragraph" w:customStyle="1" w:styleId="134">
    <w:name w:val="_Style 31"/>
    <w:basedOn w:val="1"/>
    <w:qFormat/>
    <w:uiPriority w:val="0"/>
    <w:rPr>
      <w:rFonts w:ascii="仿宋_GB2312" w:eastAsia="仿宋_GB2312"/>
      <w:kern w:val="0"/>
      <w:szCs w:val="20"/>
    </w:rPr>
  </w:style>
  <w:style w:type="paragraph" w:customStyle="1" w:styleId="135">
    <w:name w:val="Style72"/>
    <w:basedOn w:val="1"/>
    <w:unhideWhenUsed/>
    <w:qFormat/>
    <w:uiPriority w:val="99"/>
    <w:rPr>
      <w:rFonts w:ascii="Calibri" w:hAnsi="Calibri"/>
    </w:rPr>
  </w:style>
  <w:style w:type="paragraph" w:customStyle="1" w:styleId="136">
    <w:name w:val="Style21"/>
    <w:basedOn w:val="1"/>
    <w:unhideWhenUsed/>
    <w:qFormat/>
    <w:uiPriority w:val="99"/>
    <w:pPr>
      <w:spacing w:line="566" w:lineRule="exact"/>
      <w:ind w:firstLine="682"/>
    </w:pPr>
    <w:rPr>
      <w:rFonts w:ascii="Calibri" w:hAnsi="Calibri"/>
    </w:rPr>
  </w:style>
  <w:style w:type="paragraph" w:customStyle="1" w:styleId="137">
    <w:name w:val="_Style 4"/>
    <w:basedOn w:val="1"/>
    <w:qFormat/>
    <w:uiPriority w:val="34"/>
    <w:pPr>
      <w:widowControl/>
      <w:spacing w:line="120" w:lineRule="exact"/>
      <w:ind w:firstLine="420" w:firstLineChars="200"/>
      <w:jc w:val="left"/>
    </w:pPr>
    <w:rPr>
      <w:rFonts w:ascii="Calibri" w:hAnsi="Calibri"/>
      <w:sz w:val="18"/>
      <w:szCs w:val="18"/>
    </w:rPr>
  </w:style>
  <w:style w:type="paragraph" w:customStyle="1" w:styleId="138">
    <w:name w:val="列出段落2"/>
    <w:basedOn w:val="1"/>
    <w:qFormat/>
    <w:uiPriority w:val="0"/>
    <w:pPr>
      <w:ind w:firstLine="200" w:firstLineChars="200"/>
    </w:pPr>
    <w:rPr>
      <w:rFonts w:ascii="Calibri" w:hAnsi="Calibri"/>
      <w:szCs w:val="22"/>
    </w:rPr>
  </w:style>
  <w:style w:type="paragraph" w:customStyle="1" w:styleId="139">
    <w:name w:val="Aufzaehlung"/>
    <w:basedOn w:val="1"/>
    <w:qFormat/>
    <w:uiPriority w:val="0"/>
    <w:pPr>
      <w:widowControl/>
      <w:spacing w:line="240" w:lineRule="atLeast"/>
      <w:ind w:left="284" w:hanging="284"/>
      <w:jc w:val="left"/>
    </w:pPr>
    <w:rPr>
      <w:rFonts w:ascii="Arial" w:hAnsi="Arial"/>
      <w:kern w:val="0"/>
      <w:sz w:val="22"/>
      <w:lang w:eastAsia="en-US"/>
    </w:rPr>
  </w:style>
  <w:style w:type="paragraph" w:customStyle="1" w:styleId="140">
    <w:name w:val="Style28"/>
    <w:basedOn w:val="1"/>
    <w:unhideWhenUsed/>
    <w:qFormat/>
    <w:uiPriority w:val="99"/>
    <w:pPr>
      <w:spacing w:line="552" w:lineRule="exact"/>
      <w:ind w:firstLine="547"/>
    </w:pPr>
    <w:rPr>
      <w:rFonts w:ascii="Calibri" w:hAnsi="Calibri"/>
    </w:rPr>
  </w:style>
  <w:style w:type="paragraph" w:customStyle="1" w:styleId="141">
    <w:name w:val="Style61"/>
    <w:basedOn w:val="1"/>
    <w:unhideWhenUsed/>
    <w:qFormat/>
    <w:uiPriority w:val="99"/>
    <w:rPr>
      <w:rFonts w:ascii="Calibri" w:hAnsi="Calibri"/>
    </w:rPr>
  </w:style>
  <w:style w:type="paragraph" w:customStyle="1" w:styleId="142">
    <w:name w:val="Style52"/>
    <w:basedOn w:val="1"/>
    <w:unhideWhenUsed/>
    <w:qFormat/>
    <w:uiPriority w:val="99"/>
    <w:pPr>
      <w:spacing w:line="682" w:lineRule="exact"/>
      <w:ind w:firstLine="557"/>
    </w:pPr>
    <w:rPr>
      <w:rFonts w:ascii="Calibri" w:hAnsi="Calibri"/>
    </w:rPr>
  </w:style>
  <w:style w:type="paragraph" w:customStyle="1" w:styleId="143">
    <w:name w:val="Style12"/>
    <w:basedOn w:val="1"/>
    <w:unhideWhenUsed/>
    <w:qFormat/>
    <w:uiPriority w:val="99"/>
    <w:pPr>
      <w:spacing w:line="564" w:lineRule="exact"/>
      <w:ind w:hanging="115"/>
    </w:pPr>
    <w:rPr>
      <w:rFonts w:ascii="Calibri" w:hAnsi="Calibri"/>
    </w:rPr>
  </w:style>
  <w:style w:type="paragraph" w:customStyle="1" w:styleId="144">
    <w:name w:val="Style46"/>
    <w:basedOn w:val="1"/>
    <w:unhideWhenUsed/>
    <w:qFormat/>
    <w:uiPriority w:val="99"/>
    <w:pPr>
      <w:spacing w:line="672" w:lineRule="exact"/>
    </w:pPr>
    <w:rPr>
      <w:rFonts w:ascii="Calibri" w:hAnsi="Calibri"/>
    </w:rPr>
  </w:style>
  <w:style w:type="paragraph" w:customStyle="1" w:styleId="145">
    <w:name w:val="Style5"/>
    <w:basedOn w:val="1"/>
    <w:unhideWhenUsed/>
    <w:qFormat/>
    <w:uiPriority w:val="99"/>
    <w:rPr>
      <w:rFonts w:ascii="Calibri" w:hAnsi="Calibri"/>
    </w:rPr>
  </w:style>
  <w:style w:type="paragraph" w:customStyle="1" w:styleId="146">
    <w:name w:val="Style42"/>
    <w:basedOn w:val="1"/>
    <w:unhideWhenUsed/>
    <w:qFormat/>
    <w:uiPriority w:val="99"/>
    <w:pPr>
      <w:spacing w:line="542" w:lineRule="exact"/>
      <w:ind w:firstLine="547"/>
    </w:pPr>
    <w:rPr>
      <w:rFonts w:ascii="Calibri" w:hAnsi="Calibri"/>
    </w:rPr>
  </w:style>
  <w:style w:type="paragraph" w:customStyle="1" w:styleId="147">
    <w:name w:val="Style24"/>
    <w:basedOn w:val="1"/>
    <w:unhideWhenUsed/>
    <w:qFormat/>
    <w:uiPriority w:val="99"/>
    <w:rPr>
      <w:rFonts w:ascii="Calibri" w:hAnsi="Calibri"/>
    </w:rPr>
  </w:style>
  <w:style w:type="paragraph" w:customStyle="1" w:styleId="148">
    <w:name w:val="Char Char Char Char Char Char Char Char Char Char"/>
    <w:basedOn w:val="1"/>
    <w:qFormat/>
    <w:uiPriority w:val="0"/>
    <w:rPr>
      <w:rFonts w:ascii="Calibri" w:hAnsi="Calibri"/>
    </w:rPr>
  </w:style>
  <w:style w:type="paragraph" w:customStyle="1" w:styleId="149">
    <w:name w:val="Style44"/>
    <w:basedOn w:val="1"/>
    <w:unhideWhenUsed/>
    <w:qFormat/>
    <w:uiPriority w:val="99"/>
    <w:rPr>
      <w:rFonts w:ascii="Calibri" w:hAnsi="Calibri"/>
    </w:rPr>
  </w:style>
  <w:style w:type="paragraph" w:customStyle="1" w:styleId="150">
    <w:name w:val="_Style 39"/>
    <w:basedOn w:val="118"/>
    <w:qFormat/>
    <w:uiPriority w:val="0"/>
  </w:style>
  <w:style w:type="paragraph" w:customStyle="1" w:styleId="151">
    <w:name w:val="Style11"/>
    <w:basedOn w:val="1"/>
    <w:unhideWhenUsed/>
    <w:qFormat/>
    <w:uiPriority w:val="99"/>
    <w:pPr>
      <w:spacing w:line="559" w:lineRule="exact"/>
      <w:ind w:firstLine="590"/>
    </w:pPr>
    <w:rPr>
      <w:rFonts w:ascii="Calibri" w:hAnsi="Calibri"/>
    </w:rPr>
  </w:style>
  <w:style w:type="paragraph" w:customStyle="1" w:styleId="152">
    <w:name w:val="Style27"/>
    <w:basedOn w:val="1"/>
    <w:unhideWhenUsed/>
    <w:qFormat/>
    <w:uiPriority w:val="99"/>
    <w:rPr>
      <w:rFonts w:ascii="Calibri" w:hAnsi="Calibri"/>
    </w:rPr>
  </w:style>
  <w:style w:type="paragraph" w:customStyle="1" w:styleId="153">
    <w:name w:val="Style13"/>
    <w:basedOn w:val="1"/>
    <w:unhideWhenUsed/>
    <w:qFormat/>
    <w:uiPriority w:val="99"/>
    <w:rPr>
      <w:rFonts w:ascii="Calibri" w:hAnsi="Calibri"/>
    </w:rPr>
  </w:style>
  <w:style w:type="paragraph" w:customStyle="1" w:styleId="154">
    <w:name w:val="Style29"/>
    <w:basedOn w:val="1"/>
    <w:unhideWhenUsed/>
    <w:qFormat/>
    <w:uiPriority w:val="99"/>
    <w:pPr>
      <w:spacing w:line="547" w:lineRule="exact"/>
      <w:ind w:firstLine="547"/>
    </w:pPr>
    <w:rPr>
      <w:rFonts w:ascii="Calibri" w:hAnsi="Calibri"/>
    </w:rPr>
  </w:style>
  <w:style w:type="paragraph" w:customStyle="1" w:styleId="155">
    <w:name w:val="Style16"/>
    <w:basedOn w:val="1"/>
    <w:unhideWhenUsed/>
    <w:qFormat/>
    <w:uiPriority w:val="99"/>
    <w:pPr>
      <w:jc w:val="right"/>
    </w:pPr>
    <w:rPr>
      <w:rFonts w:ascii="Calibri" w:hAnsi="Calibri"/>
    </w:rPr>
  </w:style>
  <w:style w:type="paragraph" w:customStyle="1" w:styleId="156">
    <w:name w:val="Style78"/>
    <w:basedOn w:val="1"/>
    <w:unhideWhenUsed/>
    <w:qFormat/>
    <w:uiPriority w:val="99"/>
    <w:rPr>
      <w:rFonts w:ascii="Calibri" w:hAnsi="Calibri"/>
    </w:rPr>
  </w:style>
  <w:style w:type="paragraph" w:customStyle="1" w:styleId="157">
    <w:name w:val="Style34"/>
    <w:basedOn w:val="1"/>
    <w:unhideWhenUsed/>
    <w:qFormat/>
    <w:uiPriority w:val="99"/>
    <w:pPr>
      <w:spacing w:line="375" w:lineRule="exact"/>
    </w:pPr>
    <w:rPr>
      <w:rFonts w:ascii="Calibri" w:hAnsi="Calibri"/>
    </w:rPr>
  </w:style>
  <w:style w:type="paragraph" w:customStyle="1" w:styleId="158">
    <w:name w:val="Style23"/>
    <w:basedOn w:val="1"/>
    <w:unhideWhenUsed/>
    <w:qFormat/>
    <w:uiPriority w:val="99"/>
    <w:rPr>
      <w:rFonts w:ascii="Calibri" w:hAnsi="Calibri"/>
    </w:rPr>
  </w:style>
  <w:style w:type="paragraph" w:customStyle="1" w:styleId="159">
    <w:name w:val="Style73"/>
    <w:basedOn w:val="1"/>
    <w:unhideWhenUsed/>
    <w:qFormat/>
    <w:uiPriority w:val="99"/>
    <w:pPr>
      <w:spacing w:line="538" w:lineRule="exact"/>
      <w:ind w:firstLine="533"/>
    </w:pPr>
    <w:rPr>
      <w:rFonts w:ascii="Calibri" w:hAnsi="Calibri"/>
    </w:rPr>
  </w:style>
  <w:style w:type="paragraph" w:customStyle="1" w:styleId="160">
    <w:name w:val="Style45"/>
    <w:basedOn w:val="1"/>
    <w:unhideWhenUsed/>
    <w:qFormat/>
    <w:uiPriority w:val="99"/>
    <w:rPr>
      <w:rFonts w:ascii="Calibri" w:hAnsi="Calibri"/>
    </w:rPr>
  </w:style>
  <w:style w:type="paragraph" w:customStyle="1" w:styleId="161">
    <w:name w:val="TOC 标题1"/>
    <w:basedOn w:val="2"/>
    <w:next w:val="1"/>
    <w:qFormat/>
    <w:uiPriority w:val="39"/>
    <w:pPr>
      <w:keepLines/>
      <w:spacing w:before="340" w:after="330" w:line="578" w:lineRule="auto"/>
      <w:outlineLvl w:val="9"/>
    </w:pPr>
    <w:rPr>
      <w:rFonts w:ascii="Times New Roman" w:hAnsi="Times New Roman"/>
      <w:kern w:val="44"/>
      <w:sz w:val="44"/>
      <w:szCs w:val="44"/>
    </w:rPr>
  </w:style>
  <w:style w:type="paragraph" w:customStyle="1" w:styleId="162">
    <w:name w:val="Style48"/>
    <w:basedOn w:val="1"/>
    <w:unhideWhenUsed/>
    <w:qFormat/>
    <w:uiPriority w:val="99"/>
    <w:pPr>
      <w:spacing w:line="542" w:lineRule="exact"/>
      <w:jc w:val="right"/>
    </w:pPr>
    <w:rPr>
      <w:rFonts w:ascii="Calibri" w:hAnsi="Calibri"/>
    </w:rPr>
  </w:style>
  <w:style w:type="paragraph" w:customStyle="1" w:styleId="163">
    <w:name w:val="Style76"/>
    <w:basedOn w:val="1"/>
    <w:unhideWhenUsed/>
    <w:qFormat/>
    <w:uiPriority w:val="99"/>
    <w:rPr>
      <w:rFonts w:ascii="Calibri" w:hAnsi="Calibri"/>
    </w:rPr>
  </w:style>
  <w:style w:type="paragraph" w:customStyle="1" w:styleId="164">
    <w:name w:val="Style69"/>
    <w:basedOn w:val="1"/>
    <w:unhideWhenUsed/>
    <w:qFormat/>
    <w:uiPriority w:val="99"/>
    <w:pPr>
      <w:spacing w:line="557" w:lineRule="exact"/>
      <w:ind w:firstLine="1666"/>
    </w:pPr>
    <w:rPr>
      <w:rFonts w:ascii="Calibri" w:hAnsi="Calibri"/>
    </w:rPr>
  </w:style>
  <w:style w:type="paragraph" w:customStyle="1" w:styleId="165">
    <w:name w:val="Style15"/>
    <w:basedOn w:val="1"/>
    <w:unhideWhenUsed/>
    <w:qFormat/>
    <w:uiPriority w:val="99"/>
    <w:pPr>
      <w:spacing w:line="557" w:lineRule="exact"/>
      <w:ind w:firstLine="672"/>
    </w:pPr>
    <w:rPr>
      <w:rFonts w:ascii="Calibri" w:hAnsi="Calibri"/>
    </w:rPr>
  </w:style>
  <w:style w:type="paragraph" w:customStyle="1" w:styleId="166">
    <w:name w:val="1 Char Char Char Char"/>
    <w:basedOn w:val="118"/>
    <w:qFormat/>
    <w:uiPriority w:val="0"/>
  </w:style>
  <w:style w:type="paragraph" w:customStyle="1" w:styleId="167">
    <w:name w:val="样式1"/>
    <w:basedOn w:val="1"/>
    <w:qFormat/>
    <w:uiPriority w:val="0"/>
    <w:pPr>
      <w:tabs>
        <w:tab w:val="right" w:leader="dot" w:pos="10142"/>
      </w:tabs>
      <w:autoSpaceDN w:val="0"/>
    </w:pPr>
    <w:rPr>
      <w:rFonts w:ascii="宋体" w:hAnsi="宋体"/>
      <w:sz w:val="28"/>
      <w:szCs w:val="20"/>
    </w:rPr>
  </w:style>
  <w:style w:type="paragraph" w:customStyle="1" w:styleId="168">
    <w:name w:val="Style36"/>
    <w:basedOn w:val="1"/>
    <w:unhideWhenUsed/>
    <w:qFormat/>
    <w:uiPriority w:val="99"/>
    <w:rPr>
      <w:rFonts w:ascii="Calibri" w:hAnsi="Calibri"/>
    </w:rPr>
  </w:style>
  <w:style w:type="paragraph" w:customStyle="1" w:styleId="169">
    <w:name w:val="Style71"/>
    <w:basedOn w:val="1"/>
    <w:unhideWhenUsed/>
    <w:qFormat/>
    <w:uiPriority w:val="99"/>
    <w:pPr>
      <w:spacing w:line="538" w:lineRule="exact"/>
      <w:ind w:firstLine="101"/>
    </w:pPr>
    <w:rPr>
      <w:rFonts w:ascii="Calibri" w:hAnsi="Calibri"/>
    </w:rPr>
  </w:style>
  <w:style w:type="paragraph" w:customStyle="1" w:styleId="170">
    <w:name w:val="修订21"/>
    <w:qFormat/>
    <w:uiPriority w:val="0"/>
    <w:rPr>
      <w:rFonts w:ascii="Times New Roman" w:hAnsi="Times New Roman" w:eastAsia="宋体" w:cs="Times New Roman"/>
      <w:kern w:val="2"/>
      <w:sz w:val="21"/>
      <w:szCs w:val="24"/>
      <w:lang w:val="en-US" w:eastAsia="zh-CN" w:bidi="ar-SA"/>
    </w:rPr>
  </w:style>
  <w:style w:type="paragraph" w:customStyle="1" w:styleId="171">
    <w:name w:val="_Style 36"/>
    <w:qFormat/>
    <w:uiPriority w:val="0"/>
    <w:rPr>
      <w:rFonts w:ascii="Times New Roman" w:hAnsi="Times New Roman" w:eastAsia="宋体" w:cs="Times New Roman"/>
      <w:kern w:val="2"/>
      <w:sz w:val="21"/>
      <w:szCs w:val="24"/>
      <w:lang w:val="en-US" w:eastAsia="zh-CN" w:bidi="ar-SA"/>
    </w:rPr>
  </w:style>
  <w:style w:type="character" w:customStyle="1" w:styleId="172">
    <w:name w:val="Char Char141"/>
    <w:qFormat/>
    <w:uiPriority w:val="0"/>
    <w:rPr>
      <w:rFonts w:ascii="Arial" w:hAnsi="Arial"/>
      <w:b/>
      <w:bCs/>
      <w:kern w:val="2"/>
      <w:sz w:val="21"/>
      <w:szCs w:val="28"/>
    </w:rPr>
  </w:style>
  <w:style w:type="paragraph" w:customStyle="1" w:styleId="173">
    <w:name w:val="Char Char Char Char Char Char Char1"/>
    <w:basedOn w:val="1"/>
    <w:qFormat/>
    <w:uiPriority w:val="0"/>
    <w:pPr>
      <w:snapToGrid w:val="0"/>
      <w:spacing w:line="360" w:lineRule="auto"/>
      <w:ind w:firstLine="200" w:firstLineChars="200"/>
    </w:pPr>
    <w:rPr>
      <w:rFonts w:ascii="Calibri" w:hAnsi="Calibri" w:eastAsia="仿宋_GB2312"/>
      <w:sz w:val="24"/>
    </w:rPr>
  </w:style>
  <w:style w:type="paragraph" w:customStyle="1" w:styleId="174">
    <w:name w:val="列出段落21"/>
    <w:basedOn w:val="1"/>
    <w:qFormat/>
    <w:uiPriority w:val="0"/>
    <w:pPr>
      <w:ind w:firstLine="200" w:firstLineChars="200"/>
    </w:pPr>
    <w:rPr>
      <w:rFonts w:ascii="Calibri" w:hAnsi="Calibri"/>
      <w:szCs w:val="22"/>
    </w:rPr>
  </w:style>
  <w:style w:type="paragraph" w:customStyle="1" w:styleId="175">
    <w:name w:val="Char Char Char Char Char Char Char Char Char Char1"/>
    <w:basedOn w:val="1"/>
    <w:qFormat/>
    <w:uiPriority w:val="0"/>
    <w:rPr>
      <w:rFonts w:ascii="Calibri" w:hAnsi="Calibri"/>
    </w:rPr>
  </w:style>
  <w:style w:type="paragraph" w:customStyle="1" w:styleId="176">
    <w:name w:val="TOC 标题11"/>
    <w:basedOn w:val="2"/>
    <w:next w:val="1"/>
    <w:qFormat/>
    <w:uiPriority w:val="39"/>
    <w:pPr>
      <w:keepLines/>
      <w:spacing w:before="340" w:after="330" w:line="578" w:lineRule="auto"/>
      <w:outlineLvl w:val="9"/>
    </w:pPr>
    <w:rPr>
      <w:rFonts w:ascii="Times New Roman" w:hAnsi="Times New Roman"/>
      <w:kern w:val="44"/>
      <w:sz w:val="44"/>
      <w:szCs w:val="44"/>
    </w:rPr>
  </w:style>
  <w:style w:type="paragraph" w:customStyle="1" w:styleId="177">
    <w:name w:val="正文文本2"/>
    <w:basedOn w:val="1"/>
    <w:qFormat/>
    <w:uiPriority w:val="0"/>
    <w:pPr>
      <w:widowControl/>
      <w:shd w:val="clear" w:color="auto" w:fill="FFFFFF"/>
      <w:spacing w:before="120" w:line="391" w:lineRule="exact"/>
      <w:ind w:hanging="420"/>
      <w:jc w:val="distribute"/>
    </w:pPr>
    <w:rPr>
      <w:rFonts w:ascii="MingLiU" w:hAnsi="MingLiU" w:eastAsia="MingLiU" w:cs="MingLiU"/>
      <w:szCs w:val="21"/>
      <w:shd w:val="clear" w:color="auto" w:fill="FFFFFF"/>
    </w:rPr>
  </w:style>
  <w:style w:type="paragraph" w:customStyle="1" w:styleId="178">
    <w:name w:val="样式 图表 + 五号"/>
    <w:basedOn w:val="1"/>
    <w:qFormat/>
    <w:uiPriority w:val="0"/>
    <w:pPr>
      <w:spacing w:line="360" w:lineRule="auto"/>
      <w:ind w:left="-61" w:leftChars="-29" w:firstLine="522" w:firstLineChars="200"/>
    </w:pPr>
    <w:rPr>
      <w:rFonts w:ascii="宋体" w:hAnsi="宋体"/>
      <w:b/>
      <w:color w:val="FF0000"/>
      <w:spacing w:val="-10"/>
      <w:sz w:val="28"/>
      <w:szCs w:val="28"/>
    </w:rPr>
  </w:style>
  <w:style w:type="paragraph" w:customStyle="1" w:styleId="17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0">
    <w:name w:val="List Paragraph1"/>
    <w:basedOn w:val="1"/>
    <w:qFormat/>
    <w:uiPriority w:val="0"/>
    <w:pPr>
      <w:ind w:firstLine="420" w:firstLineChars="200"/>
    </w:pPr>
    <w:rPr>
      <w:rFonts w:ascii="Calibri" w:hAnsi="Calibri"/>
      <w:szCs w:val="22"/>
    </w:rPr>
  </w:style>
  <w:style w:type="paragraph" w:customStyle="1" w:styleId="181">
    <w:name w:val="Char Char Char Char Char Char Char Char Char"/>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header" Target="header2.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8"/>
    <customShpInfo spid="_x0000_s2050"/>
    <customShpInfo spid="_x0000_s2051"/>
    <customShpInfo spid="_x0000_s2059"/>
    <customShpInfo spid="_x0000_s2053"/>
    <customShpInfo spid="_x0000_s2054"/>
    <customShpInfo spid="_x0000_s2055"/>
    <customShpInfo spid="_x0000_s2056"/>
    <customShpInfo spid="_x0000_s2057"/>
    <customShpInfo spid="_x0000_s1065"/>
    <customShpInfo spid="_x0000_s1066"/>
    <customShpInfo spid="_x0000_s1067"/>
    <customShpInfo spid="_x0000_s106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15B347-3C74-435C-9898-C48A40124FB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193</Pages>
  <Words>16304</Words>
  <Characters>92933</Characters>
  <Lines>774</Lines>
  <Paragraphs>218</Paragraphs>
  <TotalTime>0</TotalTime>
  <ScaleCrop>false</ScaleCrop>
  <LinksUpToDate>false</LinksUpToDate>
  <CharactersWithSpaces>109019</CharactersWithSpaces>
  <Application>WPS Office_10.8.0.5422_F1E327BC-269C-435d-A152-05C5408002CA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2016-10-07T02:15:00Z</dcterms:created>
  <dc:creator>User</dc:creator>
  <cp:lastModifiedBy>杨菁</cp:lastModifiedBy>
  <cp:lastPrinted>2019-06-13T06:58:00Z</cp:lastPrinted>
  <dcterms:modified xsi:type="dcterms:W3CDTF">2019-09-11T08:31:30Z</dcterms:modified>
  <dc:title>第二章  投标人须知</dc:title>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2052-10.8.0.5422</vt:lpwstr>
  </property>
</Properties>
</file>